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5B3" w:rsidRPr="00F42C8C" w:rsidRDefault="00EA15B3"/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142"/>
        <w:gridCol w:w="3543"/>
        <w:gridCol w:w="284"/>
        <w:gridCol w:w="4536"/>
      </w:tblGrid>
      <w:tr w:rsidR="00EA15B3" w:rsidRPr="00F42C8C" w:rsidTr="00EA15B3">
        <w:tc>
          <w:tcPr>
            <w:tcW w:w="9889" w:type="dxa"/>
            <w:gridSpan w:val="5"/>
          </w:tcPr>
          <w:p w:rsidR="00EA15B3" w:rsidRPr="00D2339B" w:rsidRDefault="00C764BA" w:rsidP="00F914DD">
            <w:pPr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  <w:bookmarkStart w:id="0" w:name="Logo"/>
            <w:bookmarkStart w:id="1" w:name="Origine"/>
            <w:bookmarkEnd w:id="0"/>
            <w:bookmarkEnd w:id="1"/>
            <w:r w:rsidRPr="0054055F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Oficina de Radiocomunicaciones (BR)</w:t>
            </w:r>
          </w:p>
        </w:tc>
      </w:tr>
      <w:tr w:rsidR="00EA15B3" w:rsidRPr="00F42C8C" w:rsidTr="00EA15B3">
        <w:tc>
          <w:tcPr>
            <w:tcW w:w="9889" w:type="dxa"/>
            <w:gridSpan w:val="5"/>
          </w:tcPr>
          <w:p w:rsidR="00EA15B3" w:rsidRPr="00F42C8C" w:rsidRDefault="00EA15B3" w:rsidP="00EA15B3">
            <w:pPr>
              <w:jc w:val="left"/>
            </w:pPr>
          </w:p>
        </w:tc>
      </w:tr>
      <w:tr w:rsidR="00651777" w:rsidRPr="00314FF5" w:rsidTr="00651777">
        <w:tc>
          <w:tcPr>
            <w:tcW w:w="5353" w:type="dxa"/>
            <w:gridSpan w:val="4"/>
          </w:tcPr>
          <w:p w:rsidR="00651777" w:rsidRPr="00314FF5" w:rsidRDefault="00CD0E47" w:rsidP="0054008B">
            <w:pPr>
              <w:tabs>
                <w:tab w:val="left" w:pos="7513"/>
              </w:tabs>
              <w:jc w:val="left"/>
              <w:rPr>
                <w:sz w:val="24"/>
                <w:szCs w:val="24"/>
              </w:rPr>
            </w:pPr>
            <w:r w:rsidRPr="00314FF5">
              <w:rPr>
                <w:sz w:val="24"/>
                <w:szCs w:val="24"/>
              </w:rPr>
              <w:t>Circular Administrativa</w:t>
            </w:r>
            <w:r w:rsidRPr="00314FF5">
              <w:rPr>
                <w:sz w:val="24"/>
                <w:szCs w:val="24"/>
              </w:rPr>
              <w:br/>
            </w:r>
            <w:bookmarkStart w:id="2" w:name="dnum"/>
            <w:bookmarkEnd w:id="2"/>
            <w:r w:rsidRPr="00314FF5">
              <w:rPr>
                <w:b/>
                <w:bCs/>
                <w:sz w:val="24"/>
                <w:szCs w:val="24"/>
              </w:rPr>
              <w:t>CACE/</w:t>
            </w:r>
            <w:r w:rsidR="0054008B">
              <w:rPr>
                <w:b/>
                <w:bCs/>
                <w:sz w:val="24"/>
                <w:szCs w:val="24"/>
              </w:rPr>
              <w:t>701</w:t>
            </w:r>
          </w:p>
        </w:tc>
        <w:tc>
          <w:tcPr>
            <w:tcW w:w="4536" w:type="dxa"/>
          </w:tcPr>
          <w:p w:rsidR="00651777" w:rsidRPr="00314FF5" w:rsidRDefault="0054008B" w:rsidP="006C04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="00C4553C" w:rsidRPr="0004250E">
              <w:rPr>
                <w:sz w:val="24"/>
                <w:szCs w:val="24"/>
              </w:rPr>
              <w:t>de diciembre 2014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D2339B" w:rsidRPr="00314FF5" w:rsidTr="00D2339B">
        <w:tc>
          <w:tcPr>
            <w:tcW w:w="1384" w:type="dxa"/>
          </w:tcPr>
          <w:p w:rsidR="00D2339B" w:rsidRPr="00314FF5" w:rsidRDefault="00D2339B" w:rsidP="00651777">
            <w:pPr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D2339B" w:rsidRPr="00314FF5" w:rsidRDefault="00D2339B" w:rsidP="00651777">
            <w:pPr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D2339B" w:rsidRPr="00314FF5" w:rsidRDefault="00D2339B" w:rsidP="00651777">
            <w:pPr>
              <w:spacing w:before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2339B" w:rsidRPr="00314FF5" w:rsidRDefault="00D2339B" w:rsidP="00651777">
            <w:pPr>
              <w:spacing w:before="0"/>
              <w:rPr>
                <w:sz w:val="24"/>
                <w:szCs w:val="24"/>
              </w:rPr>
            </w:pPr>
          </w:p>
        </w:tc>
      </w:tr>
      <w:tr w:rsidR="00D2339B" w:rsidRPr="00314FF5" w:rsidTr="00EA15B3">
        <w:tc>
          <w:tcPr>
            <w:tcW w:w="9889" w:type="dxa"/>
            <w:gridSpan w:val="5"/>
          </w:tcPr>
          <w:p w:rsidR="00D2339B" w:rsidRPr="00314FF5" w:rsidRDefault="00CD0E47" w:rsidP="0054008B">
            <w:pPr>
              <w:jc w:val="left"/>
              <w:rPr>
                <w:b/>
                <w:sz w:val="24"/>
                <w:szCs w:val="24"/>
              </w:rPr>
            </w:pPr>
            <w:r w:rsidRPr="00314FF5">
              <w:rPr>
                <w:b/>
                <w:sz w:val="24"/>
                <w:szCs w:val="24"/>
              </w:rPr>
              <w:t>A las Administraciones de los Estados Miembros de la UIT, a los Miembros</w:t>
            </w:r>
            <w:r w:rsidRPr="00314FF5">
              <w:rPr>
                <w:b/>
                <w:sz w:val="24"/>
                <w:szCs w:val="24"/>
              </w:rPr>
              <w:br/>
              <w:t>del Sector de Radiocomunicaciones y a los Asociados del UIT-R que participan</w:t>
            </w:r>
            <w:r w:rsidRPr="00314FF5">
              <w:rPr>
                <w:b/>
                <w:sz w:val="24"/>
                <w:szCs w:val="24"/>
              </w:rPr>
              <w:br/>
              <w:t xml:space="preserve">en los trabajos de la Comisión de Estudio </w:t>
            </w:r>
            <w:r w:rsidR="0054008B">
              <w:rPr>
                <w:b/>
                <w:sz w:val="24"/>
                <w:szCs w:val="24"/>
              </w:rPr>
              <w:t>6</w:t>
            </w:r>
            <w:r w:rsidRPr="00314FF5">
              <w:rPr>
                <w:b/>
                <w:sz w:val="24"/>
                <w:szCs w:val="24"/>
              </w:rPr>
              <w:t xml:space="preserve"> de </w:t>
            </w:r>
            <w:r w:rsidR="006C04E0" w:rsidRPr="00314FF5">
              <w:rPr>
                <w:b/>
                <w:sz w:val="24"/>
                <w:szCs w:val="24"/>
              </w:rPr>
              <w:t>Radiocomunicaciones</w:t>
            </w:r>
          </w:p>
          <w:p w:rsidR="00CD0E47" w:rsidRPr="00314FF5" w:rsidRDefault="00CD0E47" w:rsidP="00CD0E47">
            <w:pPr>
              <w:jc w:val="left"/>
              <w:rPr>
                <w:sz w:val="24"/>
                <w:szCs w:val="24"/>
              </w:rPr>
            </w:pPr>
          </w:p>
        </w:tc>
      </w:tr>
      <w:tr w:rsidR="00CD0E47" w:rsidRPr="00314FF5" w:rsidTr="00471EDA">
        <w:tc>
          <w:tcPr>
            <w:tcW w:w="1526" w:type="dxa"/>
            <w:gridSpan w:val="2"/>
            <w:shd w:val="clear" w:color="auto" w:fill="auto"/>
          </w:tcPr>
          <w:p w:rsidR="00CD0E47" w:rsidRPr="00314FF5" w:rsidRDefault="00CD0E47" w:rsidP="006C04E0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  <w:bookmarkStart w:id="3" w:name="Formula"/>
            <w:bookmarkStart w:id="4" w:name="MainStory"/>
            <w:bookmarkStart w:id="5" w:name="CurrentLocation"/>
            <w:bookmarkEnd w:id="3"/>
            <w:bookmarkEnd w:id="4"/>
            <w:bookmarkEnd w:id="5"/>
            <w:proofErr w:type="spellStart"/>
            <w:r w:rsidRPr="00314FF5">
              <w:rPr>
                <w:sz w:val="24"/>
                <w:szCs w:val="24"/>
                <w:lang w:val="en-US"/>
              </w:rPr>
              <w:t>Objeto</w:t>
            </w:r>
            <w:proofErr w:type="spellEnd"/>
            <w:r w:rsidR="006C04E0" w:rsidRPr="00314FF5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8363" w:type="dxa"/>
            <w:gridSpan w:val="3"/>
            <w:vMerge w:val="restart"/>
            <w:shd w:val="clear" w:color="auto" w:fill="auto"/>
          </w:tcPr>
          <w:p w:rsidR="00CD0E47" w:rsidRPr="00314FF5" w:rsidRDefault="00CD0E47" w:rsidP="0054008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  <w:bCs/>
                <w:sz w:val="24"/>
                <w:szCs w:val="24"/>
              </w:rPr>
            </w:pPr>
            <w:r w:rsidRPr="00314FF5">
              <w:rPr>
                <w:b/>
                <w:bCs/>
                <w:sz w:val="24"/>
                <w:szCs w:val="24"/>
              </w:rPr>
              <w:t xml:space="preserve">Comisión de Estudio </w:t>
            </w:r>
            <w:r w:rsidR="0054008B">
              <w:rPr>
                <w:b/>
                <w:bCs/>
                <w:sz w:val="24"/>
                <w:szCs w:val="24"/>
              </w:rPr>
              <w:t>6</w:t>
            </w:r>
            <w:r w:rsidRPr="00314FF5">
              <w:rPr>
                <w:b/>
                <w:bCs/>
                <w:sz w:val="24"/>
                <w:szCs w:val="24"/>
              </w:rPr>
              <w:t xml:space="preserve"> de Radiocomunicaciones </w:t>
            </w:r>
            <w:r w:rsidR="002C54C3" w:rsidRPr="00314FF5">
              <w:rPr>
                <w:b/>
                <w:bCs/>
                <w:sz w:val="24"/>
                <w:szCs w:val="24"/>
              </w:rPr>
              <w:t>(</w:t>
            </w:r>
            <w:r w:rsidR="0054008B" w:rsidRPr="0068369F">
              <w:rPr>
                <w:rStyle w:val="h21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Servicio de radiodifusión</w:t>
            </w:r>
            <w:r w:rsidR="002C54C3" w:rsidRPr="00314FF5">
              <w:rPr>
                <w:b/>
                <w:bCs/>
                <w:sz w:val="24"/>
                <w:szCs w:val="24"/>
              </w:rPr>
              <w:t>)</w:t>
            </w:r>
          </w:p>
          <w:p w:rsidR="00CD0E47" w:rsidRPr="00314FF5" w:rsidRDefault="00CD0E47" w:rsidP="0054008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  <w:bCs/>
                <w:sz w:val="24"/>
                <w:szCs w:val="24"/>
              </w:rPr>
            </w:pPr>
            <w:r w:rsidRPr="00314FF5">
              <w:rPr>
                <w:sz w:val="24"/>
                <w:szCs w:val="24"/>
              </w:rPr>
              <w:t>–</w:t>
            </w:r>
            <w:r w:rsidRPr="00314FF5">
              <w:rPr>
                <w:b/>
                <w:bCs/>
                <w:sz w:val="24"/>
                <w:szCs w:val="24"/>
              </w:rPr>
              <w:tab/>
            </w:r>
            <w:r w:rsidR="00CE6299" w:rsidRPr="00314FF5">
              <w:rPr>
                <w:b/>
                <w:bCs/>
                <w:sz w:val="24"/>
                <w:szCs w:val="24"/>
              </w:rPr>
              <w:t xml:space="preserve">Propuesta de adopción de </w:t>
            </w:r>
            <w:r w:rsidR="0054008B">
              <w:rPr>
                <w:b/>
                <w:bCs/>
                <w:sz w:val="24"/>
                <w:szCs w:val="24"/>
              </w:rPr>
              <w:t>2</w:t>
            </w:r>
            <w:r w:rsidR="00CE6299" w:rsidRPr="00314FF5">
              <w:rPr>
                <w:b/>
                <w:bCs/>
                <w:sz w:val="24"/>
                <w:szCs w:val="24"/>
              </w:rPr>
              <w:t xml:space="preserve"> proyectos de nueva Recomendación UIT-R y </w:t>
            </w:r>
            <w:r w:rsidR="0054008B">
              <w:rPr>
                <w:b/>
                <w:bCs/>
                <w:sz w:val="24"/>
                <w:szCs w:val="24"/>
              </w:rPr>
              <w:t>8</w:t>
            </w:r>
            <w:r w:rsidR="00CE6299" w:rsidRPr="00314FF5">
              <w:rPr>
                <w:b/>
                <w:bCs/>
                <w:sz w:val="24"/>
                <w:szCs w:val="24"/>
              </w:rPr>
              <w:t> </w:t>
            </w:r>
            <w:r w:rsidR="00CE6299" w:rsidRPr="00314FF5">
              <w:rPr>
                <w:b/>
                <w:sz w:val="24"/>
                <w:szCs w:val="24"/>
              </w:rPr>
              <w:t>proyectos de Recomendación UIT-R revisada y su aprobación simultánea por correspondencia de conformidad con el § 10.3 de la Resolución UIT</w:t>
            </w:r>
            <w:r w:rsidR="00CE6299" w:rsidRPr="00314FF5">
              <w:rPr>
                <w:b/>
                <w:sz w:val="24"/>
                <w:szCs w:val="24"/>
              </w:rPr>
              <w:noBreakHyphen/>
              <w:t>R 1</w:t>
            </w:r>
            <w:r w:rsidR="00CE6299" w:rsidRPr="00314FF5">
              <w:rPr>
                <w:b/>
                <w:sz w:val="24"/>
                <w:szCs w:val="24"/>
              </w:rPr>
              <w:noBreakHyphen/>
              <w:t>6 (Procedimiento para la adopción y aprobación simultánea por correspondencia)</w:t>
            </w:r>
          </w:p>
          <w:p w:rsidR="00CD0E47" w:rsidRPr="00314FF5" w:rsidRDefault="00CD0E47" w:rsidP="00DE49DB">
            <w:pPr>
              <w:tabs>
                <w:tab w:val="left" w:pos="459"/>
              </w:tabs>
              <w:spacing w:before="0"/>
              <w:ind w:left="459" w:hanging="459"/>
              <w:jc w:val="left"/>
              <w:rPr>
                <w:b/>
                <w:bCs/>
                <w:sz w:val="24"/>
                <w:szCs w:val="24"/>
              </w:rPr>
            </w:pPr>
            <w:r w:rsidRPr="00314FF5">
              <w:rPr>
                <w:sz w:val="24"/>
                <w:szCs w:val="24"/>
              </w:rPr>
              <w:t>–</w:t>
            </w:r>
            <w:r w:rsidRPr="00314FF5">
              <w:rPr>
                <w:b/>
                <w:bCs/>
                <w:sz w:val="24"/>
                <w:szCs w:val="24"/>
              </w:rPr>
              <w:tab/>
            </w:r>
            <w:r w:rsidR="002C54C3" w:rsidRPr="00314FF5">
              <w:rPr>
                <w:b/>
                <w:bCs/>
                <w:sz w:val="24"/>
                <w:szCs w:val="24"/>
              </w:rPr>
              <w:t xml:space="preserve">Propuesta </w:t>
            </w:r>
            <w:r w:rsidR="007B0686">
              <w:rPr>
                <w:b/>
                <w:bCs/>
                <w:sz w:val="24"/>
                <w:szCs w:val="24"/>
              </w:rPr>
              <w:t>de aprobaci</w:t>
            </w:r>
            <w:r w:rsidR="007B0686" w:rsidRPr="00314FF5">
              <w:rPr>
                <w:b/>
                <w:bCs/>
                <w:sz w:val="24"/>
                <w:szCs w:val="24"/>
              </w:rPr>
              <w:t>ón</w:t>
            </w:r>
            <w:r w:rsidR="007B0686">
              <w:rPr>
                <w:b/>
                <w:bCs/>
                <w:sz w:val="24"/>
                <w:szCs w:val="24"/>
              </w:rPr>
              <w:t xml:space="preserve"> </w:t>
            </w:r>
            <w:r w:rsidR="002C54C3" w:rsidRPr="00314FF5">
              <w:rPr>
                <w:b/>
                <w:bCs/>
                <w:sz w:val="24"/>
                <w:szCs w:val="24"/>
              </w:rPr>
              <w:t xml:space="preserve">de supresión de </w:t>
            </w:r>
            <w:r w:rsidR="0054008B">
              <w:rPr>
                <w:b/>
                <w:bCs/>
                <w:sz w:val="24"/>
                <w:szCs w:val="24"/>
              </w:rPr>
              <w:t>2</w:t>
            </w:r>
            <w:r w:rsidR="00DE49DB">
              <w:rPr>
                <w:b/>
                <w:bCs/>
                <w:sz w:val="24"/>
                <w:szCs w:val="24"/>
              </w:rPr>
              <w:t xml:space="preserve"> Recomendacion</w:t>
            </w:r>
            <w:r w:rsidR="002C54C3" w:rsidRPr="00314FF5">
              <w:rPr>
                <w:b/>
                <w:bCs/>
                <w:sz w:val="24"/>
                <w:szCs w:val="24"/>
              </w:rPr>
              <w:t>es UIT-R</w:t>
            </w:r>
          </w:p>
        </w:tc>
      </w:tr>
      <w:tr w:rsidR="00CD0E47" w:rsidRPr="00314FF5" w:rsidTr="00471EDA">
        <w:tc>
          <w:tcPr>
            <w:tcW w:w="1526" w:type="dxa"/>
            <w:gridSpan w:val="2"/>
            <w:shd w:val="clear" w:color="auto" w:fill="auto"/>
          </w:tcPr>
          <w:p w:rsidR="00CD0E47" w:rsidRPr="00314FF5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vMerge/>
            <w:shd w:val="clear" w:color="auto" w:fill="auto"/>
          </w:tcPr>
          <w:p w:rsidR="00CD0E47" w:rsidRPr="00314FF5" w:rsidRDefault="00CD0E47" w:rsidP="00CD0E47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CD0E47" w:rsidRPr="00314FF5" w:rsidTr="00471EDA">
        <w:tc>
          <w:tcPr>
            <w:tcW w:w="1526" w:type="dxa"/>
            <w:gridSpan w:val="2"/>
            <w:shd w:val="clear" w:color="auto" w:fill="auto"/>
          </w:tcPr>
          <w:p w:rsidR="00CD0E47" w:rsidRPr="00314FF5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vMerge/>
            <w:shd w:val="clear" w:color="auto" w:fill="auto"/>
          </w:tcPr>
          <w:p w:rsidR="00CD0E47" w:rsidRPr="00314FF5" w:rsidRDefault="00CD0E47" w:rsidP="00CD0E47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CD0E47" w:rsidRPr="00314FF5" w:rsidTr="00471EDA">
        <w:tc>
          <w:tcPr>
            <w:tcW w:w="9889" w:type="dxa"/>
            <w:gridSpan w:val="5"/>
            <w:shd w:val="clear" w:color="auto" w:fill="auto"/>
          </w:tcPr>
          <w:p w:rsidR="00CD0E47" w:rsidRPr="00314FF5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:rsidR="00CE6299" w:rsidRPr="00314FF5" w:rsidRDefault="00CE6299" w:rsidP="007B0686">
      <w:pPr>
        <w:spacing w:before="600"/>
        <w:rPr>
          <w:sz w:val="24"/>
          <w:szCs w:val="24"/>
        </w:rPr>
      </w:pPr>
      <w:r w:rsidRPr="00314FF5">
        <w:rPr>
          <w:sz w:val="24"/>
          <w:szCs w:val="24"/>
        </w:rPr>
        <w:t xml:space="preserve">En la reunión de la Comisión de Estudio </w:t>
      </w:r>
      <w:r w:rsidR="0007406D">
        <w:rPr>
          <w:sz w:val="24"/>
          <w:szCs w:val="24"/>
        </w:rPr>
        <w:t>6</w:t>
      </w:r>
      <w:r w:rsidRPr="00314FF5">
        <w:rPr>
          <w:sz w:val="24"/>
          <w:szCs w:val="24"/>
        </w:rPr>
        <w:t xml:space="preserve"> de</w:t>
      </w:r>
      <w:r w:rsidR="0047728F">
        <w:rPr>
          <w:sz w:val="24"/>
          <w:szCs w:val="24"/>
        </w:rPr>
        <w:t xml:space="preserve"> Radiocomunicaciones celebrada </w:t>
      </w:r>
      <w:r w:rsidRPr="0004250E">
        <w:rPr>
          <w:rFonts w:asciiTheme="minorHAnsi" w:hAnsiTheme="minorHAnsi"/>
          <w:sz w:val="24"/>
          <w:szCs w:val="24"/>
        </w:rPr>
        <w:t xml:space="preserve">el </w:t>
      </w:r>
      <w:r w:rsidR="00C4553C" w:rsidRPr="0004250E">
        <w:rPr>
          <w:rStyle w:val="hps"/>
          <w:rFonts w:asciiTheme="minorHAnsi" w:hAnsiTheme="minorHAnsi" w:cs="Arial"/>
          <w:color w:val="222222"/>
          <w:sz w:val="24"/>
          <w:szCs w:val="24"/>
          <w:lang w:val="es-ES"/>
        </w:rPr>
        <w:t xml:space="preserve">21 de noviembre </w:t>
      </w:r>
      <w:r w:rsidRPr="0004250E">
        <w:rPr>
          <w:rFonts w:asciiTheme="minorHAnsi" w:hAnsiTheme="minorHAnsi"/>
          <w:sz w:val="24"/>
          <w:szCs w:val="24"/>
        </w:rPr>
        <w:t>de</w:t>
      </w:r>
      <w:r w:rsidRPr="0004250E">
        <w:rPr>
          <w:sz w:val="24"/>
          <w:szCs w:val="24"/>
        </w:rPr>
        <w:t xml:space="preserve"> 201</w:t>
      </w:r>
      <w:r w:rsidR="006E580D">
        <w:rPr>
          <w:sz w:val="24"/>
          <w:szCs w:val="24"/>
        </w:rPr>
        <w:t>4</w:t>
      </w:r>
      <w:r w:rsidRPr="0004250E">
        <w:rPr>
          <w:sz w:val="24"/>
          <w:szCs w:val="24"/>
        </w:rPr>
        <w:t xml:space="preserve">, la Comisión de Estudio decidió solicitar la adopción de </w:t>
      </w:r>
      <w:r w:rsidR="0054008B" w:rsidRPr="0004250E">
        <w:rPr>
          <w:sz w:val="24"/>
          <w:szCs w:val="24"/>
        </w:rPr>
        <w:t>2</w:t>
      </w:r>
      <w:r w:rsidRPr="0004250E">
        <w:rPr>
          <w:sz w:val="24"/>
          <w:szCs w:val="24"/>
        </w:rPr>
        <w:t xml:space="preserve"> proyectos de nueva Recomendación UIT-R y de </w:t>
      </w:r>
      <w:r w:rsidR="0054008B" w:rsidRPr="0004250E">
        <w:rPr>
          <w:sz w:val="24"/>
          <w:szCs w:val="24"/>
        </w:rPr>
        <w:t>8</w:t>
      </w:r>
      <w:r w:rsidRPr="0004250E">
        <w:rPr>
          <w:sz w:val="24"/>
          <w:szCs w:val="24"/>
        </w:rPr>
        <w:t xml:space="preserve"> proyectos de Recomendación </w:t>
      </w:r>
      <w:r w:rsidR="00F25AA4" w:rsidRPr="0004250E">
        <w:rPr>
          <w:sz w:val="24"/>
          <w:szCs w:val="24"/>
        </w:rPr>
        <w:t xml:space="preserve">UIT-R </w:t>
      </w:r>
      <w:r w:rsidRPr="0004250E">
        <w:rPr>
          <w:sz w:val="24"/>
          <w:szCs w:val="24"/>
        </w:rPr>
        <w:t>revisada por correspondencia</w:t>
      </w:r>
      <w:r w:rsidRPr="00314FF5">
        <w:rPr>
          <w:sz w:val="24"/>
          <w:szCs w:val="24"/>
        </w:rPr>
        <w:t xml:space="preserve"> (§ 10.2.3 de la Resolución UIT</w:t>
      </w:r>
      <w:r w:rsidRPr="00314FF5">
        <w:rPr>
          <w:sz w:val="24"/>
          <w:szCs w:val="24"/>
        </w:rPr>
        <w:noBreakHyphen/>
        <w:t>R 1</w:t>
      </w:r>
      <w:r w:rsidRPr="00314FF5">
        <w:rPr>
          <w:sz w:val="24"/>
          <w:szCs w:val="24"/>
        </w:rPr>
        <w:noBreakHyphen/>
        <w:t>6), y decidió además aplicar el procedimiento de adopción y aprobación simultáneas por correspondencia (PAAS) (§ 10.3 de la Resolución UIT</w:t>
      </w:r>
      <w:r w:rsidRPr="00314FF5">
        <w:rPr>
          <w:sz w:val="24"/>
          <w:szCs w:val="24"/>
        </w:rPr>
        <w:noBreakHyphen/>
        <w:t>R 1</w:t>
      </w:r>
      <w:r w:rsidRPr="00314FF5">
        <w:rPr>
          <w:sz w:val="24"/>
          <w:szCs w:val="24"/>
        </w:rPr>
        <w:noBreakHyphen/>
        <w:t>6). Los títulos y resúmenes de los proyectos de Recomenda</w:t>
      </w:r>
      <w:r w:rsidR="0047728F" w:rsidRPr="00333F21">
        <w:rPr>
          <w:sz w:val="24"/>
          <w:szCs w:val="24"/>
        </w:rPr>
        <w:t>ciones</w:t>
      </w:r>
      <w:r w:rsidRPr="00314FF5">
        <w:rPr>
          <w:sz w:val="24"/>
          <w:szCs w:val="24"/>
        </w:rPr>
        <w:t xml:space="preserve"> aparecen en el Anexo 1. Además, la Comisión de Estudio propuso </w:t>
      </w:r>
      <w:r w:rsidR="00B57253">
        <w:rPr>
          <w:sz w:val="24"/>
          <w:szCs w:val="24"/>
        </w:rPr>
        <w:t>la aprobaci</w:t>
      </w:r>
      <w:r w:rsidR="00B57253" w:rsidRPr="00B57253">
        <w:rPr>
          <w:sz w:val="24"/>
          <w:szCs w:val="24"/>
        </w:rPr>
        <w:t>ón</w:t>
      </w:r>
      <w:r w:rsidR="00B57253" w:rsidRPr="00B57253">
        <w:rPr>
          <w:sz w:val="24"/>
          <w:szCs w:val="24"/>
        </w:rPr>
        <w:t xml:space="preserve"> de</w:t>
      </w:r>
      <w:r w:rsidR="00B57253">
        <w:rPr>
          <w:b/>
          <w:bCs/>
          <w:sz w:val="24"/>
          <w:szCs w:val="24"/>
        </w:rPr>
        <w:t xml:space="preserve"> </w:t>
      </w:r>
      <w:r w:rsidRPr="00314FF5">
        <w:rPr>
          <w:sz w:val="24"/>
          <w:szCs w:val="24"/>
        </w:rPr>
        <w:t xml:space="preserve">la supresión de </w:t>
      </w:r>
      <w:r w:rsidR="0054008B">
        <w:rPr>
          <w:sz w:val="24"/>
          <w:szCs w:val="24"/>
        </w:rPr>
        <w:t>2 Recomendacion</w:t>
      </w:r>
      <w:r w:rsidRPr="00314FF5">
        <w:rPr>
          <w:sz w:val="24"/>
          <w:szCs w:val="24"/>
        </w:rPr>
        <w:t>es que figuran en el Anexo 2.</w:t>
      </w:r>
    </w:p>
    <w:p w:rsidR="00CE6299" w:rsidRPr="00314FF5" w:rsidRDefault="00CE6299" w:rsidP="00E16F38">
      <w:pPr>
        <w:rPr>
          <w:sz w:val="24"/>
          <w:szCs w:val="24"/>
        </w:rPr>
      </w:pPr>
      <w:r w:rsidRPr="00314FF5">
        <w:rPr>
          <w:sz w:val="24"/>
          <w:szCs w:val="24"/>
        </w:rPr>
        <w:t xml:space="preserve">El periodo de consideración se extenderá durante 2 meses finalizando el </w:t>
      </w:r>
      <w:r w:rsidR="00C4553C" w:rsidRPr="009C0491">
        <w:rPr>
          <w:sz w:val="24"/>
          <w:szCs w:val="24"/>
          <w:u w:val="single"/>
        </w:rPr>
        <w:t xml:space="preserve">4 de febrero </w:t>
      </w:r>
      <w:r w:rsidR="0047728F" w:rsidRPr="009C0491">
        <w:rPr>
          <w:sz w:val="24"/>
          <w:szCs w:val="24"/>
          <w:u w:val="single"/>
        </w:rPr>
        <w:t xml:space="preserve">de </w:t>
      </w:r>
      <w:r w:rsidR="00C4553C" w:rsidRPr="009C0491">
        <w:rPr>
          <w:sz w:val="24"/>
          <w:szCs w:val="24"/>
          <w:u w:val="single"/>
        </w:rPr>
        <w:t>2015</w:t>
      </w:r>
      <w:r w:rsidRPr="00314FF5">
        <w:rPr>
          <w:sz w:val="24"/>
          <w:szCs w:val="24"/>
        </w:rPr>
        <w:t>. Si durante este periodo no se reciben objeciones de los Estados Miembros, se considerará que los proyectos de Recomendación serán adoptados por la Comisión de Estudio </w:t>
      </w:r>
      <w:r w:rsidR="0054008B">
        <w:rPr>
          <w:sz w:val="24"/>
          <w:szCs w:val="24"/>
        </w:rPr>
        <w:t>6</w:t>
      </w:r>
      <w:r w:rsidRPr="00314FF5">
        <w:rPr>
          <w:sz w:val="24"/>
          <w:szCs w:val="24"/>
        </w:rPr>
        <w:t xml:space="preserve">. Además, como se ha seguido el PAAS, los proyectos de </w:t>
      </w:r>
      <w:r w:rsidR="00E16F38">
        <w:rPr>
          <w:sz w:val="24"/>
          <w:szCs w:val="24"/>
        </w:rPr>
        <w:t>Recomendaciones</w:t>
      </w:r>
      <w:r w:rsidRPr="00314FF5">
        <w:rPr>
          <w:sz w:val="24"/>
          <w:szCs w:val="24"/>
        </w:rPr>
        <w:t xml:space="preserve"> también se considerarán aprobados.</w:t>
      </w:r>
    </w:p>
    <w:p w:rsidR="00CE6299" w:rsidRPr="00314FF5" w:rsidRDefault="00CE6299" w:rsidP="005A70FA">
      <w:pPr>
        <w:rPr>
          <w:sz w:val="24"/>
          <w:szCs w:val="24"/>
        </w:rPr>
      </w:pPr>
      <w:r w:rsidRPr="00314FF5">
        <w:rPr>
          <w:sz w:val="24"/>
          <w:szCs w:val="24"/>
        </w:rPr>
        <w:t xml:space="preserve">Todo Estado Miembro que tenga una objeción a la adopción de un proyecto de Recomendación </w:t>
      </w:r>
      <w:r w:rsidR="004E196E" w:rsidRPr="007E668D">
        <w:rPr>
          <w:sz w:val="24"/>
          <w:szCs w:val="24"/>
        </w:rPr>
        <w:t xml:space="preserve">o </w:t>
      </w:r>
      <w:r w:rsidR="00B57253">
        <w:rPr>
          <w:sz w:val="24"/>
          <w:szCs w:val="24"/>
        </w:rPr>
        <w:t xml:space="preserve">a </w:t>
      </w:r>
      <w:r w:rsidR="005A70FA">
        <w:rPr>
          <w:sz w:val="24"/>
          <w:szCs w:val="24"/>
        </w:rPr>
        <w:t>la a</w:t>
      </w:r>
      <w:r w:rsidR="004E196E" w:rsidRPr="007E668D">
        <w:rPr>
          <w:sz w:val="24"/>
          <w:szCs w:val="24"/>
        </w:rPr>
        <w:t>probación de la</w:t>
      </w:r>
      <w:r w:rsidR="004E196E">
        <w:rPr>
          <w:sz w:val="24"/>
          <w:szCs w:val="24"/>
        </w:rPr>
        <w:t xml:space="preserve"> supresión de una Recomendación </w:t>
      </w:r>
      <w:r w:rsidRPr="00314FF5">
        <w:rPr>
          <w:sz w:val="24"/>
          <w:szCs w:val="24"/>
        </w:rPr>
        <w:t>debe informar al Director y al Presidente de la Comisión de Estudio de los motivos de dicha objeción.</w:t>
      </w:r>
    </w:p>
    <w:p w:rsidR="00CE6299" w:rsidRPr="00314FF5" w:rsidRDefault="00CE6299" w:rsidP="0047728F">
      <w:pPr>
        <w:rPr>
          <w:sz w:val="24"/>
          <w:szCs w:val="24"/>
        </w:rPr>
      </w:pPr>
      <w:r w:rsidRPr="00314FF5">
        <w:rPr>
          <w:sz w:val="24"/>
          <w:szCs w:val="24"/>
        </w:rPr>
        <w:t>Tras la fecha límite mencionada, los resultados del PAAS se comunicarán mediante Circular Admin</w:t>
      </w:r>
      <w:r w:rsidR="0047728F">
        <w:rPr>
          <w:sz w:val="24"/>
          <w:szCs w:val="24"/>
        </w:rPr>
        <w:t>istrativa y la</w:t>
      </w:r>
      <w:r w:rsidR="0054008B">
        <w:rPr>
          <w:sz w:val="24"/>
          <w:szCs w:val="24"/>
        </w:rPr>
        <w:t>s Recomendacion</w:t>
      </w:r>
      <w:r w:rsidRPr="00314FF5">
        <w:rPr>
          <w:sz w:val="24"/>
          <w:szCs w:val="24"/>
        </w:rPr>
        <w:t>es</w:t>
      </w:r>
      <w:r w:rsidR="0047728F">
        <w:rPr>
          <w:sz w:val="24"/>
          <w:szCs w:val="24"/>
        </w:rPr>
        <w:t xml:space="preserve"> aprobada</w:t>
      </w:r>
      <w:r w:rsidR="0007406D">
        <w:rPr>
          <w:sz w:val="24"/>
          <w:szCs w:val="24"/>
        </w:rPr>
        <w:t>s se publicará</w:t>
      </w:r>
      <w:r w:rsidRPr="00314FF5">
        <w:rPr>
          <w:sz w:val="24"/>
          <w:szCs w:val="24"/>
        </w:rPr>
        <w:t xml:space="preserve">n tan pronto como sea posible (véase </w:t>
      </w:r>
      <w:hyperlink r:id="rId7" w:history="1">
        <w:r w:rsidRPr="00314FF5">
          <w:rPr>
            <w:color w:val="0000FF"/>
            <w:sz w:val="24"/>
            <w:szCs w:val="24"/>
            <w:u w:val="single"/>
          </w:rPr>
          <w:t>http://www.itu.int/pub/R-REC</w:t>
        </w:r>
      </w:hyperlink>
      <w:r w:rsidRPr="00314FF5">
        <w:rPr>
          <w:sz w:val="24"/>
          <w:szCs w:val="24"/>
        </w:rPr>
        <w:t>).</w:t>
      </w:r>
    </w:p>
    <w:p w:rsidR="00CE6299" w:rsidRPr="00314FF5" w:rsidRDefault="00CE6299" w:rsidP="00CE629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z w:val="24"/>
          <w:szCs w:val="24"/>
        </w:rPr>
      </w:pPr>
      <w:r w:rsidRPr="00314FF5">
        <w:rPr>
          <w:sz w:val="24"/>
          <w:szCs w:val="24"/>
        </w:rPr>
        <w:br w:type="page"/>
      </w:r>
    </w:p>
    <w:p w:rsidR="00CE6299" w:rsidRPr="00314FF5" w:rsidRDefault="00CE6299" w:rsidP="00997FC6">
      <w:pPr>
        <w:rPr>
          <w:sz w:val="24"/>
          <w:szCs w:val="24"/>
        </w:rPr>
      </w:pPr>
      <w:r w:rsidRPr="00314FF5">
        <w:rPr>
          <w:sz w:val="24"/>
          <w:szCs w:val="24"/>
        </w:rPr>
        <w:lastRenderedPageBreak/>
        <w:t>Se solicita a toda organización miembro de la UIT que tenga conocimiento de una patente, de su propiedad o de propiedad ajena, que cubra total o parcialmente elementos del proyecto o proyectos de Recomendaciones mencionados en esta carta, que comunique dicha información a la Secretaría tan pronto como sea posible. La Política común en materia de patentes para UIT</w:t>
      </w:r>
      <w:r w:rsidR="00E010B8" w:rsidRPr="00314FF5">
        <w:rPr>
          <w:sz w:val="24"/>
          <w:szCs w:val="24"/>
        </w:rPr>
        <w:noBreakHyphen/>
      </w:r>
      <w:r w:rsidRPr="00314FF5">
        <w:rPr>
          <w:sz w:val="24"/>
          <w:szCs w:val="24"/>
        </w:rPr>
        <w:t>T/UIT</w:t>
      </w:r>
      <w:r w:rsidR="00E010B8" w:rsidRPr="00314FF5">
        <w:rPr>
          <w:sz w:val="24"/>
          <w:szCs w:val="24"/>
        </w:rPr>
        <w:noBreakHyphen/>
      </w:r>
      <w:r w:rsidRPr="00314FF5">
        <w:rPr>
          <w:sz w:val="24"/>
          <w:szCs w:val="24"/>
        </w:rPr>
        <w:t>R/ISO/CEI puede consultarse en</w:t>
      </w:r>
      <w:r w:rsidR="00A9747B" w:rsidRPr="00314FF5">
        <w:rPr>
          <w:sz w:val="24"/>
          <w:szCs w:val="24"/>
        </w:rPr>
        <w:t>:</w:t>
      </w:r>
      <w:r w:rsidRPr="00314FF5">
        <w:rPr>
          <w:sz w:val="24"/>
          <w:szCs w:val="24"/>
        </w:rPr>
        <w:t xml:space="preserve"> </w:t>
      </w:r>
      <w:hyperlink r:id="rId8" w:history="1">
        <w:r w:rsidR="00997FC6" w:rsidRPr="00A4009C">
          <w:rPr>
            <w:rStyle w:val="Hyperlink"/>
            <w:sz w:val="24"/>
            <w:szCs w:val="24"/>
          </w:rPr>
          <w:t>http://www.itu.int/en/ITU-T/ipr/Pages/policy.aspx</w:t>
        </w:r>
      </w:hyperlink>
      <w:r w:rsidRPr="00314FF5">
        <w:rPr>
          <w:sz w:val="24"/>
          <w:szCs w:val="24"/>
        </w:rPr>
        <w:t>.</w:t>
      </w:r>
    </w:p>
    <w:p w:rsidR="00CE6299" w:rsidRPr="00314FF5" w:rsidRDefault="00CE6299" w:rsidP="00CE6299">
      <w:pPr>
        <w:jc w:val="left"/>
        <w:rPr>
          <w:sz w:val="24"/>
          <w:szCs w:val="24"/>
        </w:rPr>
      </w:pPr>
    </w:p>
    <w:p w:rsidR="00CE6299" w:rsidRPr="00314FF5" w:rsidRDefault="00CE6299" w:rsidP="00CE6299">
      <w:pPr>
        <w:jc w:val="left"/>
        <w:rPr>
          <w:sz w:val="24"/>
          <w:szCs w:val="24"/>
        </w:rPr>
      </w:pPr>
    </w:p>
    <w:p w:rsidR="00CE6299" w:rsidRPr="00314FF5" w:rsidRDefault="00CE6299" w:rsidP="00CE6299">
      <w:pPr>
        <w:jc w:val="left"/>
        <w:rPr>
          <w:sz w:val="24"/>
          <w:szCs w:val="24"/>
        </w:rPr>
      </w:pPr>
    </w:p>
    <w:p w:rsidR="00CE6299" w:rsidRPr="00314FF5" w:rsidRDefault="00CE6299" w:rsidP="00CE6299">
      <w:pPr>
        <w:jc w:val="left"/>
        <w:rPr>
          <w:sz w:val="24"/>
          <w:szCs w:val="24"/>
        </w:rPr>
      </w:pPr>
    </w:p>
    <w:p w:rsidR="00CE6299" w:rsidRPr="00314FF5" w:rsidRDefault="00CE6299" w:rsidP="00CE6299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left"/>
        <w:rPr>
          <w:sz w:val="24"/>
          <w:szCs w:val="24"/>
        </w:rPr>
      </w:pPr>
      <w:r w:rsidRPr="00314FF5">
        <w:rPr>
          <w:sz w:val="24"/>
          <w:szCs w:val="24"/>
        </w:rPr>
        <w:t xml:space="preserve">François </w:t>
      </w:r>
      <w:proofErr w:type="spellStart"/>
      <w:r w:rsidRPr="00314FF5">
        <w:rPr>
          <w:sz w:val="24"/>
          <w:szCs w:val="24"/>
        </w:rPr>
        <w:t>Rancy</w:t>
      </w:r>
      <w:proofErr w:type="spellEnd"/>
      <w:r w:rsidRPr="00314FF5">
        <w:rPr>
          <w:sz w:val="24"/>
          <w:szCs w:val="24"/>
        </w:rPr>
        <w:br/>
      </w:r>
      <w:r w:rsidR="000C4E7D" w:rsidRPr="00314FF5">
        <w:rPr>
          <w:sz w:val="24"/>
          <w:szCs w:val="24"/>
        </w:rPr>
        <w:t>Director</w:t>
      </w:r>
    </w:p>
    <w:p w:rsidR="00CE6299" w:rsidRPr="00314FF5" w:rsidRDefault="00CE6299" w:rsidP="00CE6299">
      <w:pPr>
        <w:jc w:val="left"/>
        <w:rPr>
          <w:sz w:val="24"/>
          <w:szCs w:val="24"/>
        </w:rPr>
      </w:pPr>
    </w:p>
    <w:p w:rsidR="00CE6299" w:rsidRPr="00314FF5" w:rsidRDefault="00CE6299" w:rsidP="00CE6299">
      <w:pPr>
        <w:jc w:val="left"/>
        <w:rPr>
          <w:sz w:val="24"/>
          <w:szCs w:val="24"/>
        </w:rPr>
      </w:pPr>
    </w:p>
    <w:p w:rsidR="00CE6299" w:rsidRPr="00314FF5" w:rsidRDefault="00CE6299" w:rsidP="00CE6299">
      <w:pPr>
        <w:jc w:val="left"/>
        <w:rPr>
          <w:sz w:val="24"/>
          <w:szCs w:val="24"/>
        </w:rPr>
      </w:pPr>
    </w:p>
    <w:p w:rsidR="00CE6299" w:rsidRPr="00314FF5" w:rsidRDefault="00CE6299" w:rsidP="00CE6299">
      <w:pPr>
        <w:jc w:val="left"/>
        <w:rPr>
          <w:sz w:val="24"/>
          <w:szCs w:val="24"/>
        </w:rPr>
      </w:pPr>
    </w:p>
    <w:p w:rsidR="00CE6299" w:rsidRPr="00314FF5" w:rsidRDefault="00CE6299" w:rsidP="00997FC6">
      <w:pPr>
        <w:jc w:val="left"/>
        <w:rPr>
          <w:sz w:val="24"/>
          <w:szCs w:val="24"/>
        </w:rPr>
      </w:pPr>
      <w:r w:rsidRPr="00314FF5">
        <w:rPr>
          <w:b/>
          <w:bCs/>
          <w:sz w:val="24"/>
          <w:szCs w:val="24"/>
        </w:rPr>
        <w:t>Anexo 1</w:t>
      </w:r>
      <w:r w:rsidR="005F3A03">
        <w:rPr>
          <w:sz w:val="24"/>
          <w:szCs w:val="24"/>
        </w:rPr>
        <w:t>:</w:t>
      </w:r>
      <w:r w:rsidR="000C4E7D" w:rsidRPr="00314FF5">
        <w:rPr>
          <w:sz w:val="24"/>
          <w:szCs w:val="24"/>
        </w:rPr>
        <w:tab/>
      </w:r>
      <w:r w:rsidR="00290AEE" w:rsidRPr="00314FF5">
        <w:rPr>
          <w:sz w:val="24"/>
          <w:szCs w:val="24"/>
        </w:rPr>
        <w:tab/>
      </w:r>
      <w:r w:rsidR="00997FC6" w:rsidRPr="00333F21">
        <w:rPr>
          <w:sz w:val="24"/>
          <w:szCs w:val="24"/>
        </w:rPr>
        <w:t>Títulos y resúmenes de los proyectos de Recomendaciones</w:t>
      </w:r>
    </w:p>
    <w:p w:rsidR="00CE6299" w:rsidRPr="00314FF5" w:rsidRDefault="00CE6299" w:rsidP="00997FC6">
      <w:pPr>
        <w:jc w:val="left"/>
        <w:rPr>
          <w:sz w:val="24"/>
          <w:szCs w:val="24"/>
        </w:rPr>
      </w:pPr>
      <w:r w:rsidRPr="00314FF5">
        <w:rPr>
          <w:b/>
          <w:bCs/>
          <w:sz w:val="24"/>
          <w:szCs w:val="24"/>
        </w:rPr>
        <w:t>Anexo 2</w:t>
      </w:r>
      <w:r w:rsidRPr="00314FF5">
        <w:rPr>
          <w:sz w:val="24"/>
          <w:szCs w:val="24"/>
        </w:rPr>
        <w:t>:</w:t>
      </w:r>
      <w:r w:rsidR="000C4E7D" w:rsidRPr="00314FF5">
        <w:rPr>
          <w:sz w:val="24"/>
          <w:szCs w:val="24"/>
        </w:rPr>
        <w:tab/>
      </w:r>
      <w:r w:rsidR="00290AEE" w:rsidRPr="00314FF5">
        <w:rPr>
          <w:sz w:val="24"/>
          <w:szCs w:val="24"/>
        </w:rPr>
        <w:tab/>
      </w:r>
      <w:r w:rsidR="00997FC6" w:rsidRPr="00333F21">
        <w:rPr>
          <w:sz w:val="24"/>
          <w:szCs w:val="24"/>
        </w:rPr>
        <w:t>Recomendaciones cuya supresión se propone</w:t>
      </w:r>
    </w:p>
    <w:p w:rsidR="00CE6299" w:rsidRPr="00C4553C" w:rsidRDefault="00997FC6" w:rsidP="005A70FA">
      <w:pPr>
        <w:ind w:left="1560" w:hanging="1702"/>
        <w:jc w:val="left"/>
        <w:rPr>
          <w:sz w:val="24"/>
          <w:szCs w:val="24"/>
        </w:rPr>
      </w:pPr>
      <w:r w:rsidRPr="00C4553C">
        <w:rPr>
          <w:b/>
          <w:bCs/>
          <w:sz w:val="24"/>
          <w:szCs w:val="24"/>
        </w:rPr>
        <w:t>Documento</w:t>
      </w:r>
      <w:r w:rsidR="00CE6299" w:rsidRPr="00C4553C">
        <w:rPr>
          <w:b/>
          <w:bCs/>
          <w:sz w:val="24"/>
          <w:szCs w:val="24"/>
        </w:rPr>
        <w:t>s</w:t>
      </w:r>
      <w:r w:rsidR="005A70FA" w:rsidRPr="00314FF5">
        <w:rPr>
          <w:sz w:val="24"/>
          <w:szCs w:val="24"/>
        </w:rPr>
        <w:tab/>
      </w:r>
      <w:r w:rsidR="00CE6299" w:rsidRPr="00C4553C">
        <w:rPr>
          <w:sz w:val="24"/>
          <w:szCs w:val="24"/>
        </w:rPr>
        <w:t>:</w:t>
      </w:r>
      <w:r w:rsidR="000C4E7D" w:rsidRPr="00C4553C">
        <w:rPr>
          <w:sz w:val="24"/>
          <w:szCs w:val="24"/>
        </w:rPr>
        <w:tab/>
      </w:r>
      <w:r w:rsidR="0047728F" w:rsidRPr="004E59B6">
        <w:rPr>
          <w:sz w:val="24"/>
          <w:szCs w:val="24"/>
        </w:rPr>
        <w:t>Documentos</w:t>
      </w:r>
      <w:r w:rsidRPr="00C4553C">
        <w:rPr>
          <w:sz w:val="24"/>
          <w:szCs w:val="24"/>
        </w:rPr>
        <w:t xml:space="preserve"> 6/282(Rev.1), 6/283(Rev.1), 6/296(Rev.1), 6/297(Rev.1), 6/298(Rev.1), 6/299(Rev.1), 6/300(Rev.1), 6/301(Rev.1), 6/303(Rev.1) </w:t>
      </w:r>
      <w:r w:rsidR="00C4553C" w:rsidRPr="00C4553C">
        <w:rPr>
          <w:sz w:val="24"/>
          <w:szCs w:val="24"/>
        </w:rPr>
        <w:t>y</w:t>
      </w:r>
      <w:r w:rsidRPr="00C4553C">
        <w:rPr>
          <w:sz w:val="24"/>
          <w:szCs w:val="24"/>
        </w:rPr>
        <w:t xml:space="preserve"> 6/309(Rev.1)</w:t>
      </w:r>
      <w:bookmarkStart w:id="6" w:name="_GoBack"/>
      <w:bookmarkEnd w:id="6"/>
    </w:p>
    <w:p w:rsidR="00CE6299" w:rsidRPr="00314FF5" w:rsidRDefault="0047728F" w:rsidP="00C4553C">
      <w:pPr>
        <w:jc w:val="left"/>
        <w:rPr>
          <w:sz w:val="24"/>
          <w:szCs w:val="24"/>
        </w:rPr>
      </w:pPr>
      <w:r w:rsidRPr="0068369F">
        <w:rPr>
          <w:sz w:val="24"/>
          <w:szCs w:val="24"/>
        </w:rPr>
        <w:t>Estos documentos están disponibles en formato electrónico en</w:t>
      </w:r>
      <w:r>
        <w:rPr>
          <w:sz w:val="24"/>
          <w:szCs w:val="24"/>
        </w:rPr>
        <w:t>:</w:t>
      </w:r>
      <w:r w:rsidR="00C4553C">
        <w:rPr>
          <w:sz w:val="24"/>
          <w:szCs w:val="24"/>
          <w:u w:val="single"/>
        </w:rPr>
        <w:br/>
      </w:r>
      <w:hyperlink r:id="rId9" w:history="1">
        <w:r w:rsidR="00997FC6" w:rsidRPr="00B574C5">
          <w:rPr>
            <w:rStyle w:val="Hyperlink"/>
            <w:sz w:val="24"/>
            <w:szCs w:val="24"/>
          </w:rPr>
          <w:t>http://www.itu.int/md/R12-SG06-C/en</w:t>
        </w:r>
      </w:hyperlink>
    </w:p>
    <w:p w:rsidR="007E59D7" w:rsidRPr="00314C01" w:rsidRDefault="007E59D7" w:rsidP="00CE6299">
      <w:pPr>
        <w:jc w:val="left"/>
        <w:rPr>
          <w:sz w:val="24"/>
          <w:szCs w:val="24"/>
        </w:rPr>
      </w:pPr>
    </w:p>
    <w:p w:rsidR="00CE6299" w:rsidRPr="000266B0" w:rsidRDefault="00CE6299" w:rsidP="00CE6299">
      <w:pPr>
        <w:tabs>
          <w:tab w:val="left" w:pos="284"/>
          <w:tab w:val="left" w:pos="568"/>
        </w:tabs>
        <w:spacing w:before="1920" w:after="60"/>
        <w:rPr>
          <w:b/>
          <w:bCs/>
          <w:sz w:val="18"/>
          <w:szCs w:val="18"/>
        </w:rPr>
      </w:pPr>
      <w:r w:rsidRPr="000266B0">
        <w:rPr>
          <w:b/>
          <w:bCs/>
          <w:sz w:val="18"/>
          <w:szCs w:val="18"/>
        </w:rPr>
        <w:t>Distribución:</w:t>
      </w:r>
    </w:p>
    <w:p w:rsidR="00CE6299" w:rsidRPr="000266B0" w:rsidRDefault="00CE6299" w:rsidP="00DE17EA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sz w:val="18"/>
          <w:szCs w:val="18"/>
        </w:rPr>
      </w:pPr>
      <w:r w:rsidRPr="000266B0">
        <w:rPr>
          <w:sz w:val="18"/>
          <w:szCs w:val="18"/>
        </w:rPr>
        <w:t>–</w:t>
      </w:r>
      <w:r w:rsidRPr="000266B0">
        <w:rPr>
          <w:sz w:val="18"/>
          <w:szCs w:val="18"/>
        </w:rPr>
        <w:tab/>
        <w:t xml:space="preserve">Administraciones de los Estados Miembros </w:t>
      </w:r>
      <w:r w:rsidR="00F852E7">
        <w:rPr>
          <w:sz w:val="18"/>
          <w:szCs w:val="18"/>
        </w:rPr>
        <w:t xml:space="preserve">de la UIT y </w:t>
      </w:r>
      <w:r w:rsidR="0099005E">
        <w:rPr>
          <w:sz w:val="18"/>
          <w:szCs w:val="18"/>
        </w:rPr>
        <w:t xml:space="preserve">Miembros </w:t>
      </w:r>
      <w:r w:rsidRPr="000266B0">
        <w:rPr>
          <w:sz w:val="18"/>
          <w:szCs w:val="18"/>
        </w:rPr>
        <w:t xml:space="preserve">del Sector de Radiocomunicaciones que participan en los trabajos de la Comisión de Estudio </w:t>
      </w:r>
      <w:r w:rsidR="00DE17EA">
        <w:rPr>
          <w:sz w:val="18"/>
          <w:szCs w:val="18"/>
        </w:rPr>
        <w:t>6</w:t>
      </w:r>
      <w:r w:rsidRPr="000266B0">
        <w:rPr>
          <w:sz w:val="18"/>
          <w:szCs w:val="18"/>
        </w:rPr>
        <w:t xml:space="preserve"> de Radiocomunicaciones </w:t>
      </w:r>
    </w:p>
    <w:p w:rsidR="00CE6299" w:rsidRPr="000266B0" w:rsidRDefault="00CE6299" w:rsidP="00DE17EA">
      <w:pPr>
        <w:tabs>
          <w:tab w:val="left" w:pos="567"/>
          <w:tab w:val="left" w:pos="6237"/>
        </w:tabs>
        <w:spacing w:before="0" w:line="240" w:lineRule="auto"/>
        <w:jc w:val="left"/>
        <w:rPr>
          <w:sz w:val="18"/>
          <w:szCs w:val="18"/>
        </w:rPr>
      </w:pPr>
      <w:r w:rsidRPr="000266B0">
        <w:rPr>
          <w:sz w:val="18"/>
          <w:szCs w:val="18"/>
        </w:rPr>
        <w:t>–</w:t>
      </w:r>
      <w:r w:rsidRPr="000266B0">
        <w:rPr>
          <w:sz w:val="18"/>
          <w:szCs w:val="18"/>
        </w:rPr>
        <w:tab/>
        <w:t xml:space="preserve">Asociados del UIT-R que participan en los trabajos de la Comisión de Estudio </w:t>
      </w:r>
      <w:r w:rsidR="00DE17EA">
        <w:rPr>
          <w:sz w:val="18"/>
          <w:szCs w:val="18"/>
        </w:rPr>
        <w:t>6</w:t>
      </w:r>
      <w:r w:rsidRPr="000266B0">
        <w:rPr>
          <w:sz w:val="18"/>
          <w:szCs w:val="18"/>
        </w:rPr>
        <w:t xml:space="preserve"> de Radiocomunicaciones </w:t>
      </w:r>
    </w:p>
    <w:p w:rsidR="00CE6299" w:rsidRPr="000266B0" w:rsidRDefault="00CE6299" w:rsidP="00CE6299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sz w:val="18"/>
          <w:szCs w:val="18"/>
        </w:rPr>
      </w:pPr>
      <w:r w:rsidRPr="000266B0">
        <w:rPr>
          <w:sz w:val="18"/>
          <w:szCs w:val="18"/>
        </w:rPr>
        <w:t>–</w:t>
      </w:r>
      <w:r w:rsidRPr="000266B0">
        <w:rPr>
          <w:sz w:val="18"/>
          <w:szCs w:val="18"/>
        </w:rPr>
        <w:tab/>
        <w:t>Presidente</w:t>
      </w:r>
      <w:r>
        <w:rPr>
          <w:sz w:val="18"/>
          <w:szCs w:val="18"/>
        </w:rPr>
        <w:t>s</w:t>
      </w:r>
      <w:r w:rsidRPr="000266B0">
        <w:rPr>
          <w:sz w:val="18"/>
          <w:szCs w:val="18"/>
        </w:rPr>
        <w:t xml:space="preserve"> y Vicepresidentes de las Comisiones de Estudio de Radiocomunicaciones y Comisión Especial para Asuntos Reglamentarios </w:t>
      </w:r>
      <w:r>
        <w:rPr>
          <w:sz w:val="18"/>
          <w:szCs w:val="18"/>
        </w:rPr>
        <w:t xml:space="preserve">y </w:t>
      </w:r>
      <w:r w:rsidRPr="000266B0">
        <w:rPr>
          <w:sz w:val="18"/>
          <w:szCs w:val="18"/>
        </w:rPr>
        <w:t xml:space="preserve">de </w:t>
      </w:r>
      <w:r>
        <w:rPr>
          <w:sz w:val="18"/>
          <w:szCs w:val="18"/>
        </w:rPr>
        <w:t>P</w:t>
      </w:r>
      <w:r w:rsidRPr="000266B0">
        <w:rPr>
          <w:sz w:val="18"/>
          <w:szCs w:val="18"/>
        </w:rPr>
        <w:t xml:space="preserve">rocedimiento </w:t>
      </w:r>
    </w:p>
    <w:p w:rsidR="00CE6299" w:rsidRPr="000266B0" w:rsidRDefault="00CE6299" w:rsidP="00CE6299">
      <w:pPr>
        <w:tabs>
          <w:tab w:val="left" w:pos="567"/>
          <w:tab w:val="left" w:pos="6237"/>
        </w:tabs>
        <w:spacing w:before="0" w:line="240" w:lineRule="auto"/>
        <w:jc w:val="left"/>
        <w:rPr>
          <w:sz w:val="18"/>
          <w:szCs w:val="18"/>
        </w:rPr>
      </w:pPr>
      <w:r w:rsidRPr="000266B0">
        <w:rPr>
          <w:sz w:val="18"/>
          <w:szCs w:val="18"/>
        </w:rPr>
        <w:t>–</w:t>
      </w:r>
      <w:r w:rsidRPr="000266B0">
        <w:rPr>
          <w:sz w:val="18"/>
          <w:szCs w:val="18"/>
        </w:rPr>
        <w:tab/>
        <w:t xml:space="preserve">Presidente y Vicepresidentes de la Reunión Preparatoria de la Conferencia </w:t>
      </w:r>
    </w:p>
    <w:p w:rsidR="00CE6299" w:rsidRPr="000266B0" w:rsidRDefault="00CE6299" w:rsidP="00CE6299">
      <w:pPr>
        <w:tabs>
          <w:tab w:val="left" w:pos="567"/>
          <w:tab w:val="left" w:pos="6237"/>
        </w:tabs>
        <w:spacing w:before="0" w:line="240" w:lineRule="auto"/>
        <w:jc w:val="left"/>
        <w:rPr>
          <w:sz w:val="18"/>
          <w:szCs w:val="18"/>
        </w:rPr>
      </w:pPr>
      <w:r w:rsidRPr="000266B0">
        <w:rPr>
          <w:sz w:val="18"/>
          <w:szCs w:val="18"/>
        </w:rPr>
        <w:t>–</w:t>
      </w:r>
      <w:r w:rsidRPr="000266B0">
        <w:rPr>
          <w:sz w:val="18"/>
          <w:szCs w:val="18"/>
        </w:rPr>
        <w:tab/>
        <w:t xml:space="preserve">Miembros de la Junta del Reglamento de Radiocomunicaciones </w:t>
      </w:r>
    </w:p>
    <w:p w:rsidR="00CE6299" w:rsidRPr="000266B0" w:rsidRDefault="00CE6299" w:rsidP="00CE6299">
      <w:pPr>
        <w:tabs>
          <w:tab w:val="left" w:pos="567"/>
          <w:tab w:val="left" w:pos="6237"/>
        </w:tabs>
        <w:overflowPunct/>
        <w:autoSpaceDE/>
        <w:autoSpaceDN/>
        <w:adjustRightInd/>
        <w:spacing w:before="0" w:line="240" w:lineRule="auto"/>
        <w:ind w:left="567" w:hanging="567"/>
        <w:jc w:val="left"/>
        <w:textAlignment w:val="auto"/>
        <w:rPr>
          <w:sz w:val="18"/>
          <w:szCs w:val="18"/>
        </w:rPr>
      </w:pPr>
      <w:r w:rsidRPr="000266B0">
        <w:rPr>
          <w:sz w:val="18"/>
          <w:szCs w:val="18"/>
        </w:rPr>
        <w:t>–</w:t>
      </w:r>
      <w:r w:rsidRPr="000266B0">
        <w:rPr>
          <w:sz w:val="18"/>
          <w:szCs w:val="18"/>
        </w:rPr>
        <w:tab/>
        <w:t xml:space="preserve">Secretario General de la UIT, Director de la Oficina de Normalización de las Telecomunicaciones, Director de la Oficina de Desarrollo de Telecomunicaciones </w:t>
      </w:r>
    </w:p>
    <w:p w:rsidR="007E59D7" w:rsidRDefault="007E59D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b/>
          <w:sz w:val="24"/>
        </w:rPr>
      </w:pPr>
      <w:r>
        <w:br w:type="page"/>
      </w:r>
    </w:p>
    <w:p w:rsidR="002B7979" w:rsidRPr="00E2074F" w:rsidRDefault="002B7979" w:rsidP="002B7979">
      <w:pPr>
        <w:pStyle w:val="Annextitle"/>
        <w:rPr>
          <w:rFonts w:asciiTheme="minorHAnsi" w:hAnsiTheme="minorHAnsi" w:cstheme="minorHAnsi"/>
          <w:lang w:val="es-ES_tradnl"/>
        </w:rPr>
      </w:pPr>
      <w:r w:rsidRPr="00E2074F">
        <w:rPr>
          <w:rFonts w:asciiTheme="minorHAnsi" w:hAnsiTheme="minorHAnsi" w:cstheme="minorHAnsi"/>
          <w:lang w:val="es-ES_tradnl"/>
        </w:rPr>
        <w:lastRenderedPageBreak/>
        <w:t>Anexo 1</w:t>
      </w:r>
      <w:r w:rsidRPr="00E2074F">
        <w:rPr>
          <w:rFonts w:asciiTheme="minorHAnsi" w:hAnsiTheme="minorHAnsi" w:cstheme="minorHAnsi"/>
          <w:lang w:val="es-ES_tradnl"/>
        </w:rPr>
        <w:br/>
      </w:r>
      <w:r w:rsidRPr="00E2074F">
        <w:rPr>
          <w:rFonts w:asciiTheme="minorHAnsi" w:hAnsiTheme="minorHAnsi" w:cstheme="minorHAnsi"/>
          <w:lang w:val="es-ES_tradnl"/>
        </w:rPr>
        <w:br/>
        <w:t xml:space="preserve">Títulos y resúmenes de </w:t>
      </w:r>
      <w:r>
        <w:rPr>
          <w:rFonts w:asciiTheme="minorHAnsi" w:hAnsiTheme="minorHAnsi" w:cstheme="minorHAnsi"/>
          <w:lang w:val="es-ES_tradnl"/>
        </w:rPr>
        <w:t xml:space="preserve">los </w:t>
      </w:r>
      <w:r w:rsidRPr="00E2074F">
        <w:rPr>
          <w:rFonts w:asciiTheme="minorHAnsi" w:hAnsiTheme="minorHAnsi" w:cstheme="minorHAnsi"/>
          <w:lang w:val="es-ES_tradnl"/>
        </w:rPr>
        <w:t>proyectos de Recomendación</w:t>
      </w:r>
    </w:p>
    <w:p w:rsidR="002B7979" w:rsidRPr="00A615AB" w:rsidRDefault="002B7979" w:rsidP="002B7979">
      <w:pPr>
        <w:tabs>
          <w:tab w:val="right" w:pos="9639"/>
        </w:tabs>
        <w:rPr>
          <w:rFonts w:cstheme="minorHAnsi"/>
          <w:sz w:val="24"/>
          <w:szCs w:val="24"/>
        </w:rPr>
      </w:pPr>
      <w:r w:rsidRPr="00A615AB">
        <w:rPr>
          <w:rFonts w:cstheme="minorHAnsi"/>
          <w:sz w:val="24"/>
          <w:szCs w:val="24"/>
          <w:u w:val="single"/>
        </w:rPr>
        <w:t>Proyecto de nueva Recomendación UIT-R BT.[R-WBR</w:t>
      </w:r>
      <w:r w:rsidRPr="00A615AB">
        <w:rPr>
          <w:rFonts w:cstheme="minorHAnsi"/>
          <w:sz w:val="24"/>
          <w:szCs w:val="24"/>
        </w:rPr>
        <w:t>]</w:t>
      </w:r>
      <w:r w:rsidRPr="00A615AB">
        <w:rPr>
          <w:rFonts w:cstheme="minorHAnsi"/>
          <w:sz w:val="24"/>
          <w:szCs w:val="24"/>
        </w:rPr>
        <w:tab/>
        <w:t>Doc. 6/297(Rev.1)</w:t>
      </w:r>
    </w:p>
    <w:p w:rsidR="002B7979" w:rsidRPr="00E2074F" w:rsidRDefault="002B7979" w:rsidP="002B7979">
      <w:pPr>
        <w:tabs>
          <w:tab w:val="right" w:pos="9639"/>
        </w:tabs>
        <w:spacing w:before="360"/>
        <w:jc w:val="center"/>
      </w:pPr>
      <w:r w:rsidRPr="00B625A6">
        <w:rPr>
          <w:b/>
          <w:bCs/>
          <w:sz w:val="28"/>
          <w:szCs w:val="28"/>
        </w:rPr>
        <w:t xml:space="preserve">Principales funcionalidades de los receptores de usuario </w:t>
      </w:r>
      <w:r w:rsidRPr="00B625A6">
        <w:rPr>
          <w:b/>
          <w:bCs/>
          <w:sz w:val="28"/>
          <w:szCs w:val="28"/>
        </w:rPr>
        <w:br/>
        <w:t xml:space="preserve">para la </w:t>
      </w:r>
      <w:proofErr w:type="spellStart"/>
      <w:r w:rsidRPr="00B625A6">
        <w:rPr>
          <w:b/>
          <w:bCs/>
          <w:sz w:val="28"/>
          <w:szCs w:val="28"/>
        </w:rPr>
        <w:t>itinerancia</w:t>
      </w:r>
      <w:proofErr w:type="spellEnd"/>
      <w:r w:rsidRPr="00B625A6">
        <w:rPr>
          <w:b/>
          <w:bCs/>
          <w:sz w:val="28"/>
          <w:szCs w:val="28"/>
        </w:rPr>
        <w:t xml:space="preserve"> mundial de radiodifusión</w:t>
      </w:r>
    </w:p>
    <w:p w:rsidR="002B7979" w:rsidRPr="00A615AB" w:rsidRDefault="002B7979" w:rsidP="002B7979">
      <w:pPr>
        <w:pStyle w:val="Normalaftertitle"/>
        <w:spacing w:before="120"/>
        <w:rPr>
          <w:sz w:val="24"/>
          <w:szCs w:val="24"/>
        </w:rPr>
      </w:pPr>
      <w:r w:rsidRPr="00A615AB">
        <w:rPr>
          <w:sz w:val="24"/>
          <w:szCs w:val="24"/>
        </w:rPr>
        <w:t xml:space="preserve">Esta Recomendación define las principales funcionalidades de los receptores de usuario para la </w:t>
      </w:r>
      <w:proofErr w:type="spellStart"/>
      <w:r w:rsidRPr="00A615AB">
        <w:rPr>
          <w:sz w:val="24"/>
          <w:szCs w:val="24"/>
        </w:rPr>
        <w:t>itinerancia</w:t>
      </w:r>
      <w:proofErr w:type="spellEnd"/>
      <w:r w:rsidRPr="00A615AB">
        <w:rPr>
          <w:sz w:val="24"/>
          <w:szCs w:val="24"/>
        </w:rPr>
        <w:t xml:space="preserve"> mundial de radiodifusión. La lista de funcionalidades que aparece en la Recomendación debe tenerse en cuenta en el desarrollo y fabricación de receptores de TV modernos y previstos medios de radiodifusión de multimedios y sonido.</w:t>
      </w:r>
    </w:p>
    <w:p w:rsidR="002B7979" w:rsidRPr="00A615AB" w:rsidRDefault="002B7979" w:rsidP="002B7979">
      <w:pPr>
        <w:tabs>
          <w:tab w:val="right" w:pos="9639"/>
        </w:tabs>
        <w:spacing w:before="360"/>
        <w:rPr>
          <w:rFonts w:cstheme="minorHAnsi"/>
          <w:sz w:val="24"/>
          <w:szCs w:val="24"/>
        </w:rPr>
      </w:pPr>
      <w:r w:rsidRPr="00A615AB">
        <w:rPr>
          <w:rFonts w:cstheme="minorHAnsi"/>
          <w:sz w:val="24"/>
          <w:szCs w:val="24"/>
          <w:u w:val="single"/>
        </w:rPr>
        <w:t>Proyecto de nueva Recomendación UIT-R BT.[HEVC]</w:t>
      </w:r>
      <w:r w:rsidRPr="00A615AB">
        <w:rPr>
          <w:rFonts w:cstheme="minorHAnsi"/>
          <w:sz w:val="24"/>
          <w:szCs w:val="24"/>
        </w:rPr>
        <w:tab/>
        <w:t>Doc. 6/298(Rev.1)</w:t>
      </w:r>
    </w:p>
    <w:p w:rsidR="002B7979" w:rsidRPr="00B625A6" w:rsidRDefault="002B7979" w:rsidP="002B7979">
      <w:pPr>
        <w:tabs>
          <w:tab w:val="right" w:pos="9639"/>
        </w:tabs>
        <w:spacing w:before="360"/>
        <w:jc w:val="center"/>
        <w:rPr>
          <w:b/>
          <w:bCs/>
          <w:sz w:val="28"/>
          <w:szCs w:val="28"/>
        </w:rPr>
      </w:pPr>
      <w:r w:rsidRPr="00B625A6">
        <w:rPr>
          <w:b/>
          <w:bCs/>
          <w:sz w:val="28"/>
          <w:szCs w:val="28"/>
        </w:rPr>
        <w:t xml:space="preserve">Utilización de la norma de codificación de vídeo de gran </w:t>
      </w:r>
      <w:r w:rsidRPr="00B625A6">
        <w:rPr>
          <w:b/>
          <w:bCs/>
          <w:sz w:val="28"/>
          <w:szCs w:val="28"/>
        </w:rPr>
        <w:br/>
        <w:t>eficacia para radiodifusión de TVUAD y TVAD</w:t>
      </w:r>
    </w:p>
    <w:p w:rsidR="002B7979" w:rsidRPr="00A615AB" w:rsidRDefault="002B7979" w:rsidP="002B7979">
      <w:pPr>
        <w:pStyle w:val="Normalaftertitle"/>
        <w:spacing w:before="120"/>
        <w:rPr>
          <w:sz w:val="24"/>
          <w:szCs w:val="24"/>
        </w:rPr>
      </w:pPr>
      <w:r w:rsidRPr="00A615AB">
        <w:rPr>
          <w:sz w:val="24"/>
          <w:szCs w:val="24"/>
        </w:rPr>
        <w:t>Esta Recomendación especifica la utilización de la norma de codificación de vídeo de gran eficacia (HEVC) con arreglo a la Recomendación UIT-T H.26</w:t>
      </w:r>
      <w:r w:rsidRPr="00A615AB">
        <w:rPr>
          <w:sz w:val="24"/>
          <w:szCs w:val="24"/>
          <w:lang w:eastAsia="ja-JP"/>
        </w:rPr>
        <w:t>5 | </w:t>
      </w:r>
      <w:r w:rsidRPr="00A615AB">
        <w:rPr>
          <w:sz w:val="24"/>
          <w:szCs w:val="24"/>
        </w:rPr>
        <w:t>ISO/CEI 23008-2 para la radiodifusión de televisión de ultra alta definición (TVUAD) y televisión de alta definición (TVAD).</w:t>
      </w:r>
    </w:p>
    <w:p w:rsidR="002B7979" w:rsidRPr="00A615AB" w:rsidRDefault="002B7979" w:rsidP="002B7979">
      <w:pPr>
        <w:tabs>
          <w:tab w:val="right" w:pos="9639"/>
        </w:tabs>
        <w:spacing w:before="360"/>
        <w:rPr>
          <w:rFonts w:cstheme="minorHAnsi"/>
          <w:sz w:val="24"/>
          <w:szCs w:val="24"/>
        </w:rPr>
      </w:pPr>
      <w:r w:rsidRPr="00A615AB">
        <w:rPr>
          <w:rFonts w:cstheme="minorHAnsi"/>
          <w:sz w:val="24"/>
          <w:szCs w:val="24"/>
          <w:u w:val="single"/>
        </w:rPr>
        <w:t xml:space="preserve">Proyecto de revisión de la Recomendación UIT-R </w:t>
      </w:r>
      <w:r w:rsidRPr="00A615AB">
        <w:rPr>
          <w:sz w:val="24"/>
          <w:szCs w:val="24"/>
          <w:u w:val="single"/>
        </w:rPr>
        <w:t>BS.1116</w:t>
      </w:r>
      <w:r w:rsidRPr="00A615AB">
        <w:rPr>
          <w:rFonts w:hint="eastAsia"/>
          <w:sz w:val="24"/>
          <w:szCs w:val="24"/>
          <w:u w:val="single"/>
          <w:lang w:eastAsia="ja-JP"/>
        </w:rPr>
        <w:t>-2</w:t>
      </w:r>
      <w:r w:rsidRPr="00A615AB">
        <w:rPr>
          <w:rFonts w:cstheme="minorHAnsi"/>
          <w:sz w:val="24"/>
          <w:szCs w:val="24"/>
        </w:rPr>
        <w:tab/>
        <w:t>Doc. 6/282(Rev.1)</w:t>
      </w:r>
    </w:p>
    <w:p w:rsidR="002B7979" w:rsidRPr="00E2074F" w:rsidRDefault="002B7979" w:rsidP="002B7979">
      <w:pPr>
        <w:tabs>
          <w:tab w:val="right" w:pos="9639"/>
        </w:tabs>
        <w:spacing w:before="360"/>
        <w:jc w:val="center"/>
        <w:rPr>
          <w:rFonts w:cstheme="minorHAnsi"/>
        </w:rPr>
      </w:pPr>
      <w:r w:rsidRPr="00EB2FD9">
        <w:rPr>
          <w:b/>
          <w:bCs/>
          <w:sz w:val="28"/>
          <w:szCs w:val="28"/>
        </w:rPr>
        <w:t xml:space="preserve">Métodos para la evaluación subjetiva de pequeñas </w:t>
      </w:r>
      <w:r>
        <w:rPr>
          <w:b/>
          <w:bCs/>
          <w:sz w:val="28"/>
          <w:szCs w:val="28"/>
        </w:rPr>
        <w:br/>
      </w:r>
      <w:r w:rsidRPr="00EB2FD9">
        <w:rPr>
          <w:b/>
          <w:bCs/>
          <w:sz w:val="28"/>
          <w:szCs w:val="28"/>
        </w:rPr>
        <w:t>degradaciones en los sistemas de audio</w:t>
      </w:r>
    </w:p>
    <w:p w:rsidR="002B7979" w:rsidRPr="00A615AB" w:rsidRDefault="002B7979" w:rsidP="002B7979">
      <w:pPr>
        <w:pStyle w:val="Normalaftertitle"/>
        <w:spacing w:before="120"/>
        <w:rPr>
          <w:rFonts w:cstheme="minorHAnsi"/>
          <w:sz w:val="24"/>
          <w:szCs w:val="24"/>
        </w:rPr>
      </w:pPr>
      <w:r w:rsidRPr="00A615AB">
        <w:rPr>
          <w:rFonts w:cstheme="minorHAnsi"/>
          <w:sz w:val="24"/>
          <w:szCs w:val="24"/>
        </w:rPr>
        <w:t>Esta revisión incluye dos pequeñas modificaciones destinadas a mejorar la utilidad de la Recomendación.</w:t>
      </w:r>
    </w:p>
    <w:p w:rsidR="002B7979" w:rsidRPr="00A615AB" w:rsidRDefault="002B7979" w:rsidP="002B7979">
      <w:pPr>
        <w:pStyle w:val="Normalaftertitle"/>
        <w:spacing w:before="120"/>
        <w:rPr>
          <w:rFonts w:cstheme="minorHAnsi"/>
          <w:sz w:val="24"/>
          <w:szCs w:val="24"/>
        </w:rPr>
      </w:pPr>
      <w:r w:rsidRPr="00A615AB">
        <w:rPr>
          <w:rFonts w:cstheme="minorHAnsi"/>
          <w:sz w:val="24"/>
          <w:szCs w:val="24"/>
        </w:rPr>
        <w:t>La modificación (1) aclara la tolerancia para adaptar las respuestas en frecuencia del altavoz entre altavoces individuales en función de su situación en la sala.</w:t>
      </w:r>
    </w:p>
    <w:p w:rsidR="002B7979" w:rsidRPr="00A615AB" w:rsidRDefault="002B7979" w:rsidP="002B7979">
      <w:pPr>
        <w:pStyle w:val="Normalaftertitle"/>
        <w:spacing w:before="120"/>
        <w:rPr>
          <w:rFonts w:cstheme="minorHAnsi"/>
          <w:sz w:val="24"/>
          <w:szCs w:val="24"/>
        </w:rPr>
      </w:pPr>
      <w:r w:rsidRPr="00A615AB">
        <w:rPr>
          <w:rFonts w:cstheme="minorHAnsi"/>
          <w:sz w:val="24"/>
          <w:szCs w:val="24"/>
        </w:rPr>
        <w:t>La modificación (2) ajusta el método de alineamiento del nivel de presión sonora del altavoz para hacerlo independiente del número de altavoces.</w:t>
      </w:r>
    </w:p>
    <w:p w:rsidR="002B7979" w:rsidRPr="00A615AB" w:rsidRDefault="002B7979" w:rsidP="002B7979">
      <w:pPr>
        <w:tabs>
          <w:tab w:val="right" w:pos="9639"/>
        </w:tabs>
        <w:spacing w:before="360"/>
        <w:rPr>
          <w:rFonts w:cstheme="minorHAnsi"/>
          <w:sz w:val="24"/>
          <w:szCs w:val="24"/>
        </w:rPr>
      </w:pPr>
      <w:r w:rsidRPr="00A615AB">
        <w:rPr>
          <w:rFonts w:cstheme="minorHAnsi"/>
          <w:sz w:val="24"/>
          <w:szCs w:val="24"/>
          <w:u w:val="single"/>
        </w:rPr>
        <w:t xml:space="preserve">Proyecto de revisión de la Recomendación UIT-R </w:t>
      </w:r>
      <w:r w:rsidRPr="00A615AB">
        <w:rPr>
          <w:sz w:val="24"/>
          <w:szCs w:val="24"/>
          <w:u w:val="single"/>
        </w:rPr>
        <w:t>B</w:t>
      </w:r>
      <w:r w:rsidRPr="00A615AB">
        <w:rPr>
          <w:sz w:val="24"/>
          <w:szCs w:val="24"/>
          <w:u w:val="single"/>
          <w:lang w:eastAsia="ja-JP"/>
        </w:rPr>
        <w:t>T</w:t>
      </w:r>
      <w:r w:rsidRPr="00A615AB">
        <w:rPr>
          <w:sz w:val="24"/>
          <w:szCs w:val="24"/>
          <w:u w:val="single"/>
        </w:rPr>
        <w:t>.</w:t>
      </w:r>
      <w:r w:rsidRPr="00A615AB">
        <w:rPr>
          <w:sz w:val="24"/>
          <w:szCs w:val="24"/>
          <w:u w:val="single"/>
          <w:lang w:eastAsia="ja-JP"/>
        </w:rPr>
        <w:t>2021-0</w:t>
      </w:r>
      <w:r w:rsidRPr="00A615AB">
        <w:rPr>
          <w:rFonts w:cstheme="minorHAnsi"/>
          <w:sz w:val="24"/>
          <w:szCs w:val="24"/>
        </w:rPr>
        <w:tab/>
        <w:t>Doc. 6/283(Rev.1)</w:t>
      </w:r>
    </w:p>
    <w:p w:rsidR="002B7979" w:rsidRPr="00E2074F" w:rsidRDefault="002B7979" w:rsidP="002B7979">
      <w:pPr>
        <w:tabs>
          <w:tab w:val="right" w:pos="9639"/>
        </w:tabs>
        <w:spacing w:before="360"/>
        <w:jc w:val="center"/>
        <w:rPr>
          <w:rFonts w:cstheme="minorHAnsi"/>
        </w:rPr>
      </w:pPr>
      <w:r w:rsidRPr="00EB2FD9">
        <w:rPr>
          <w:b/>
          <w:bCs/>
          <w:sz w:val="28"/>
          <w:szCs w:val="28"/>
        </w:rPr>
        <w:t xml:space="preserve">Métodos </w:t>
      </w:r>
      <w:r>
        <w:rPr>
          <w:b/>
          <w:bCs/>
          <w:sz w:val="28"/>
          <w:szCs w:val="28"/>
        </w:rPr>
        <w:t xml:space="preserve">de evaluación </w:t>
      </w:r>
      <w:r w:rsidRPr="00EB2FD9">
        <w:rPr>
          <w:b/>
          <w:bCs/>
          <w:sz w:val="28"/>
          <w:szCs w:val="28"/>
        </w:rPr>
        <w:t>subjetiv</w:t>
      </w:r>
      <w:r>
        <w:rPr>
          <w:b/>
          <w:bCs/>
          <w:sz w:val="28"/>
          <w:szCs w:val="28"/>
        </w:rPr>
        <w:t>a</w:t>
      </w:r>
      <w:r w:rsidRPr="00EB2FD9">
        <w:rPr>
          <w:b/>
          <w:bCs/>
          <w:sz w:val="28"/>
          <w:szCs w:val="28"/>
        </w:rPr>
        <w:t xml:space="preserve">s de los sistemas </w:t>
      </w:r>
      <w:r>
        <w:rPr>
          <w:b/>
          <w:bCs/>
          <w:sz w:val="28"/>
          <w:szCs w:val="28"/>
        </w:rPr>
        <w:t xml:space="preserve">de televisión 3D </w:t>
      </w:r>
      <w:r w:rsidRPr="00EB2FD9">
        <w:rPr>
          <w:b/>
          <w:bCs/>
          <w:sz w:val="28"/>
          <w:szCs w:val="28"/>
        </w:rPr>
        <w:t>estereoscópic</w:t>
      </w:r>
      <w:r>
        <w:rPr>
          <w:b/>
          <w:bCs/>
          <w:sz w:val="28"/>
          <w:szCs w:val="28"/>
        </w:rPr>
        <w:t>a</w:t>
      </w:r>
    </w:p>
    <w:p w:rsidR="002B7979" w:rsidRPr="00A615AB" w:rsidRDefault="002B7979" w:rsidP="002B7979">
      <w:pPr>
        <w:pStyle w:val="Normalaftertitle"/>
        <w:spacing w:before="120"/>
        <w:rPr>
          <w:rFonts w:cstheme="minorHAnsi"/>
          <w:sz w:val="24"/>
          <w:szCs w:val="24"/>
        </w:rPr>
      </w:pPr>
      <w:r w:rsidRPr="00A615AB">
        <w:rPr>
          <w:rFonts w:cstheme="minorHAnsi"/>
          <w:sz w:val="24"/>
          <w:szCs w:val="24"/>
        </w:rPr>
        <w:t>Esta revisión incluye dos métodos adicionales, el método de escala de degradación con doble estímulo y el método de doble estímulo simultáneo para evaluación continua (SDSCE) descritos en la Recomendación UIT-R BT.500, de manera que la Recomendación UIT-R BT.2021 pueda referirse a una cierto variedad de evaluaciones subjetivas de los sistemas de TV 3D estereoscópica.</w:t>
      </w:r>
    </w:p>
    <w:p w:rsidR="00A615AB" w:rsidRDefault="00A615A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br w:type="page"/>
      </w:r>
    </w:p>
    <w:p w:rsidR="002B7979" w:rsidRPr="00A615AB" w:rsidRDefault="002B7979" w:rsidP="002B7979">
      <w:pPr>
        <w:keepNext/>
        <w:keepLines/>
        <w:tabs>
          <w:tab w:val="right" w:pos="9639"/>
        </w:tabs>
        <w:spacing w:before="360"/>
        <w:rPr>
          <w:rFonts w:cstheme="minorHAnsi"/>
          <w:sz w:val="24"/>
          <w:szCs w:val="24"/>
        </w:rPr>
      </w:pPr>
      <w:r w:rsidRPr="00A615AB">
        <w:rPr>
          <w:rFonts w:cstheme="minorHAnsi"/>
          <w:sz w:val="24"/>
          <w:szCs w:val="24"/>
          <w:u w:val="single"/>
        </w:rPr>
        <w:lastRenderedPageBreak/>
        <w:t xml:space="preserve">Proyecto de revisión de la Recomendación UIT-R </w:t>
      </w:r>
      <w:r w:rsidRPr="00A615AB">
        <w:rPr>
          <w:sz w:val="24"/>
          <w:szCs w:val="24"/>
          <w:u w:val="single"/>
        </w:rPr>
        <w:t>BT.1735-2</w:t>
      </w:r>
      <w:r w:rsidRPr="00A615AB">
        <w:rPr>
          <w:rFonts w:cstheme="minorHAnsi"/>
          <w:sz w:val="24"/>
          <w:szCs w:val="24"/>
        </w:rPr>
        <w:tab/>
        <w:t>Doc. 6/296(Rev.1)</w:t>
      </w:r>
    </w:p>
    <w:p w:rsidR="002B7979" w:rsidRPr="00EB2FD9" w:rsidRDefault="002B7979" w:rsidP="00A615AB">
      <w:pPr>
        <w:tabs>
          <w:tab w:val="right" w:pos="9639"/>
        </w:tabs>
        <w:spacing w:before="260"/>
        <w:jc w:val="center"/>
        <w:rPr>
          <w:rFonts w:cstheme="minorHAnsi"/>
          <w:b/>
          <w:bCs/>
        </w:rPr>
      </w:pPr>
      <w:r w:rsidRPr="00EB2FD9">
        <w:rPr>
          <w:b/>
          <w:bCs/>
          <w:sz w:val="28"/>
          <w:szCs w:val="28"/>
        </w:rPr>
        <w:t xml:space="preserve">Métodos para la evaluación </w:t>
      </w:r>
      <w:r>
        <w:rPr>
          <w:b/>
          <w:bCs/>
          <w:sz w:val="28"/>
          <w:szCs w:val="28"/>
        </w:rPr>
        <w:t xml:space="preserve">objetiva </w:t>
      </w:r>
      <w:r w:rsidRPr="00EB2FD9">
        <w:rPr>
          <w:b/>
          <w:bCs/>
          <w:sz w:val="28"/>
          <w:szCs w:val="28"/>
        </w:rPr>
        <w:t xml:space="preserve">de la calidad de recepción de las señales de radiodifusión </w:t>
      </w:r>
      <w:r>
        <w:rPr>
          <w:b/>
          <w:bCs/>
          <w:sz w:val="28"/>
          <w:szCs w:val="28"/>
        </w:rPr>
        <w:t>d</w:t>
      </w:r>
      <w:r w:rsidRPr="00EB2FD9">
        <w:rPr>
          <w:b/>
          <w:bCs/>
          <w:sz w:val="28"/>
          <w:szCs w:val="28"/>
        </w:rPr>
        <w:t>e</w:t>
      </w:r>
      <w:r w:rsidRPr="00EB2FD9">
        <w:rPr>
          <w:rFonts w:cstheme="minorHAnsi"/>
          <w:b/>
          <w:bCs/>
        </w:rPr>
        <w:t xml:space="preserve"> </w:t>
      </w:r>
      <w:r w:rsidRPr="00EB2FD9">
        <w:rPr>
          <w:b/>
          <w:bCs/>
          <w:sz w:val="28"/>
          <w:szCs w:val="28"/>
        </w:rPr>
        <w:t xml:space="preserve">televisión digital terrenal del </w:t>
      </w:r>
      <w:r>
        <w:rPr>
          <w:b/>
          <w:bCs/>
          <w:sz w:val="28"/>
          <w:szCs w:val="28"/>
        </w:rPr>
        <w:t>S</w:t>
      </w:r>
      <w:r w:rsidRPr="00EB2FD9">
        <w:rPr>
          <w:b/>
          <w:bCs/>
          <w:sz w:val="28"/>
          <w:szCs w:val="28"/>
        </w:rPr>
        <w:t xml:space="preserve">istema B </w:t>
      </w:r>
      <w:r>
        <w:rPr>
          <w:b/>
          <w:bCs/>
          <w:sz w:val="28"/>
          <w:szCs w:val="28"/>
        </w:rPr>
        <w:br/>
      </w:r>
      <w:r w:rsidRPr="00EB2FD9">
        <w:rPr>
          <w:b/>
          <w:bCs/>
          <w:sz w:val="28"/>
          <w:szCs w:val="28"/>
        </w:rPr>
        <w:t>especificado en la Recomendación UIT-R BT.1306</w:t>
      </w:r>
    </w:p>
    <w:p w:rsidR="002B7979" w:rsidRPr="00A615AB" w:rsidRDefault="002B7979" w:rsidP="002B7979">
      <w:pPr>
        <w:pStyle w:val="Normalaftertitle"/>
        <w:spacing w:before="120"/>
        <w:rPr>
          <w:rFonts w:cstheme="minorHAnsi"/>
          <w:sz w:val="24"/>
          <w:szCs w:val="24"/>
        </w:rPr>
      </w:pPr>
      <w:r w:rsidRPr="00A615AB">
        <w:rPr>
          <w:rFonts w:cstheme="minorHAnsi"/>
          <w:sz w:val="24"/>
          <w:szCs w:val="24"/>
        </w:rPr>
        <w:t>Esta revisión aclara la definición del término "Tasa de errores de modulación" o MER.</w:t>
      </w:r>
    </w:p>
    <w:p w:rsidR="002B7979" w:rsidRPr="00A615AB" w:rsidRDefault="002B7979" w:rsidP="00A615AB">
      <w:pPr>
        <w:tabs>
          <w:tab w:val="right" w:pos="9639"/>
        </w:tabs>
        <w:spacing w:before="240"/>
        <w:rPr>
          <w:rFonts w:cstheme="minorHAnsi"/>
          <w:sz w:val="24"/>
          <w:szCs w:val="24"/>
        </w:rPr>
      </w:pPr>
      <w:r w:rsidRPr="00A615AB">
        <w:rPr>
          <w:rFonts w:cstheme="minorHAnsi"/>
          <w:sz w:val="24"/>
          <w:szCs w:val="24"/>
          <w:u w:val="single"/>
        </w:rPr>
        <w:t xml:space="preserve">Proyecto de revisión de la Recomendación UIT-R </w:t>
      </w:r>
      <w:r w:rsidRPr="00A615AB">
        <w:rPr>
          <w:rStyle w:val="href"/>
          <w:sz w:val="24"/>
          <w:szCs w:val="24"/>
          <w:u w:val="single"/>
        </w:rPr>
        <w:t>BT.1203-1</w:t>
      </w:r>
      <w:r w:rsidRPr="00A615AB">
        <w:rPr>
          <w:rFonts w:cstheme="minorHAnsi"/>
          <w:sz w:val="24"/>
          <w:szCs w:val="24"/>
        </w:rPr>
        <w:tab/>
        <w:t>Doc. 6/299(Rev.1)</w:t>
      </w:r>
    </w:p>
    <w:p w:rsidR="002B7979" w:rsidRPr="00E2074F" w:rsidRDefault="002B7979" w:rsidP="00A615AB">
      <w:pPr>
        <w:tabs>
          <w:tab w:val="right" w:pos="9639"/>
        </w:tabs>
        <w:spacing w:before="260"/>
        <w:jc w:val="center"/>
        <w:rPr>
          <w:rFonts w:cstheme="minorHAnsi"/>
        </w:rPr>
      </w:pPr>
      <w:r w:rsidRPr="00EB2FD9">
        <w:rPr>
          <w:b/>
          <w:bCs/>
          <w:sz w:val="28"/>
          <w:szCs w:val="28"/>
        </w:rPr>
        <w:t xml:space="preserve">Requisitos de usuario para la codificación </w:t>
      </w:r>
      <w:r>
        <w:rPr>
          <w:b/>
          <w:bCs/>
          <w:sz w:val="28"/>
          <w:szCs w:val="28"/>
        </w:rPr>
        <w:t xml:space="preserve">genérica con </w:t>
      </w:r>
      <w:r w:rsidRPr="00EB2FD9">
        <w:rPr>
          <w:b/>
          <w:bCs/>
          <w:sz w:val="28"/>
          <w:szCs w:val="28"/>
        </w:rPr>
        <w:t xml:space="preserve">reducción de velocidad </w:t>
      </w:r>
      <w:r>
        <w:rPr>
          <w:b/>
          <w:bCs/>
          <w:sz w:val="28"/>
          <w:szCs w:val="28"/>
        </w:rPr>
        <w:br/>
      </w:r>
      <w:r w:rsidRPr="00EB2FD9">
        <w:rPr>
          <w:b/>
          <w:bCs/>
          <w:sz w:val="28"/>
          <w:szCs w:val="28"/>
        </w:rPr>
        <w:t>binari</w:t>
      </w:r>
      <w:r>
        <w:rPr>
          <w:b/>
          <w:bCs/>
          <w:sz w:val="28"/>
          <w:szCs w:val="28"/>
        </w:rPr>
        <w:t>a</w:t>
      </w:r>
      <w:r w:rsidRPr="00EB2FD9">
        <w:rPr>
          <w:b/>
          <w:bCs/>
          <w:sz w:val="28"/>
          <w:szCs w:val="28"/>
        </w:rPr>
        <w:t xml:space="preserve"> de v</w:t>
      </w:r>
      <w:r>
        <w:rPr>
          <w:b/>
          <w:bCs/>
          <w:sz w:val="28"/>
          <w:szCs w:val="28"/>
        </w:rPr>
        <w:t>í</w:t>
      </w:r>
      <w:r w:rsidRPr="00EB2FD9">
        <w:rPr>
          <w:b/>
          <w:bCs/>
          <w:sz w:val="28"/>
          <w:szCs w:val="28"/>
        </w:rPr>
        <w:t xml:space="preserve">deo de señales </w:t>
      </w:r>
      <w:r>
        <w:rPr>
          <w:b/>
          <w:bCs/>
          <w:sz w:val="28"/>
          <w:szCs w:val="28"/>
        </w:rPr>
        <w:t>digitales de televisión para un</w:t>
      </w:r>
      <w:r w:rsidRPr="00EB2FD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Pr="00EB2FD9">
        <w:rPr>
          <w:b/>
          <w:bCs/>
          <w:sz w:val="28"/>
          <w:szCs w:val="28"/>
        </w:rPr>
        <w:t>sistema de televisión de extremo a extremo</w:t>
      </w:r>
    </w:p>
    <w:p w:rsidR="002B7979" w:rsidRPr="00A615AB" w:rsidRDefault="002B7979" w:rsidP="002B7979">
      <w:pPr>
        <w:pStyle w:val="Normalaftertitle"/>
        <w:spacing w:before="120"/>
        <w:rPr>
          <w:rFonts w:cstheme="minorHAnsi"/>
          <w:sz w:val="24"/>
          <w:szCs w:val="24"/>
        </w:rPr>
      </w:pPr>
      <w:r w:rsidRPr="00A615AB">
        <w:rPr>
          <w:rFonts w:cstheme="minorHAnsi"/>
          <w:sz w:val="24"/>
          <w:szCs w:val="24"/>
        </w:rPr>
        <w:t>Esta revisión cubre la inclusión de la Recomendación UIT-T H.</w:t>
      </w:r>
      <w:r w:rsidRPr="00A615AB">
        <w:rPr>
          <w:sz w:val="24"/>
          <w:szCs w:val="24"/>
        </w:rPr>
        <w:t>265 | </w:t>
      </w:r>
      <w:r w:rsidRPr="00A615AB">
        <w:rPr>
          <w:rFonts w:cstheme="minorHAnsi"/>
          <w:sz w:val="24"/>
          <w:szCs w:val="24"/>
        </w:rPr>
        <w:t>ISO/CEI 23008-2 (MPEG-H HEVC) y añade información de muestreo adicional.</w:t>
      </w:r>
    </w:p>
    <w:p w:rsidR="002B7979" w:rsidRPr="00A615AB" w:rsidRDefault="002B7979" w:rsidP="00A615AB">
      <w:pPr>
        <w:tabs>
          <w:tab w:val="right" w:pos="9639"/>
        </w:tabs>
        <w:spacing w:before="240"/>
        <w:rPr>
          <w:rFonts w:cstheme="minorHAnsi"/>
          <w:sz w:val="24"/>
          <w:szCs w:val="24"/>
        </w:rPr>
      </w:pPr>
      <w:r w:rsidRPr="00A615AB">
        <w:rPr>
          <w:rFonts w:cstheme="minorHAnsi"/>
          <w:sz w:val="24"/>
          <w:szCs w:val="24"/>
          <w:u w:val="single"/>
        </w:rPr>
        <w:t xml:space="preserve">Proyecto de revisión de la Recomendación UIT-R </w:t>
      </w:r>
      <w:r w:rsidRPr="00A615AB">
        <w:rPr>
          <w:rStyle w:val="href"/>
          <w:sz w:val="24"/>
          <w:szCs w:val="24"/>
          <w:u w:val="single"/>
        </w:rPr>
        <w:t>BT.1870-0</w:t>
      </w:r>
      <w:r w:rsidRPr="00A615AB">
        <w:rPr>
          <w:rFonts w:cstheme="minorHAnsi"/>
          <w:sz w:val="24"/>
          <w:szCs w:val="24"/>
        </w:rPr>
        <w:tab/>
        <w:t>Doc. 6/300(Rev.1)</w:t>
      </w:r>
    </w:p>
    <w:p w:rsidR="002B7979" w:rsidRPr="009475B6" w:rsidRDefault="002B7979" w:rsidP="00A615AB">
      <w:pPr>
        <w:tabs>
          <w:tab w:val="right" w:pos="9639"/>
        </w:tabs>
        <w:spacing w:before="260"/>
        <w:jc w:val="center"/>
        <w:rPr>
          <w:b/>
          <w:bCs/>
          <w:sz w:val="28"/>
          <w:szCs w:val="28"/>
        </w:rPr>
      </w:pPr>
      <w:r w:rsidRPr="009475B6">
        <w:rPr>
          <w:b/>
          <w:bCs/>
          <w:sz w:val="28"/>
          <w:szCs w:val="28"/>
        </w:rPr>
        <w:t>Codificación de v</w:t>
      </w:r>
      <w:r>
        <w:rPr>
          <w:b/>
          <w:bCs/>
          <w:sz w:val="28"/>
          <w:szCs w:val="28"/>
        </w:rPr>
        <w:t>í</w:t>
      </w:r>
      <w:r w:rsidRPr="009475B6">
        <w:rPr>
          <w:b/>
          <w:bCs/>
          <w:sz w:val="28"/>
          <w:szCs w:val="28"/>
        </w:rPr>
        <w:t xml:space="preserve">deo para </w:t>
      </w:r>
      <w:r>
        <w:rPr>
          <w:b/>
          <w:bCs/>
          <w:sz w:val="28"/>
          <w:szCs w:val="28"/>
        </w:rPr>
        <w:t>las emisiones</w:t>
      </w:r>
      <w:r w:rsidRPr="009475B6">
        <w:rPr>
          <w:b/>
          <w:bCs/>
          <w:sz w:val="28"/>
          <w:szCs w:val="28"/>
        </w:rPr>
        <w:t xml:space="preserve"> de radiodifusión de televisión digital</w:t>
      </w:r>
    </w:p>
    <w:p w:rsidR="002B7979" w:rsidRPr="00A615AB" w:rsidRDefault="002B7979" w:rsidP="002B7979">
      <w:pPr>
        <w:pStyle w:val="Normalaftertitle"/>
        <w:spacing w:before="120"/>
        <w:rPr>
          <w:rFonts w:cstheme="minorHAnsi"/>
          <w:sz w:val="24"/>
          <w:szCs w:val="24"/>
        </w:rPr>
      </w:pPr>
      <w:r w:rsidRPr="00A615AB">
        <w:rPr>
          <w:rFonts w:cstheme="minorHAnsi"/>
          <w:sz w:val="24"/>
          <w:szCs w:val="24"/>
        </w:rPr>
        <w:t>Esta revisión incluye la Recomendación UIT-T H.</w:t>
      </w:r>
      <w:r w:rsidRPr="00A615AB">
        <w:rPr>
          <w:sz w:val="24"/>
          <w:szCs w:val="24"/>
          <w:lang w:eastAsia="ja-JP"/>
        </w:rPr>
        <w:t>265 | ISO</w:t>
      </w:r>
      <w:r w:rsidRPr="00A615AB">
        <w:rPr>
          <w:rFonts w:cstheme="minorHAnsi"/>
          <w:sz w:val="24"/>
          <w:szCs w:val="24"/>
        </w:rPr>
        <w:t>/CEI 23008-2 (MPEG-H HEVC) como una norma de codificación de vídeo para los sistemas de emisión de radiodifusión de televisión digital.</w:t>
      </w:r>
    </w:p>
    <w:p w:rsidR="002B7979" w:rsidRPr="00A615AB" w:rsidRDefault="002B7979" w:rsidP="00A615AB">
      <w:pPr>
        <w:tabs>
          <w:tab w:val="right" w:pos="9639"/>
        </w:tabs>
        <w:spacing w:before="240"/>
        <w:rPr>
          <w:rFonts w:cstheme="minorHAnsi"/>
          <w:sz w:val="24"/>
          <w:szCs w:val="24"/>
        </w:rPr>
      </w:pPr>
      <w:r w:rsidRPr="00A615AB">
        <w:rPr>
          <w:rFonts w:cstheme="minorHAnsi"/>
          <w:sz w:val="24"/>
          <w:szCs w:val="24"/>
          <w:u w:val="single"/>
        </w:rPr>
        <w:t xml:space="preserve">Proyecto de revisión de la Recomendación UIT-R </w:t>
      </w:r>
      <w:r w:rsidRPr="00A615AB">
        <w:rPr>
          <w:sz w:val="24"/>
          <w:szCs w:val="24"/>
          <w:u w:val="single"/>
        </w:rPr>
        <w:t>BT.2033-0</w:t>
      </w:r>
      <w:r w:rsidRPr="00A615AB">
        <w:rPr>
          <w:rFonts w:cstheme="minorHAnsi"/>
          <w:sz w:val="24"/>
          <w:szCs w:val="24"/>
        </w:rPr>
        <w:tab/>
        <w:t>Doc. 6/301(Rev.1)</w:t>
      </w:r>
    </w:p>
    <w:p w:rsidR="002B7979" w:rsidRPr="009475B6" w:rsidRDefault="002B7979" w:rsidP="00A615AB">
      <w:pPr>
        <w:tabs>
          <w:tab w:val="right" w:pos="9639"/>
        </w:tabs>
        <w:spacing w:before="260"/>
        <w:jc w:val="center"/>
        <w:rPr>
          <w:b/>
          <w:bCs/>
          <w:sz w:val="28"/>
          <w:szCs w:val="28"/>
        </w:rPr>
      </w:pPr>
      <w:r w:rsidRPr="009475B6">
        <w:rPr>
          <w:b/>
          <w:bCs/>
          <w:sz w:val="28"/>
          <w:szCs w:val="28"/>
        </w:rPr>
        <w:t xml:space="preserve">Criterios </w:t>
      </w:r>
      <w:r>
        <w:rPr>
          <w:b/>
          <w:bCs/>
          <w:sz w:val="28"/>
          <w:szCs w:val="28"/>
        </w:rPr>
        <w:t>para la</w:t>
      </w:r>
      <w:r w:rsidRPr="009475B6">
        <w:rPr>
          <w:b/>
          <w:bCs/>
          <w:sz w:val="28"/>
          <w:szCs w:val="28"/>
        </w:rPr>
        <w:t xml:space="preserve"> planificación, incluidas las relaciones de protección, para la segunda generación de </w:t>
      </w:r>
      <w:r>
        <w:rPr>
          <w:b/>
          <w:bCs/>
          <w:sz w:val="28"/>
          <w:szCs w:val="28"/>
        </w:rPr>
        <w:t xml:space="preserve">los </w:t>
      </w:r>
      <w:r w:rsidRPr="009475B6">
        <w:rPr>
          <w:b/>
          <w:bCs/>
          <w:sz w:val="28"/>
          <w:szCs w:val="28"/>
        </w:rPr>
        <w:t xml:space="preserve">sistemas de radiodifusión de televisión digital </w:t>
      </w:r>
      <w:r>
        <w:rPr>
          <w:b/>
          <w:bCs/>
          <w:sz w:val="28"/>
          <w:szCs w:val="28"/>
        </w:rPr>
        <w:br/>
      </w:r>
      <w:r w:rsidRPr="009475B6">
        <w:rPr>
          <w:b/>
          <w:bCs/>
          <w:sz w:val="28"/>
          <w:szCs w:val="28"/>
        </w:rPr>
        <w:t>terrenal en las bandas de ondas métricas/</w:t>
      </w:r>
      <w:proofErr w:type="spellStart"/>
      <w:r>
        <w:rPr>
          <w:b/>
          <w:bCs/>
          <w:sz w:val="28"/>
          <w:szCs w:val="28"/>
        </w:rPr>
        <w:t>dec</w:t>
      </w:r>
      <w:r w:rsidRPr="009475B6">
        <w:rPr>
          <w:b/>
          <w:bCs/>
          <w:sz w:val="28"/>
          <w:szCs w:val="28"/>
        </w:rPr>
        <w:t>imétricas</w:t>
      </w:r>
      <w:proofErr w:type="spellEnd"/>
    </w:p>
    <w:p w:rsidR="002B7979" w:rsidRPr="00A615AB" w:rsidRDefault="002B7979" w:rsidP="002B7979">
      <w:pPr>
        <w:pStyle w:val="Normalaftertitle"/>
        <w:spacing w:before="120"/>
        <w:rPr>
          <w:rFonts w:cstheme="minorHAnsi"/>
          <w:sz w:val="24"/>
          <w:szCs w:val="24"/>
        </w:rPr>
      </w:pPr>
      <w:r w:rsidRPr="00A615AB">
        <w:rPr>
          <w:rFonts w:cstheme="minorHAnsi"/>
          <w:sz w:val="24"/>
          <w:szCs w:val="24"/>
        </w:rPr>
        <w:t xml:space="preserve">Esta revisión actualiza los parámetros de planificación para el sistema DVB-T2 de 6 MHz. Se han introducido algunos pequeños cambios </w:t>
      </w:r>
      <w:proofErr w:type="spellStart"/>
      <w:r w:rsidRPr="00A615AB">
        <w:rPr>
          <w:rFonts w:cstheme="minorHAnsi"/>
          <w:sz w:val="24"/>
          <w:szCs w:val="24"/>
        </w:rPr>
        <w:t>redaccionales</w:t>
      </w:r>
      <w:proofErr w:type="spellEnd"/>
      <w:r w:rsidRPr="00A615AB">
        <w:rPr>
          <w:rFonts w:cstheme="minorHAnsi"/>
          <w:sz w:val="24"/>
          <w:szCs w:val="24"/>
        </w:rPr>
        <w:t xml:space="preserve"> para aclarar la anchura de banda de canal y el canal de recepción utilizados.</w:t>
      </w:r>
    </w:p>
    <w:p w:rsidR="002B7979" w:rsidRPr="00A615AB" w:rsidRDefault="002B7979" w:rsidP="002B7979">
      <w:pPr>
        <w:pStyle w:val="Normalaftertitle"/>
        <w:spacing w:before="120"/>
        <w:rPr>
          <w:rFonts w:cstheme="minorHAnsi"/>
          <w:sz w:val="24"/>
          <w:szCs w:val="24"/>
        </w:rPr>
      </w:pPr>
      <w:r w:rsidRPr="00A615AB">
        <w:rPr>
          <w:rFonts w:cstheme="minorHAnsi"/>
          <w:sz w:val="24"/>
          <w:szCs w:val="24"/>
        </w:rPr>
        <w:t>El Cuadro 21 se modifica para mostrar las relaciones de protección sin el efecto de desplazamiento de frecuencia opcional RDSI-T; también se han añadido las notas en los Cuadros 22 y 23 describiendo este efecto de desplazamiento sobre las relaciones de protección del sistema DVB</w:t>
      </w:r>
      <w:r w:rsidRPr="00A615AB">
        <w:rPr>
          <w:rFonts w:cstheme="minorHAnsi"/>
          <w:sz w:val="24"/>
          <w:szCs w:val="24"/>
        </w:rPr>
        <w:noBreakHyphen/>
        <w:t>T2. Se ha cambiado además el título del Anexo 1.</w:t>
      </w:r>
    </w:p>
    <w:p w:rsidR="002B7979" w:rsidRPr="00A615AB" w:rsidRDefault="002B7979" w:rsidP="00A615AB">
      <w:pPr>
        <w:tabs>
          <w:tab w:val="right" w:pos="9639"/>
        </w:tabs>
        <w:spacing w:before="240"/>
        <w:rPr>
          <w:rFonts w:cstheme="minorHAnsi"/>
          <w:sz w:val="24"/>
          <w:szCs w:val="24"/>
        </w:rPr>
      </w:pPr>
      <w:r w:rsidRPr="00A615AB">
        <w:rPr>
          <w:rFonts w:cstheme="minorHAnsi"/>
          <w:sz w:val="24"/>
          <w:szCs w:val="24"/>
          <w:u w:val="single"/>
        </w:rPr>
        <w:t xml:space="preserve">Proyecto de revisión de la Recomendación UIT-R </w:t>
      </w:r>
      <w:r w:rsidRPr="00A615AB">
        <w:rPr>
          <w:sz w:val="24"/>
          <w:szCs w:val="24"/>
          <w:u w:val="single"/>
        </w:rPr>
        <w:t>BT.1368-1</w:t>
      </w:r>
      <w:r w:rsidRPr="00A615AB">
        <w:rPr>
          <w:rFonts w:hint="eastAsia"/>
          <w:sz w:val="24"/>
          <w:szCs w:val="24"/>
          <w:u w:val="single"/>
          <w:lang w:eastAsia="ja-JP"/>
        </w:rPr>
        <w:t>1</w:t>
      </w:r>
      <w:r w:rsidRPr="00A615AB">
        <w:rPr>
          <w:rFonts w:cstheme="minorHAnsi"/>
          <w:sz w:val="24"/>
          <w:szCs w:val="24"/>
        </w:rPr>
        <w:tab/>
        <w:t>Doc. 6/303(Rev.1)</w:t>
      </w:r>
    </w:p>
    <w:p w:rsidR="002B7979" w:rsidRPr="009475B6" w:rsidRDefault="002B7979" w:rsidP="00A615AB">
      <w:pPr>
        <w:tabs>
          <w:tab w:val="right" w:pos="9639"/>
        </w:tabs>
        <w:spacing w:before="260"/>
        <w:jc w:val="center"/>
        <w:rPr>
          <w:b/>
          <w:bCs/>
          <w:sz w:val="28"/>
          <w:szCs w:val="28"/>
        </w:rPr>
      </w:pPr>
      <w:r w:rsidRPr="009475B6">
        <w:rPr>
          <w:b/>
          <w:bCs/>
          <w:sz w:val="28"/>
          <w:szCs w:val="28"/>
        </w:rPr>
        <w:t xml:space="preserve">Criterios </w:t>
      </w:r>
      <w:r>
        <w:rPr>
          <w:b/>
          <w:bCs/>
          <w:sz w:val="28"/>
          <w:szCs w:val="28"/>
        </w:rPr>
        <w:t xml:space="preserve">para la </w:t>
      </w:r>
      <w:r w:rsidRPr="009475B6">
        <w:rPr>
          <w:b/>
          <w:bCs/>
          <w:sz w:val="28"/>
          <w:szCs w:val="28"/>
        </w:rPr>
        <w:t xml:space="preserve">planificación, incluidas las relaciones de protección, </w:t>
      </w:r>
      <w:r>
        <w:rPr>
          <w:b/>
          <w:bCs/>
          <w:sz w:val="28"/>
          <w:szCs w:val="28"/>
        </w:rPr>
        <w:t xml:space="preserve">de </w:t>
      </w:r>
      <w:r w:rsidRPr="009475B6">
        <w:rPr>
          <w:b/>
          <w:bCs/>
          <w:sz w:val="28"/>
          <w:szCs w:val="28"/>
        </w:rPr>
        <w:t>los servicios de televisión digital terrenal en las bandas de ondas métricas/</w:t>
      </w:r>
      <w:proofErr w:type="spellStart"/>
      <w:r w:rsidRPr="009475B6">
        <w:rPr>
          <w:b/>
          <w:bCs/>
          <w:sz w:val="28"/>
          <w:szCs w:val="28"/>
        </w:rPr>
        <w:t>d</w:t>
      </w:r>
      <w:r>
        <w:rPr>
          <w:b/>
          <w:bCs/>
          <w:sz w:val="28"/>
          <w:szCs w:val="28"/>
        </w:rPr>
        <w:t>ec</w:t>
      </w:r>
      <w:r w:rsidRPr="009475B6">
        <w:rPr>
          <w:b/>
          <w:bCs/>
          <w:sz w:val="28"/>
          <w:szCs w:val="28"/>
        </w:rPr>
        <w:t>imétricas</w:t>
      </w:r>
      <w:proofErr w:type="spellEnd"/>
    </w:p>
    <w:p w:rsidR="002B7979" w:rsidRPr="00A615AB" w:rsidRDefault="002B7979" w:rsidP="002B7979">
      <w:pPr>
        <w:pStyle w:val="Normalaftertitle"/>
        <w:keepNext/>
        <w:keepLines/>
        <w:spacing w:before="120"/>
        <w:rPr>
          <w:rFonts w:cstheme="minorHAnsi"/>
          <w:sz w:val="24"/>
          <w:szCs w:val="24"/>
        </w:rPr>
      </w:pPr>
      <w:r w:rsidRPr="00A615AB">
        <w:rPr>
          <w:rFonts w:cstheme="minorHAnsi"/>
          <w:sz w:val="24"/>
          <w:szCs w:val="24"/>
        </w:rPr>
        <w:t>Esta revisión incluye la adición de los criterios de planificación entre RDSI-T y los sistema DVB-T2 de 6 MHz y DTMB de 6 MHz, más la información sobre el método de Punto de Fallo Subjetivo (SFP) para medir la relación de protección del sistema de televisión ATSC.</w:t>
      </w:r>
    </w:p>
    <w:p w:rsidR="002B7979" w:rsidRPr="00A615AB" w:rsidRDefault="002B7979" w:rsidP="00A615AB">
      <w:pPr>
        <w:tabs>
          <w:tab w:val="right" w:pos="9639"/>
        </w:tabs>
        <w:spacing w:before="240"/>
        <w:rPr>
          <w:rFonts w:cstheme="minorHAnsi"/>
          <w:sz w:val="24"/>
          <w:szCs w:val="24"/>
        </w:rPr>
      </w:pPr>
      <w:r w:rsidRPr="00A615AB">
        <w:rPr>
          <w:rFonts w:cstheme="minorHAnsi"/>
          <w:sz w:val="24"/>
          <w:szCs w:val="24"/>
          <w:u w:val="single"/>
        </w:rPr>
        <w:t xml:space="preserve">Proyecto de revisión de la Recomendación UIT-R </w:t>
      </w:r>
      <w:r w:rsidRPr="00A615AB">
        <w:rPr>
          <w:sz w:val="24"/>
          <w:szCs w:val="24"/>
          <w:u w:val="single"/>
        </w:rPr>
        <w:t>BS.1196-3</w:t>
      </w:r>
      <w:r w:rsidRPr="00A615AB">
        <w:rPr>
          <w:rFonts w:cstheme="minorHAnsi"/>
          <w:sz w:val="24"/>
          <w:szCs w:val="24"/>
        </w:rPr>
        <w:tab/>
        <w:t>Doc. 6/309(Rev.1)</w:t>
      </w:r>
    </w:p>
    <w:p w:rsidR="002B7979" w:rsidRPr="004F10FA" w:rsidRDefault="002B7979" w:rsidP="00A615AB">
      <w:pPr>
        <w:tabs>
          <w:tab w:val="right" w:pos="9639"/>
        </w:tabs>
        <w:spacing w:before="260"/>
        <w:jc w:val="center"/>
        <w:rPr>
          <w:b/>
          <w:bCs/>
          <w:sz w:val="28"/>
          <w:szCs w:val="28"/>
        </w:rPr>
      </w:pPr>
      <w:r w:rsidRPr="004F10FA">
        <w:rPr>
          <w:b/>
          <w:bCs/>
          <w:sz w:val="28"/>
          <w:szCs w:val="28"/>
        </w:rPr>
        <w:t>Codificación de audio para la radiodifusión digital</w:t>
      </w:r>
    </w:p>
    <w:p w:rsidR="002B7979" w:rsidRPr="00A615AB" w:rsidRDefault="002B7979" w:rsidP="002B7979">
      <w:pPr>
        <w:pStyle w:val="Normalaftertitle"/>
        <w:spacing w:before="120"/>
        <w:rPr>
          <w:rFonts w:cstheme="minorHAnsi"/>
          <w:sz w:val="24"/>
          <w:szCs w:val="24"/>
        </w:rPr>
      </w:pPr>
      <w:r w:rsidRPr="00A615AB">
        <w:rPr>
          <w:rFonts w:cstheme="minorHAnsi"/>
          <w:sz w:val="24"/>
          <w:szCs w:val="24"/>
        </w:rPr>
        <w:t>Esta revisión incluye los siguientes cambios:</w:t>
      </w:r>
    </w:p>
    <w:p w:rsidR="002B7979" w:rsidRPr="00A615AB" w:rsidRDefault="002B7979" w:rsidP="00A615AB">
      <w:pPr>
        <w:pStyle w:val="Normalaftertitle"/>
        <w:spacing w:before="0"/>
        <w:rPr>
          <w:rFonts w:cstheme="minorHAnsi"/>
          <w:sz w:val="24"/>
          <w:szCs w:val="24"/>
        </w:rPr>
      </w:pPr>
      <w:r w:rsidRPr="00A615AB">
        <w:rPr>
          <w:rFonts w:cstheme="minorHAnsi"/>
          <w:sz w:val="24"/>
          <w:szCs w:val="24"/>
        </w:rPr>
        <w:t>1)</w:t>
      </w:r>
      <w:r w:rsidRPr="00A615AB">
        <w:rPr>
          <w:rFonts w:cstheme="minorHAnsi"/>
          <w:sz w:val="24"/>
          <w:szCs w:val="24"/>
        </w:rPr>
        <w:tab/>
        <w:t xml:space="preserve">Modificación de los </w:t>
      </w:r>
      <w:r w:rsidRPr="00A615AB">
        <w:rPr>
          <w:rFonts w:cstheme="minorHAnsi"/>
          <w:i/>
          <w:iCs/>
          <w:sz w:val="24"/>
          <w:szCs w:val="24"/>
        </w:rPr>
        <w:t>considerando</w:t>
      </w:r>
      <w:r w:rsidRPr="00A615AB">
        <w:rPr>
          <w:rFonts w:cstheme="minorHAnsi"/>
          <w:sz w:val="24"/>
          <w:szCs w:val="24"/>
        </w:rPr>
        <w:t xml:space="preserve"> y </w:t>
      </w:r>
      <w:proofErr w:type="spellStart"/>
      <w:r w:rsidRPr="00A615AB">
        <w:rPr>
          <w:rFonts w:cstheme="minorHAnsi"/>
          <w:sz w:val="24"/>
          <w:szCs w:val="24"/>
        </w:rPr>
        <w:t>el</w:t>
      </w:r>
      <w:proofErr w:type="spellEnd"/>
      <w:r w:rsidRPr="00A615AB">
        <w:rPr>
          <w:rFonts w:cstheme="minorHAnsi"/>
          <w:sz w:val="24"/>
          <w:szCs w:val="24"/>
        </w:rPr>
        <w:t xml:space="preserve"> </w:t>
      </w:r>
      <w:r w:rsidRPr="00A615AB">
        <w:rPr>
          <w:rFonts w:cstheme="minorHAnsi"/>
          <w:i/>
          <w:iCs/>
          <w:sz w:val="24"/>
          <w:szCs w:val="24"/>
        </w:rPr>
        <w:t>recomienda</w:t>
      </w:r>
      <w:r w:rsidRPr="00A615AB">
        <w:rPr>
          <w:rFonts w:cstheme="minorHAnsi"/>
          <w:sz w:val="24"/>
          <w:szCs w:val="24"/>
        </w:rPr>
        <w:t xml:space="preserve"> </w:t>
      </w:r>
      <w:r w:rsidRPr="00A615AB">
        <w:rPr>
          <w:rFonts w:cstheme="minorHAnsi"/>
          <w:i/>
          <w:iCs/>
          <w:sz w:val="24"/>
          <w:szCs w:val="24"/>
        </w:rPr>
        <w:t>además</w:t>
      </w:r>
    </w:p>
    <w:p w:rsidR="002B7979" w:rsidRPr="00A615AB" w:rsidRDefault="002B7979" w:rsidP="00A615AB">
      <w:pPr>
        <w:pStyle w:val="Normalaftertitle"/>
        <w:spacing w:before="0"/>
        <w:rPr>
          <w:rFonts w:cstheme="minorHAnsi"/>
          <w:sz w:val="24"/>
          <w:szCs w:val="24"/>
        </w:rPr>
      </w:pPr>
      <w:r w:rsidRPr="00A615AB">
        <w:rPr>
          <w:rFonts w:cstheme="minorHAnsi"/>
          <w:sz w:val="24"/>
          <w:szCs w:val="24"/>
        </w:rPr>
        <w:t>2)</w:t>
      </w:r>
      <w:r w:rsidRPr="00A615AB">
        <w:rPr>
          <w:rFonts w:cstheme="minorHAnsi"/>
          <w:sz w:val="24"/>
          <w:szCs w:val="24"/>
        </w:rPr>
        <w:tab/>
        <w:t>Actualización del Cuadro 2 del Apéndice 2</w:t>
      </w:r>
    </w:p>
    <w:p w:rsidR="00DE17EA" w:rsidRDefault="002B7979" w:rsidP="00A615A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b/>
          <w:sz w:val="28"/>
          <w:szCs w:val="24"/>
          <w:lang w:val="es-ES"/>
        </w:rPr>
      </w:pPr>
      <w:r w:rsidRPr="00A615AB">
        <w:rPr>
          <w:rFonts w:cstheme="minorHAnsi"/>
          <w:sz w:val="24"/>
          <w:szCs w:val="24"/>
        </w:rPr>
        <w:t>3)</w:t>
      </w:r>
      <w:r w:rsidRPr="00A615AB">
        <w:rPr>
          <w:rFonts w:cstheme="minorHAnsi"/>
          <w:sz w:val="24"/>
          <w:szCs w:val="24"/>
        </w:rPr>
        <w:tab/>
        <w:t>Se aclara que los Apéndices son a título informativo.</w:t>
      </w:r>
      <w:r w:rsidR="00DE17EA">
        <w:rPr>
          <w:sz w:val="28"/>
          <w:szCs w:val="24"/>
          <w:lang w:val="es-ES"/>
        </w:rPr>
        <w:br w:type="page"/>
      </w:r>
    </w:p>
    <w:p w:rsidR="00CE6299" w:rsidRPr="00314C01" w:rsidRDefault="00CE6299" w:rsidP="00CE6299">
      <w:pPr>
        <w:pStyle w:val="AnnexNoTitle"/>
        <w:rPr>
          <w:sz w:val="28"/>
          <w:szCs w:val="24"/>
          <w:lang w:val="es-ES"/>
        </w:rPr>
      </w:pPr>
      <w:r w:rsidRPr="00314C01">
        <w:rPr>
          <w:sz w:val="28"/>
          <w:szCs w:val="24"/>
          <w:lang w:val="es-ES"/>
        </w:rPr>
        <w:lastRenderedPageBreak/>
        <w:t>Anexo 2</w:t>
      </w:r>
    </w:p>
    <w:p w:rsidR="00CE6299" w:rsidRPr="00314C01" w:rsidRDefault="00CE6299" w:rsidP="0043277E">
      <w:pPr>
        <w:spacing w:before="360"/>
        <w:jc w:val="center"/>
        <w:rPr>
          <w:sz w:val="24"/>
          <w:szCs w:val="24"/>
          <w:lang w:val="es-ES"/>
        </w:rPr>
      </w:pPr>
      <w:r w:rsidRPr="00314C01">
        <w:rPr>
          <w:sz w:val="24"/>
          <w:szCs w:val="24"/>
          <w:lang w:val="es-ES"/>
        </w:rPr>
        <w:t xml:space="preserve">(Origen: Documentos </w:t>
      </w:r>
      <w:r w:rsidR="0043277E">
        <w:rPr>
          <w:rFonts w:asciiTheme="minorHAnsi" w:hAnsiTheme="minorHAnsi" w:cstheme="minorHAnsi"/>
          <w:sz w:val="24"/>
          <w:szCs w:val="24"/>
        </w:rPr>
        <w:t xml:space="preserve">6/279 </w:t>
      </w:r>
      <w:r w:rsidRPr="00314C01">
        <w:rPr>
          <w:sz w:val="24"/>
          <w:szCs w:val="24"/>
          <w:lang w:val="es-ES"/>
        </w:rPr>
        <w:t xml:space="preserve">y </w:t>
      </w:r>
      <w:r w:rsidR="0043277E">
        <w:rPr>
          <w:rFonts w:asciiTheme="minorHAnsi" w:hAnsiTheme="minorHAnsi" w:cstheme="minorHAnsi"/>
          <w:sz w:val="24"/>
          <w:szCs w:val="24"/>
        </w:rPr>
        <w:t>6/280</w:t>
      </w:r>
      <w:r w:rsidRPr="00314C01">
        <w:rPr>
          <w:sz w:val="24"/>
          <w:szCs w:val="24"/>
          <w:lang w:val="es-ES"/>
        </w:rPr>
        <w:t>)</w:t>
      </w:r>
    </w:p>
    <w:p w:rsidR="00CE6299" w:rsidRPr="00314C01" w:rsidRDefault="00CE6299" w:rsidP="00CE6299">
      <w:pPr>
        <w:spacing w:before="360"/>
        <w:jc w:val="center"/>
        <w:rPr>
          <w:b/>
          <w:bCs/>
          <w:sz w:val="28"/>
          <w:szCs w:val="28"/>
          <w:lang w:val="es-ES"/>
        </w:rPr>
      </w:pPr>
      <w:r w:rsidRPr="00314C01">
        <w:rPr>
          <w:b/>
          <w:bCs/>
          <w:sz w:val="28"/>
          <w:szCs w:val="28"/>
          <w:lang w:val="es-ES"/>
        </w:rPr>
        <w:t>Recomendaciones cuya supresión se propone</w:t>
      </w:r>
    </w:p>
    <w:p w:rsidR="000C4E7D" w:rsidRDefault="000C4E7D" w:rsidP="000C4E7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6"/>
        <w:gridCol w:w="7413"/>
      </w:tblGrid>
      <w:tr w:rsidR="00DE17EA" w:rsidTr="00A92AEA">
        <w:tc>
          <w:tcPr>
            <w:tcW w:w="2235" w:type="dxa"/>
          </w:tcPr>
          <w:p w:rsidR="00DE17EA" w:rsidRDefault="00DE17EA" w:rsidP="00A92AEA">
            <w:pPr>
              <w:pStyle w:val="Tablehead"/>
              <w:rPr>
                <w:lang w:val="en-GB"/>
              </w:rPr>
            </w:pPr>
            <w:r>
              <w:rPr>
                <w:lang w:val="en-GB"/>
              </w:rPr>
              <w:t>Recommendation ITU-R</w:t>
            </w:r>
          </w:p>
        </w:tc>
        <w:tc>
          <w:tcPr>
            <w:tcW w:w="7620" w:type="dxa"/>
          </w:tcPr>
          <w:p w:rsidR="00DE17EA" w:rsidRDefault="00DE17EA" w:rsidP="00A92AEA">
            <w:pPr>
              <w:pStyle w:val="Tablehead"/>
              <w:rPr>
                <w:lang w:val="en-GB"/>
              </w:rPr>
            </w:pPr>
            <w:r>
              <w:rPr>
                <w:lang w:val="en-GB"/>
              </w:rPr>
              <w:t>Title</w:t>
            </w:r>
          </w:p>
        </w:tc>
      </w:tr>
      <w:tr w:rsidR="00DE17EA" w:rsidRPr="003D6176" w:rsidTr="00A92AEA">
        <w:tc>
          <w:tcPr>
            <w:tcW w:w="2235" w:type="dxa"/>
          </w:tcPr>
          <w:p w:rsidR="00DE17EA" w:rsidRDefault="00DE17EA" w:rsidP="00A92AEA">
            <w:pPr>
              <w:pStyle w:val="Tabletext"/>
              <w:jc w:val="center"/>
              <w:rPr>
                <w:lang w:val="en-GB"/>
              </w:rPr>
            </w:pPr>
            <w:r w:rsidRPr="00A2609A">
              <w:rPr>
                <w:rStyle w:val="href"/>
              </w:rPr>
              <w:t>BT.1361</w:t>
            </w:r>
            <w:r>
              <w:rPr>
                <w:rStyle w:val="href"/>
              </w:rPr>
              <w:t>-0</w:t>
            </w:r>
          </w:p>
        </w:tc>
        <w:tc>
          <w:tcPr>
            <w:tcW w:w="7620" w:type="dxa"/>
          </w:tcPr>
          <w:p w:rsidR="00DE17EA" w:rsidRPr="003D6176" w:rsidRDefault="003D6176" w:rsidP="00A92AEA">
            <w:pPr>
              <w:pStyle w:val="Tabletext"/>
            </w:pPr>
            <w:bookmarkStart w:id="7" w:name="Pre_title"/>
            <w:r>
              <w:rPr>
                <w:lang w:val="es-ES"/>
              </w:rPr>
              <w:t xml:space="preserve">Colorimetría unificada a nivel mundial y características correspondientes </w:t>
            </w:r>
            <w:r>
              <w:rPr>
                <w:lang w:val="es-ES"/>
              </w:rPr>
              <w:br/>
              <w:t>de los futuros sistemas de televisión y de formación de imágenes</w:t>
            </w:r>
            <w:bookmarkEnd w:id="7"/>
          </w:p>
        </w:tc>
      </w:tr>
      <w:tr w:rsidR="00DE17EA" w:rsidRPr="00DE17EA" w:rsidTr="00A92AEA">
        <w:tc>
          <w:tcPr>
            <w:tcW w:w="2235" w:type="dxa"/>
          </w:tcPr>
          <w:p w:rsidR="00DE17EA" w:rsidRPr="00A2609A" w:rsidRDefault="00DE17EA" w:rsidP="00A92AEA">
            <w:pPr>
              <w:pStyle w:val="Tabletext"/>
              <w:jc w:val="center"/>
              <w:rPr>
                <w:rStyle w:val="href"/>
              </w:rPr>
            </w:pPr>
            <w:r>
              <w:rPr>
                <w:rStyle w:val="href"/>
              </w:rPr>
              <w:t>BT</w:t>
            </w:r>
            <w:r w:rsidRPr="00BF487A">
              <w:rPr>
                <w:rStyle w:val="href"/>
              </w:rPr>
              <w:t>.</w:t>
            </w:r>
            <w:r w:rsidRPr="003142AA">
              <w:rPr>
                <w:rStyle w:val="href"/>
              </w:rPr>
              <w:t>1358</w:t>
            </w:r>
            <w:r w:rsidRPr="00C223A8">
              <w:rPr>
                <w:rStyle w:val="href"/>
              </w:rPr>
              <w:t>-1</w:t>
            </w:r>
          </w:p>
        </w:tc>
        <w:tc>
          <w:tcPr>
            <w:tcW w:w="7620" w:type="dxa"/>
          </w:tcPr>
          <w:p w:rsidR="00DE17EA" w:rsidRPr="00DE17EA" w:rsidRDefault="00DE17EA" w:rsidP="00DE17EA">
            <w:pPr>
              <w:pStyle w:val="Tabletext"/>
            </w:pPr>
            <w:r w:rsidRPr="000034C2">
              <w:t>Parámetros de estudio de los sistemas de televisión</w:t>
            </w:r>
            <w:r>
              <w:t xml:space="preserve"> </w:t>
            </w:r>
            <w:r w:rsidRPr="000034C2">
              <w:t>con exploración progresiva de 625 y 525 líneas</w:t>
            </w:r>
          </w:p>
        </w:tc>
      </w:tr>
    </w:tbl>
    <w:p w:rsidR="00BF49D2" w:rsidRPr="00DE17EA" w:rsidRDefault="00BF49D2" w:rsidP="000C4E7D"/>
    <w:p w:rsidR="00CE6299" w:rsidRPr="000C4E7D" w:rsidRDefault="00CE6299" w:rsidP="00BF49D2">
      <w:pPr>
        <w:jc w:val="center"/>
      </w:pPr>
      <w:r w:rsidRPr="000C4E7D">
        <w:t>________________</w:t>
      </w:r>
    </w:p>
    <w:sectPr w:rsidR="00CE6299" w:rsidRPr="000C4E7D" w:rsidSect="00235A29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134" w:right="1134" w:bottom="1134" w:left="1134" w:header="567" w:footer="567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E47" w:rsidRDefault="00CD0E47">
      <w:r>
        <w:separator/>
      </w:r>
    </w:p>
  </w:endnote>
  <w:endnote w:type="continuationSeparator" w:id="0">
    <w:p w:rsidR="00CD0E47" w:rsidRDefault="00CD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F8" w:rsidRPr="00F42C8C" w:rsidRDefault="00F42C8C" w:rsidP="00F914DD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F42C8C">
      <w:rPr>
        <w:sz w:val="18"/>
        <w:szCs w:val="18"/>
      </w:rPr>
      <w:t xml:space="preserve">Unión Internacional de Telecomunicaciones • Place des </w:t>
    </w:r>
    <w:proofErr w:type="spellStart"/>
    <w:r w:rsidRPr="00F42C8C">
      <w:rPr>
        <w:sz w:val="18"/>
        <w:szCs w:val="18"/>
      </w:rPr>
      <w:t>Nations</w:t>
    </w:r>
    <w:proofErr w:type="spellEnd"/>
    <w:r w:rsidRPr="00F42C8C">
      <w:rPr>
        <w:sz w:val="18"/>
        <w:szCs w:val="18"/>
      </w:rPr>
      <w:t xml:space="preserve"> • CH</w:t>
    </w:r>
    <w:r w:rsidRPr="00F42C8C">
      <w:rPr>
        <w:sz w:val="18"/>
        <w:szCs w:val="18"/>
      </w:rPr>
      <w:noBreakHyphen/>
      <w:t>1211 Ginebra 20 • Suiza</w:t>
    </w:r>
    <w:r w:rsidRPr="00F42C8C">
      <w:rPr>
        <w:sz w:val="18"/>
        <w:szCs w:val="18"/>
      </w:rPr>
      <w:br/>
      <w:t xml:space="preserve">Tel: +41 22 730 5111 • Fax: +41 22 733 7256 • Correo-e: </w:t>
    </w:r>
    <w:hyperlink r:id="rId1" w:history="1">
      <w:r w:rsidRPr="00F42C8C">
        <w:rPr>
          <w:rStyle w:val="Hyperlink"/>
          <w:rFonts w:cs="Calibri"/>
          <w:sz w:val="18"/>
          <w:szCs w:val="18"/>
        </w:rPr>
        <w:t>itumail@itu.int</w:t>
      </w:r>
    </w:hyperlink>
    <w:r w:rsidRPr="00F42C8C">
      <w:rPr>
        <w:sz w:val="18"/>
        <w:szCs w:val="18"/>
      </w:rPr>
      <w:t xml:space="preserve"> • </w:t>
    </w:r>
    <w:hyperlink r:id="rId2" w:history="1">
      <w:r w:rsidRPr="00F42C8C">
        <w:rPr>
          <w:rStyle w:val="Hyperlink"/>
          <w:rFonts w:cs="Calibri"/>
          <w:sz w:val="18"/>
          <w:szCs w:val="18"/>
        </w:rPr>
        <w:t>www.itu.int</w:t>
      </w:r>
    </w:hyperlink>
    <w:r w:rsidR="00F55EAB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E47" w:rsidRDefault="00CD0E47">
      <w:r>
        <w:t>____________________</w:t>
      </w:r>
    </w:p>
  </w:footnote>
  <w:footnote w:type="continuationSeparator" w:id="0">
    <w:p w:rsidR="00CD0E47" w:rsidRDefault="00CD0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F8" w:rsidRPr="00A654EA" w:rsidRDefault="00A654EA" w:rsidP="00B71FC8">
    <w:pPr>
      <w:pStyle w:val="Header"/>
      <w:jc w:val="center"/>
      <w:rPr>
        <w:sz w:val="18"/>
        <w:szCs w:val="18"/>
      </w:rPr>
    </w:pPr>
    <w:r w:rsidRPr="00A654EA">
      <w:rPr>
        <w:sz w:val="18"/>
        <w:szCs w:val="18"/>
      </w:rPr>
      <w:t xml:space="preserve">- </w:t>
    </w:r>
    <w:r w:rsidR="00026CF8" w:rsidRPr="00A654EA">
      <w:rPr>
        <w:rStyle w:val="PageNumber"/>
        <w:rFonts w:cs="Calibri"/>
        <w:sz w:val="18"/>
        <w:szCs w:val="18"/>
      </w:rPr>
      <w:fldChar w:fldCharType="begin"/>
    </w:r>
    <w:r w:rsidR="00026CF8" w:rsidRPr="00A654EA">
      <w:rPr>
        <w:rStyle w:val="PageNumber"/>
        <w:rFonts w:cs="Calibri"/>
        <w:sz w:val="18"/>
        <w:szCs w:val="18"/>
      </w:rPr>
      <w:instrText xml:space="preserve"> PAGE </w:instrText>
    </w:r>
    <w:r w:rsidR="00026CF8" w:rsidRPr="00A654EA">
      <w:rPr>
        <w:rStyle w:val="PageNumber"/>
        <w:rFonts w:cs="Calibri"/>
        <w:sz w:val="18"/>
        <w:szCs w:val="18"/>
      </w:rPr>
      <w:fldChar w:fldCharType="separate"/>
    </w:r>
    <w:r w:rsidR="005A70FA">
      <w:rPr>
        <w:rStyle w:val="PageNumber"/>
        <w:rFonts w:cs="Calibri"/>
        <w:noProof/>
        <w:sz w:val="18"/>
        <w:szCs w:val="18"/>
      </w:rPr>
      <w:t>2</w:t>
    </w:r>
    <w:r w:rsidR="00026CF8" w:rsidRPr="00A654EA">
      <w:rPr>
        <w:rStyle w:val="PageNumber"/>
        <w:rFonts w:cs="Calibri"/>
        <w:sz w:val="18"/>
        <w:szCs w:val="18"/>
      </w:rPr>
      <w:fldChar w:fldCharType="end"/>
    </w:r>
    <w:r w:rsidRPr="00A654EA">
      <w:rPr>
        <w:rStyle w:val="PageNumber"/>
        <w:rFonts w:cs="Calibri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F8" w:rsidRPr="00AF3325" w:rsidRDefault="00AD1140" w:rsidP="00AD1140">
    <w:pPr>
      <w:pStyle w:val="Header"/>
    </w:pPr>
    <w:r>
      <w:ptab w:relativeTo="margin" w:alignment="center" w:leader="none"/>
    </w:r>
    <w:r w:rsidR="00A654EA" w:rsidRPr="00A654EA">
      <w:rPr>
        <w:sz w:val="18"/>
        <w:szCs w:val="18"/>
      </w:rPr>
      <w:t xml:space="preserve">- </w:t>
    </w:r>
    <w:r w:rsidRPr="00A654EA">
      <w:rPr>
        <w:sz w:val="18"/>
        <w:szCs w:val="18"/>
      </w:rPr>
      <w:fldChar w:fldCharType="begin"/>
    </w:r>
    <w:r w:rsidRPr="00A654EA">
      <w:rPr>
        <w:sz w:val="18"/>
        <w:szCs w:val="18"/>
      </w:rPr>
      <w:instrText xml:space="preserve"> PAGE   \* MERGEFORMAT </w:instrText>
    </w:r>
    <w:r w:rsidRPr="00A654EA">
      <w:rPr>
        <w:sz w:val="18"/>
        <w:szCs w:val="18"/>
      </w:rPr>
      <w:fldChar w:fldCharType="separate"/>
    </w:r>
    <w:r w:rsidR="005A70FA">
      <w:rPr>
        <w:noProof/>
        <w:sz w:val="18"/>
        <w:szCs w:val="18"/>
      </w:rPr>
      <w:t>5</w:t>
    </w:r>
    <w:r w:rsidRPr="00A654EA">
      <w:rPr>
        <w:noProof/>
        <w:sz w:val="18"/>
        <w:szCs w:val="18"/>
      </w:rPr>
      <w:fldChar w:fldCharType="end"/>
    </w:r>
    <w:r w:rsidR="00A654EA" w:rsidRPr="00A654EA">
      <w:rPr>
        <w:noProof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F8" w:rsidRPr="00EA15B3" w:rsidRDefault="00026CF8" w:rsidP="00EA15B3">
    <w:pPr>
      <w:pStyle w:val="Header"/>
      <w:spacing w:line="360" w:lineRule="auto"/>
    </w:pPr>
    <w:r>
      <w:tab/>
    </w:r>
    <w:r>
      <w:tab/>
    </w:r>
    <w:r w:rsidR="00976AAD">
      <w:rPr>
        <w:b/>
        <w:bCs/>
        <w:noProof/>
        <w:lang w:val="en-US" w:eastAsia="zh-CN"/>
      </w:rPr>
      <w:drawing>
        <wp:inline distT="0" distB="0" distL="0" distR="0" wp14:anchorId="0D9DDC9E" wp14:editId="7C2547DA">
          <wp:extent cx="628650" cy="72390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CD0E47"/>
    <w:rsid w:val="00005731"/>
    <w:rsid w:val="00010E30"/>
    <w:rsid w:val="00026CF8"/>
    <w:rsid w:val="00031E64"/>
    <w:rsid w:val="00040DF5"/>
    <w:rsid w:val="0004250E"/>
    <w:rsid w:val="00054534"/>
    <w:rsid w:val="000603DE"/>
    <w:rsid w:val="00070258"/>
    <w:rsid w:val="00072B9B"/>
    <w:rsid w:val="00072E16"/>
    <w:rsid w:val="0007323C"/>
    <w:rsid w:val="0007406D"/>
    <w:rsid w:val="00086D03"/>
    <w:rsid w:val="000A7051"/>
    <w:rsid w:val="000C03C7"/>
    <w:rsid w:val="000C4E7D"/>
    <w:rsid w:val="000D786F"/>
    <w:rsid w:val="000E2185"/>
    <w:rsid w:val="000E3DEE"/>
    <w:rsid w:val="00101958"/>
    <w:rsid w:val="00103C76"/>
    <w:rsid w:val="0011265F"/>
    <w:rsid w:val="001261F8"/>
    <w:rsid w:val="00145AA2"/>
    <w:rsid w:val="0016308F"/>
    <w:rsid w:val="00196710"/>
    <w:rsid w:val="00197324"/>
    <w:rsid w:val="001B1CE8"/>
    <w:rsid w:val="001D7070"/>
    <w:rsid w:val="001F5A49"/>
    <w:rsid w:val="00200936"/>
    <w:rsid w:val="00201097"/>
    <w:rsid w:val="00201B6E"/>
    <w:rsid w:val="002240B2"/>
    <w:rsid w:val="00235A29"/>
    <w:rsid w:val="00251766"/>
    <w:rsid w:val="002861E6"/>
    <w:rsid w:val="00290AEE"/>
    <w:rsid w:val="002A2700"/>
    <w:rsid w:val="002B7979"/>
    <w:rsid w:val="002C54C3"/>
    <w:rsid w:val="002D6688"/>
    <w:rsid w:val="002E1472"/>
    <w:rsid w:val="002F0890"/>
    <w:rsid w:val="00314C01"/>
    <w:rsid w:val="00314FF5"/>
    <w:rsid w:val="003370B8"/>
    <w:rsid w:val="003666FF"/>
    <w:rsid w:val="003741EE"/>
    <w:rsid w:val="003B2BDA"/>
    <w:rsid w:val="003B55EC"/>
    <w:rsid w:val="003C4471"/>
    <w:rsid w:val="003D6176"/>
    <w:rsid w:val="003E504F"/>
    <w:rsid w:val="0041334A"/>
    <w:rsid w:val="004326DB"/>
    <w:rsid w:val="0043277E"/>
    <w:rsid w:val="0043682E"/>
    <w:rsid w:val="00460CEC"/>
    <w:rsid w:val="00467117"/>
    <w:rsid w:val="0047728F"/>
    <w:rsid w:val="004815EB"/>
    <w:rsid w:val="00496920"/>
    <w:rsid w:val="004A28B6"/>
    <w:rsid w:val="004B7C9A"/>
    <w:rsid w:val="004E0DC4"/>
    <w:rsid w:val="004E0FB5"/>
    <w:rsid w:val="004E196E"/>
    <w:rsid w:val="004E43BB"/>
    <w:rsid w:val="004F178E"/>
    <w:rsid w:val="004F6466"/>
    <w:rsid w:val="00505309"/>
    <w:rsid w:val="0050789B"/>
    <w:rsid w:val="00512795"/>
    <w:rsid w:val="00515771"/>
    <w:rsid w:val="0054008B"/>
    <w:rsid w:val="00542A47"/>
    <w:rsid w:val="00543DF8"/>
    <w:rsid w:val="00546101"/>
    <w:rsid w:val="00553DD7"/>
    <w:rsid w:val="005558BD"/>
    <w:rsid w:val="0057469A"/>
    <w:rsid w:val="00577A01"/>
    <w:rsid w:val="00580814"/>
    <w:rsid w:val="005A03A3"/>
    <w:rsid w:val="005A70FA"/>
    <w:rsid w:val="005B214C"/>
    <w:rsid w:val="005B7ACC"/>
    <w:rsid w:val="005F3A03"/>
    <w:rsid w:val="00602D53"/>
    <w:rsid w:val="00651777"/>
    <w:rsid w:val="00674F4F"/>
    <w:rsid w:val="006B0590"/>
    <w:rsid w:val="006B49DA"/>
    <w:rsid w:val="006C04E0"/>
    <w:rsid w:val="006E580D"/>
    <w:rsid w:val="00700636"/>
    <w:rsid w:val="00707216"/>
    <w:rsid w:val="00712C78"/>
    <w:rsid w:val="007234B1"/>
    <w:rsid w:val="00730B9A"/>
    <w:rsid w:val="00783681"/>
    <w:rsid w:val="007921A7"/>
    <w:rsid w:val="007A5C27"/>
    <w:rsid w:val="007B0592"/>
    <w:rsid w:val="007B0686"/>
    <w:rsid w:val="007B3DB1"/>
    <w:rsid w:val="007D183E"/>
    <w:rsid w:val="007E304D"/>
    <w:rsid w:val="007E3F13"/>
    <w:rsid w:val="007E59D7"/>
    <w:rsid w:val="00800012"/>
    <w:rsid w:val="0081513E"/>
    <w:rsid w:val="00823210"/>
    <w:rsid w:val="00843445"/>
    <w:rsid w:val="00847D46"/>
    <w:rsid w:val="00854131"/>
    <w:rsid w:val="0085652D"/>
    <w:rsid w:val="00865A1D"/>
    <w:rsid w:val="0087095E"/>
    <w:rsid w:val="0087694B"/>
    <w:rsid w:val="008E03C2"/>
    <w:rsid w:val="008F4F21"/>
    <w:rsid w:val="00904D4A"/>
    <w:rsid w:val="009151BA"/>
    <w:rsid w:val="0092000C"/>
    <w:rsid w:val="009277BC"/>
    <w:rsid w:val="00927D57"/>
    <w:rsid w:val="00941D23"/>
    <w:rsid w:val="0095010C"/>
    <w:rsid w:val="00963D9D"/>
    <w:rsid w:val="00972264"/>
    <w:rsid w:val="00976AAD"/>
    <w:rsid w:val="00981B54"/>
    <w:rsid w:val="009842C3"/>
    <w:rsid w:val="0099005E"/>
    <w:rsid w:val="00997FC6"/>
    <w:rsid w:val="009A6BB6"/>
    <w:rsid w:val="009B3F43"/>
    <w:rsid w:val="009C0491"/>
    <w:rsid w:val="009C161F"/>
    <w:rsid w:val="009C7017"/>
    <w:rsid w:val="009E4AEC"/>
    <w:rsid w:val="009E5BD8"/>
    <w:rsid w:val="009E681E"/>
    <w:rsid w:val="00A000AD"/>
    <w:rsid w:val="00A05186"/>
    <w:rsid w:val="00A34D6F"/>
    <w:rsid w:val="00A369C5"/>
    <w:rsid w:val="00A41F91"/>
    <w:rsid w:val="00A615AB"/>
    <w:rsid w:val="00A654EA"/>
    <w:rsid w:val="00A963DF"/>
    <w:rsid w:val="00A9747B"/>
    <w:rsid w:val="00AC3896"/>
    <w:rsid w:val="00AD1140"/>
    <w:rsid w:val="00AE6CFA"/>
    <w:rsid w:val="00AF3325"/>
    <w:rsid w:val="00B021DE"/>
    <w:rsid w:val="00B34CF9"/>
    <w:rsid w:val="00B57253"/>
    <w:rsid w:val="00B67004"/>
    <w:rsid w:val="00B71FC8"/>
    <w:rsid w:val="00B864C8"/>
    <w:rsid w:val="00B90C45"/>
    <w:rsid w:val="00B933BE"/>
    <w:rsid w:val="00BB4069"/>
    <w:rsid w:val="00BD38D8"/>
    <w:rsid w:val="00BD7E5E"/>
    <w:rsid w:val="00BD7FF7"/>
    <w:rsid w:val="00BE6574"/>
    <w:rsid w:val="00BF49D2"/>
    <w:rsid w:val="00C4553C"/>
    <w:rsid w:val="00C57E2C"/>
    <w:rsid w:val="00C608B7"/>
    <w:rsid w:val="00C66F24"/>
    <w:rsid w:val="00C764BA"/>
    <w:rsid w:val="00C9291E"/>
    <w:rsid w:val="00CA3F44"/>
    <w:rsid w:val="00CA4E58"/>
    <w:rsid w:val="00CA5FE6"/>
    <w:rsid w:val="00CB3771"/>
    <w:rsid w:val="00CB5153"/>
    <w:rsid w:val="00CC0DA0"/>
    <w:rsid w:val="00CD0E47"/>
    <w:rsid w:val="00CE6299"/>
    <w:rsid w:val="00CF6752"/>
    <w:rsid w:val="00D10BA0"/>
    <w:rsid w:val="00D2339B"/>
    <w:rsid w:val="00D24EB5"/>
    <w:rsid w:val="00D41571"/>
    <w:rsid w:val="00D416A0"/>
    <w:rsid w:val="00D47672"/>
    <w:rsid w:val="00D5123C"/>
    <w:rsid w:val="00D51C9E"/>
    <w:rsid w:val="00D55560"/>
    <w:rsid w:val="00D6191B"/>
    <w:rsid w:val="00D61C5A"/>
    <w:rsid w:val="00DB3A18"/>
    <w:rsid w:val="00DE17EA"/>
    <w:rsid w:val="00DE49DB"/>
    <w:rsid w:val="00DE66A5"/>
    <w:rsid w:val="00DF2B50"/>
    <w:rsid w:val="00E003F5"/>
    <w:rsid w:val="00E010B8"/>
    <w:rsid w:val="00E0142D"/>
    <w:rsid w:val="00E04C86"/>
    <w:rsid w:val="00E16F38"/>
    <w:rsid w:val="00E20F30"/>
    <w:rsid w:val="00E27BBA"/>
    <w:rsid w:val="00E34CD1"/>
    <w:rsid w:val="00E35E8F"/>
    <w:rsid w:val="00E438E8"/>
    <w:rsid w:val="00E520E2"/>
    <w:rsid w:val="00E64254"/>
    <w:rsid w:val="00EA15B3"/>
    <w:rsid w:val="00EB2358"/>
    <w:rsid w:val="00EB3EB8"/>
    <w:rsid w:val="00ED7997"/>
    <w:rsid w:val="00F1226E"/>
    <w:rsid w:val="00F25AA4"/>
    <w:rsid w:val="00F42C8C"/>
    <w:rsid w:val="00F468C5"/>
    <w:rsid w:val="00F52F39"/>
    <w:rsid w:val="00F55EAB"/>
    <w:rsid w:val="00F852E7"/>
    <w:rsid w:val="00F914DD"/>
    <w:rsid w:val="00F938C0"/>
    <w:rsid w:val="00FA2358"/>
    <w:rsid w:val="00FB2592"/>
    <w:rsid w:val="00FB2810"/>
    <w:rsid w:val="00FC2947"/>
    <w:rsid w:val="00FE0818"/>
    <w:rsid w:val="00FF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  <w15:docId w15:val="{2E8C8093-4E21-4AAB-8063-2D350336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0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  <w:lang w:val="es-ES_tradnl" w:eastAsia="en-US"/>
    </w:rPr>
  </w:style>
  <w:style w:type="paragraph" w:styleId="TOC8">
    <w:name w:val="toc 8"/>
    <w:basedOn w:val="TOC4"/>
    <w:uiPriority w:val="39"/>
    <w:semiHidden/>
    <w:rsid w:val="004326DB"/>
  </w:style>
  <w:style w:type="paragraph" w:styleId="TOC4">
    <w:name w:val="toc 4"/>
    <w:basedOn w:val="TOC3"/>
    <w:uiPriority w:val="39"/>
    <w:semiHidden/>
    <w:rsid w:val="004326DB"/>
  </w:style>
  <w:style w:type="paragraph" w:styleId="TOC3">
    <w:name w:val="toc 3"/>
    <w:basedOn w:val="TOC2"/>
    <w:uiPriority w:val="39"/>
    <w:semiHidden/>
    <w:rsid w:val="004326DB"/>
  </w:style>
  <w:style w:type="paragraph" w:styleId="TOC2">
    <w:name w:val="toc 2"/>
    <w:basedOn w:val="TOC1"/>
    <w:uiPriority w:val="39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uiPriority w:val="39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uiPriority w:val="39"/>
    <w:semiHidden/>
    <w:rsid w:val="004326DB"/>
  </w:style>
  <w:style w:type="paragraph" w:styleId="TOC6">
    <w:name w:val="toc 6"/>
    <w:basedOn w:val="TOC4"/>
    <w:uiPriority w:val="39"/>
    <w:semiHidden/>
    <w:rsid w:val="004326DB"/>
  </w:style>
  <w:style w:type="paragraph" w:styleId="TOC5">
    <w:name w:val="toc 5"/>
    <w:basedOn w:val="TOC4"/>
    <w:uiPriority w:val="39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2"/>
      <w:szCs w:val="22"/>
      <w:lang w:val="es-ES_tradnl" w:eastAsia="en-US"/>
    </w:r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2"/>
      <w:szCs w:val="22"/>
      <w:lang w:val="es-ES_tradnl" w:eastAsia="en-US"/>
    </w:rPr>
  </w:style>
  <w:style w:type="character" w:styleId="FootnoteReference">
    <w:name w:val="footnote reference"/>
    <w:basedOn w:val="DefaultParagraphFont"/>
    <w:uiPriority w:val="99"/>
    <w:semiHidden/>
    <w:rsid w:val="004326DB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4326D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lang w:val="es-ES_tradnl" w:eastAsia="en-US"/>
    </w:r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uiPriority w:val="99"/>
    <w:rsid w:val="004326DB"/>
    <w:rPr>
      <w:rFonts w:cs="Times New Roman"/>
    </w:rPr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uiPriority w:val="99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uiPriority w:val="99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326D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2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s-ES_tradnl" w:eastAsia="en-US"/>
    </w:rPr>
  </w:style>
  <w:style w:type="character" w:customStyle="1" w:styleId="href">
    <w:name w:val="href"/>
    <w:basedOn w:val="DefaultParagraphFont"/>
    <w:rsid w:val="004326DB"/>
    <w:rPr>
      <w:rFonts w:cs="Times New Roman"/>
    </w:rPr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uiPriority w:val="99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00012"/>
    <w:rPr>
      <w:rFonts w:ascii="Tahoma" w:hAnsi="Tahoma" w:cs="Tahoma"/>
      <w:sz w:val="16"/>
      <w:szCs w:val="16"/>
      <w:lang w:val="en-US" w:eastAsia="en-US"/>
    </w:rPr>
  </w:style>
  <w:style w:type="paragraph" w:customStyle="1" w:styleId="FromRef">
    <w:name w:val="FromRef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paragraph" w:customStyle="1" w:styleId="Object">
    <w:name w:val="Object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character" w:styleId="PlaceholderText">
    <w:name w:val="Placeholder Text"/>
    <w:basedOn w:val="DefaultParagraphFont"/>
    <w:uiPriority w:val="99"/>
    <w:semiHidden/>
    <w:rsid w:val="00D2339B"/>
    <w:rPr>
      <w:rFonts w:cs="Times New Roman"/>
      <w:color w:val="808080"/>
    </w:rPr>
  </w:style>
  <w:style w:type="paragraph" w:styleId="BodyTextIndent2">
    <w:name w:val="Body Text Indent 2"/>
    <w:basedOn w:val="Normal"/>
    <w:link w:val="BodyTextIndent2Char"/>
    <w:rsid w:val="00CD0E47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D0E47"/>
    <w:rPr>
      <w:rFonts w:ascii="Times New Roman" w:hAnsi="Times New Roman" w:cs="Times New Roman"/>
      <w:sz w:val="24"/>
      <w:lang w:val="en-US" w:eastAsia="en-US"/>
    </w:rPr>
  </w:style>
  <w:style w:type="paragraph" w:customStyle="1" w:styleId="Reasons">
    <w:name w:val="Reasons"/>
    <w:basedOn w:val="Normal"/>
    <w:qFormat/>
    <w:rsid w:val="00CD0E4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styleId="FollowedHyperlink">
    <w:name w:val="FollowedHyperlink"/>
    <w:basedOn w:val="DefaultParagraphFont"/>
    <w:rsid w:val="00A369C5"/>
    <w:rPr>
      <w:color w:val="800080" w:themeColor="followedHyperlink"/>
      <w:u w:val="single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972264"/>
    <w:rPr>
      <w:sz w:val="22"/>
      <w:szCs w:val="22"/>
      <w:lang w:val="es-ES_tradnl" w:eastAsia="en-US"/>
    </w:rPr>
  </w:style>
  <w:style w:type="paragraph" w:customStyle="1" w:styleId="AnnexNotitle0">
    <w:name w:val="Annex_No &amp; title"/>
    <w:basedOn w:val="Normal"/>
    <w:next w:val="Normalaftertitle"/>
    <w:rsid w:val="00CE6299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TabletextChar">
    <w:name w:val="Table_text Char"/>
    <w:link w:val="Tabletext"/>
    <w:uiPriority w:val="99"/>
    <w:locked/>
    <w:rsid w:val="00DE17EA"/>
    <w:rPr>
      <w:szCs w:val="22"/>
      <w:lang w:val="es-ES_tradnl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DE17EA"/>
    <w:rPr>
      <w:b/>
      <w:szCs w:val="22"/>
      <w:lang w:val="es-ES_tradnl" w:eastAsia="en-US"/>
    </w:rPr>
  </w:style>
  <w:style w:type="table" w:styleId="TableGrid">
    <w:name w:val="Table Grid"/>
    <w:basedOn w:val="TableNormal"/>
    <w:rsid w:val="00DE1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21">
    <w:name w:val="h21"/>
    <w:basedOn w:val="DefaultParagraphFont"/>
    <w:rsid w:val="0054008B"/>
    <w:rPr>
      <w:b/>
      <w:bCs/>
      <w:color w:val="3366CC"/>
      <w:sz w:val="36"/>
      <w:szCs w:val="36"/>
    </w:rPr>
  </w:style>
  <w:style w:type="character" w:customStyle="1" w:styleId="hps">
    <w:name w:val="hps"/>
    <w:basedOn w:val="DefaultParagraphFont"/>
    <w:rsid w:val="00C4553C"/>
  </w:style>
  <w:style w:type="paragraph" w:customStyle="1" w:styleId="Annextitle">
    <w:name w:val="Annex_title"/>
    <w:basedOn w:val="Normal"/>
    <w:next w:val="Normal"/>
    <w:rsid w:val="002B797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240" w:after="280" w:line="240" w:lineRule="auto"/>
      <w:jc w:val="center"/>
      <w:textAlignment w:val="auto"/>
    </w:pPr>
    <w:rPr>
      <w:rFonts w:ascii="Times New Roman Bold" w:eastAsia="SimSun" w:hAnsi="Times New Roman Bold" w:cs="Times New Roman"/>
      <w:b/>
      <w:sz w:val="28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ITU-T/ipr/Pages/policy.aspx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tu.int/pub/R-REC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R12-SG06-C/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\AppData\Roaming\Microsoft\Templates\POOL%20S%20-%20ITU\PS_BR%20correspondenc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 correspondence.dotx</Template>
  <TotalTime>108</TotalTime>
  <Pages>5</Pages>
  <Words>1328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(Spanish)</vt:lpstr>
    </vt:vector>
  </TitlesOfParts>
  <Company>International Telecommunication Union (ITU)</Company>
  <LinksUpToDate>false</LinksUpToDate>
  <CharactersWithSpaces>9306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(Spanish)</dc:title>
  <dc:creator>Christe-Baldan, Susana</dc:creator>
  <cp:lastModifiedBy>Song, Xiaojing</cp:lastModifiedBy>
  <cp:revision>28</cp:revision>
  <cp:lastPrinted>2014-11-28T15:10:00Z</cp:lastPrinted>
  <dcterms:created xsi:type="dcterms:W3CDTF">2014-11-28T10:22:00Z</dcterms:created>
  <dcterms:modified xsi:type="dcterms:W3CDTF">2014-12-03T10:38:00Z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