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536"/>
      </w:tblGrid>
      <w:tr w:rsidR="00EA15B3" w:rsidRPr="00F42C8C" w:rsidTr="00EA15B3">
        <w:tc>
          <w:tcPr>
            <w:tcW w:w="9889" w:type="dxa"/>
            <w:gridSpan w:val="3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3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C25420" w:rsidTr="00651777">
        <w:tc>
          <w:tcPr>
            <w:tcW w:w="5353" w:type="dxa"/>
            <w:gridSpan w:val="2"/>
          </w:tcPr>
          <w:p w:rsidR="00651777" w:rsidRPr="00C25420" w:rsidRDefault="00CD0E47" w:rsidP="00B24845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1911BE">
              <w:rPr>
                <w:sz w:val="24"/>
                <w:szCs w:val="24"/>
              </w:rPr>
              <w:t>Circular Administrativa</w:t>
            </w:r>
            <w:r w:rsidRPr="00C25420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C25420">
              <w:rPr>
                <w:b/>
                <w:bCs/>
                <w:sz w:val="24"/>
                <w:szCs w:val="24"/>
              </w:rPr>
              <w:t>CACE/</w:t>
            </w:r>
            <w:r w:rsidR="00B24845">
              <w:rPr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4536" w:type="dxa"/>
          </w:tcPr>
          <w:p w:rsidR="00651777" w:rsidRPr="001911BE" w:rsidRDefault="00C2742D" w:rsidP="006C04E0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1911BE" w:rsidRPr="001911BE">
              <w:rPr>
                <w:bCs/>
                <w:sz w:val="24"/>
                <w:szCs w:val="24"/>
              </w:rPr>
              <w:t xml:space="preserve"> de enero de 2015</w:t>
            </w:r>
          </w:p>
        </w:tc>
      </w:tr>
      <w:tr w:rsidR="00652A65" w:rsidRPr="00C25420" w:rsidTr="00FC128C">
        <w:tc>
          <w:tcPr>
            <w:tcW w:w="9889" w:type="dxa"/>
            <w:gridSpan w:val="3"/>
          </w:tcPr>
          <w:p w:rsidR="00652A65" w:rsidRPr="00C25420" w:rsidRDefault="00652A65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652A65" w:rsidRPr="00C25420" w:rsidTr="00FC128C">
        <w:tc>
          <w:tcPr>
            <w:tcW w:w="9889" w:type="dxa"/>
            <w:gridSpan w:val="3"/>
          </w:tcPr>
          <w:p w:rsidR="00652A65" w:rsidRPr="00C25420" w:rsidRDefault="00652A65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C25420" w:rsidTr="00EA15B3">
        <w:tc>
          <w:tcPr>
            <w:tcW w:w="9889" w:type="dxa"/>
            <w:gridSpan w:val="3"/>
          </w:tcPr>
          <w:p w:rsidR="00D2339B" w:rsidRPr="00C25420" w:rsidRDefault="00CD0E47" w:rsidP="00B24845">
            <w:pPr>
              <w:jc w:val="left"/>
              <w:rPr>
                <w:b/>
                <w:sz w:val="24"/>
                <w:szCs w:val="24"/>
              </w:rPr>
            </w:pPr>
            <w:r w:rsidRPr="00C25420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 xml:space="preserve">en los trabajos de la </w:t>
            </w:r>
            <w:r w:rsidR="00246864">
              <w:rPr>
                <w:b/>
                <w:sz w:val="24"/>
                <w:szCs w:val="24"/>
              </w:rPr>
              <w:br/>
            </w:r>
            <w:r w:rsidRPr="00C25420">
              <w:rPr>
                <w:b/>
                <w:sz w:val="24"/>
                <w:szCs w:val="24"/>
              </w:rPr>
              <w:t xml:space="preserve">Comisión de Estudio </w:t>
            </w:r>
            <w:r w:rsidR="00B24845">
              <w:rPr>
                <w:b/>
                <w:sz w:val="24"/>
                <w:szCs w:val="24"/>
              </w:rPr>
              <w:t>7</w:t>
            </w:r>
            <w:r w:rsidRPr="00C25420">
              <w:rPr>
                <w:b/>
                <w:sz w:val="24"/>
                <w:szCs w:val="24"/>
              </w:rPr>
              <w:t xml:space="preserve"> de </w:t>
            </w:r>
            <w:r w:rsidR="006C04E0" w:rsidRPr="00C25420">
              <w:rPr>
                <w:b/>
                <w:sz w:val="24"/>
                <w:szCs w:val="24"/>
              </w:rPr>
              <w:t>Radiocomunicaciones</w:t>
            </w:r>
          </w:p>
          <w:p w:rsidR="00CD0E47" w:rsidRPr="00C25420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shd w:val="clear" w:color="auto" w:fill="auto"/>
          </w:tcPr>
          <w:p w:rsidR="00CD0E47" w:rsidRPr="00246864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246864">
              <w:rPr>
                <w:sz w:val="24"/>
                <w:szCs w:val="24"/>
              </w:rPr>
              <w:t>Objeto</w:t>
            </w:r>
            <w:r w:rsidR="006C04E0" w:rsidRPr="00246864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D0E47" w:rsidRPr="00C25420" w:rsidRDefault="00CD0E47" w:rsidP="00B248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B24845">
              <w:rPr>
                <w:b/>
                <w:bCs/>
                <w:sz w:val="24"/>
                <w:szCs w:val="24"/>
              </w:rPr>
              <w:t>7</w:t>
            </w:r>
            <w:r w:rsidRPr="00C25420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E14C1B">
              <w:rPr>
                <w:b/>
                <w:bCs/>
                <w:sz w:val="24"/>
                <w:szCs w:val="24"/>
              </w:rPr>
              <w:t>(</w:t>
            </w:r>
            <w:r w:rsidR="00B24845">
              <w:rPr>
                <w:b/>
                <w:bCs/>
                <w:sz w:val="24"/>
                <w:szCs w:val="24"/>
              </w:rPr>
              <w:t>Servicios científicos</w:t>
            </w:r>
            <w:r w:rsidR="00E14C1B">
              <w:rPr>
                <w:b/>
                <w:bCs/>
                <w:sz w:val="24"/>
                <w:szCs w:val="24"/>
              </w:rPr>
              <w:t>)</w:t>
            </w:r>
          </w:p>
          <w:p w:rsidR="00CD0E47" w:rsidRPr="00C25420" w:rsidRDefault="00CD0E47" w:rsidP="00652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–</w:t>
            </w:r>
            <w:r w:rsidRPr="00C25420">
              <w:rPr>
                <w:b/>
                <w:bCs/>
                <w:sz w:val="24"/>
                <w:szCs w:val="24"/>
              </w:rPr>
              <w:tab/>
              <w:t xml:space="preserve">Adopción de </w:t>
            </w:r>
            <w:r w:rsidR="00B24845">
              <w:rPr>
                <w:b/>
                <w:bCs/>
                <w:sz w:val="24"/>
                <w:szCs w:val="24"/>
              </w:rPr>
              <w:t>3</w:t>
            </w:r>
            <w:r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B24845">
              <w:rPr>
                <w:b/>
                <w:sz w:val="24"/>
                <w:szCs w:val="24"/>
              </w:rPr>
              <w:t>nueva</w:t>
            </w:r>
            <w:r w:rsidR="00DF0A6C" w:rsidRPr="00C25420">
              <w:rPr>
                <w:b/>
                <w:sz w:val="24"/>
                <w:szCs w:val="24"/>
              </w:rPr>
              <w:t>s</w:t>
            </w:r>
            <w:r w:rsidR="00DF0A6C" w:rsidRPr="00C25420">
              <w:rPr>
                <w:b/>
                <w:bCs/>
                <w:sz w:val="24"/>
                <w:szCs w:val="24"/>
              </w:rPr>
              <w:t xml:space="preserve"> </w:t>
            </w:r>
            <w:r w:rsidRPr="00C25420">
              <w:rPr>
                <w:b/>
                <w:bCs/>
                <w:sz w:val="24"/>
                <w:szCs w:val="24"/>
              </w:rPr>
              <w:t>Recomendaci</w:t>
            </w:r>
            <w:r w:rsidR="00B24845">
              <w:rPr>
                <w:b/>
                <w:bCs/>
                <w:sz w:val="24"/>
                <w:szCs w:val="24"/>
              </w:rPr>
              <w:t>on</w:t>
            </w:r>
            <w:r w:rsidRPr="00C25420">
              <w:rPr>
                <w:b/>
                <w:bCs/>
                <w:sz w:val="24"/>
                <w:szCs w:val="24"/>
              </w:rPr>
              <w:t xml:space="preserve">es </w:t>
            </w:r>
            <w:r w:rsidR="00DF0A6C">
              <w:rPr>
                <w:b/>
                <w:bCs/>
                <w:sz w:val="24"/>
                <w:szCs w:val="24"/>
              </w:rPr>
              <w:t xml:space="preserve">UIT-R </w:t>
            </w:r>
            <w:r w:rsidR="007E0D2D">
              <w:rPr>
                <w:b/>
                <w:bCs/>
                <w:sz w:val="24"/>
                <w:szCs w:val="24"/>
              </w:rPr>
              <w:t xml:space="preserve">y </w:t>
            </w:r>
            <w:r w:rsidRPr="00C25420">
              <w:rPr>
                <w:b/>
                <w:bCs/>
                <w:sz w:val="24"/>
                <w:szCs w:val="24"/>
              </w:rPr>
              <w:t>su aprobación simultánea por correspondencia de conformidad con el § 10.3 de la Resolución UIT-R 1-6 (Procedimiento de adopción y aprobación simultáneas por correspondencia)</w:t>
            </w:r>
          </w:p>
        </w:tc>
      </w:tr>
      <w:tr w:rsidR="00CD0E47" w:rsidRPr="00C25420" w:rsidTr="00471EDA">
        <w:tc>
          <w:tcPr>
            <w:tcW w:w="1526" w:type="dxa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9889" w:type="dxa"/>
            <w:gridSpan w:val="3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D0E47" w:rsidRPr="00C25420" w:rsidRDefault="00CD0E47" w:rsidP="003D2E2A">
      <w:pPr>
        <w:pStyle w:val="Normalaftertitle"/>
        <w:rPr>
          <w:sz w:val="24"/>
          <w:szCs w:val="24"/>
        </w:rPr>
      </w:pPr>
      <w:r w:rsidRPr="00C25420">
        <w:rPr>
          <w:sz w:val="24"/>
          <w:szCs w:val="24"/>
        </w:rPr>
        <w:t>Mediante la Circular Administrativa CACE/</w:t>
      </w:r>
      <w:r w:rsidR="00B24845">
        <w:rPr>
          <w:sz w:val="24"/>
          <w:szCs w:val="24"/>
        </w:rPr>
        <w:t>694</w:t>
      </w:r>
      <w:r w:rsidRPr="00C25420">
        <w:rPr>
          <w:sz w:val="24"/>
          <w:szCs w:val="24"/>
        </w:rPr>
        <w:t xml:space="preserve"> </w:t>
      </w:r>
      <w:r w:rsidR="006206E4">
        <w:rPr>
          <w:sz w:val="24"/>
          <w:szCs w:val="24"/>
        </w:rPr>
        <w:t>de</w:t>
      </w:r>
      <w:r w:rsidR="001911BE">
        <w:rPr>
          <w:sz w:val="24"/>
          <w:szCs w:val="24"/>
        </w:rPr>
        <w:t xml:space="preserve"> 22 de octubre de 2014</w:t>
      </w:r>
      <w:r w:rsidRPr="00C25420">
        <w:rPr>
          <w:sz w:val="24"/>
          <w:szCs w:val="24"/>
        </w:rPr>
        <w:t>, se presentaron para adopción y aprobación simultáneas por correspondencia (PAAS), con arreglo al procedimiento de la Resolución</w:t>
      </w:r>
      <w:r w:rsidR="002E1472" w:rsidRPr="00C25420">
        <w:rPr>
          <w:sz w:val="24"/>
          <w:szCs w:val="24"/>
        </w:rPr>
        <w:t> </w:t>
      </w:r>
      <w:r w:rsidRPr="00C25420">
        <w:rPr>
          <w:sz w:val="24"/>
          <w:szCs w:val="24"/>
        </w:rPr>
        <w:t>UIT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>R 1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 xml:space="preserve">6 (§ 10.3), </w:t>
      </w:r>
      <w:r w:rsidR="006206E4">
        <w:rPr>
          <w:sz w:val="24"/>
          <w:szCs w:val="24"/>
        </w:rPr>
        <w:t>3 proyecto</w:t>
      </w:r>
      <w:r w:rsidRPr="00C25420">
        <w:rPr>
          <w:sz w:val="24"/>
          <w:szCs w:val="24"/>
        </w:rPr>
        <w:t xml:space="preserve">s de nueva Recomendación </w:t>
      </w:r>
      <w:r w:rsidR="00DF0A6C">
        <w:rPr>
          <w:sz w:val="24"/>
          <w:szCs w:val="24"/>
        </w:rPr>
        <w:t xml:space="preserve">UIT-R </w:t>
      </w:r>
      <w:r w:rsidR="00DC0E3F">
        <w:rPr>
          <w:sz w:val="24"/>
          <w:szCs w:val="24"/>
        </w:rPr>
        <w:t>revisada.</w:t>
      </w:r>
    </w:p>
    <w:p w:rsidR="00CD0E47" w:rsidRPr="00C25420" w:rsidRDefault="00CD0E47" w:rsidP="003D2E2A">
      <w:pPr>
        <w:rPr>
          <w:sz w:val="24"/>
          <w:szCs w:val="24"/>
        </w:rPr>
      </w:pPr>
      <w:r w:rsidRPr="00C25420">
        <w:rPr>
          <w:sz w:val="24"/>
          <w:szCs w:val="24"/>
        </w:rPr>
        <w:t xml:space="preserve">Las condiciones que determinan este procedimiento se cumplieron </w:t>
      </w:r>
      <w:r w:rsidR="00882660">
        <w:rPr>
          <w:sz w:val="24"/>
          <w:szCs w:val="24"/>
        </w:rPr>
        <w:t>el</w:t>
      </w:r>
      <w:r w:rsidR="006206E4">
        <w:rPr>
          <w:sz w:val="24"/>
          <w:szCs w:val="24"/>
        </w:rPr>
        <w:t xml:space="preserve"> 22 </w:t>
      </w:r>
      <w:r w:rsidR="006206E4" w:rsidRPr="0004250E">
        <w:rPr>
          <w:sz w:val="24"/>
          <w:szCs w:val="24"/>
        </w:rPr>
        <w:t xml:space="preserve">de diciembre </w:t>
      </w:r>
      <w:r w:rsidR="007E0D2D">
        <w:rPr>
          <w:sz w:val="24"/>
          <w:szCs w:val="24"/>
        </w:rPr>
        <w:t xml:space="preserve">de </w:t>
      </w:r>
      <w:r w:rsidR="006206E4" w:rsidRPr="0004250E">
        <w:rPr>
          <w:sz w:val="24"/>
          <w:szCs w:val="24"/>
        </w:rPr>
        <w:t>2014</w:t>
      </w:r>
      <w:r w:rsidRPr="00C25420">
        <w:rPr>
          <w:sz w:val="24"/>
          <w:szCs w:val="24"/>
        </w:rPr>
        <w:t>.</w:t>
      </w:r>
    </w:p>
    <w:p w:rsidR="00CD0E47" w:rsidRPr="00C25420" w:rsidRDefault="00CD0E47" w:rsidP="003D2E2A">
      <w:pPr>
        <w:rPr>
          <w:sz w:val="24"/>
          <w:szCs w:val="24"/>
        </w:rPr>
      </w:pPr>
      <w:r w:rsidRPr="00C25420">
        <w:rPr>
          <w:sz w:val="24"/>
          <w:szCs w:val="24"/>
        </w:rPr>
        <w:t>La</w:t>
      </w:r>
      <w:r w:rsidR="006206E4">
        <w:rPr>
          <w:sz w:val="24"/>
          <w:szCs w:val="24"/>
        </w:rPr>
        <w:t>s</w:t>
      </w:r>
      <w:r w:rsidRPr="00C25420">
        <w:rPr>
          <w:sz w:val="24"/>
          <w:szCs w:val="24"/>
        </w:rPr>
        <w:t xml:space="preserve"> Recomendaci</w:t>
      </w:r>
      <w:r w:rsidR="006206E4">
        <w:rPr>
          <w:sz w:val="24"/>
          <w:szCs w:val="24"/>
        </w:rPr>
        <w:t>on</w:t>
      </w:r>
      <w:r w:rsidRPr="00C25420">
        <w:rPr>
          <w:sz w:val="24"/>
          <w:szCs w:val="24"/>
        </w:rPr>
        <w:t>es</w:t>
      </w:r>
      <w:r w:rsidR="006206E4">
        <w:rPr>
          <w:sz w:val="24"/>
          <w:szCs w:val="24"/>
        </w:rPr>
        <w:t xml:space="preserve"> aprobada</w:t>
      </w:r>
      <w:r w:rsidRPr="00C25420">
        <w:rPr>
          <w:sz w:val="24"/>
          <w:szCs w:val="24"/>
        </w:rPr>
        <w:t>s</w:t>
      </w:r>
      <w:r w:rsidR="006206E4">
        <w:rPr>
          <w:sz w:val="24"/>
          <w:szCs w:val="24"/>
        </w:rPr>
        <w:t xml:space="preserve"> será</w:t>
      </w:r>
      <w:r w:rsidRPr="00C25420">
        <w:rPr>
          <w:sz w:val="24"/>
          <w:szCs w:val="24"/>
        </w:rPr>
        <w:t>n</w:t>
      </w:r>
      <w:r w:rsidR="006206E4">
        <w:rPr>
          <w:sz w:val="24"/>
          <w:szCs w:val="24"/>
        </w:rPr>
        <w:t xml:space="preserve"> publicada</w:t>
      </w:r>
      <w:r w:rsidR="007E0D2D">
        <w:rPr>
          <w:sz w:val="24"/>
          <w:szCs w:val="24"/>
        </w:rPr>
        <w:t xml:space="preserve">s por la UIT, y en el Anexo </w:t>
      </w:r>
      <w:r w:rsidRPr="00C25420">
        <w:rPr>
          <w:sz w:val="24"/>
          <w:szCs w:val="24"/>
        </w:rPr>
        <w:t>a la presente Circular figuran su</w:t>
      </w:r>
      <w:r w:rsidR="006206E4">
        <w:rPr>
          <w:sz w:val="24"/>
          <w:szCs w:val="24"/>
        </w:rPr>
        <w:t>s título</w:t>
      </w:r>
      <w:r w:rsidRPr="00C25420">
        <w:rPr>
          <w:sz w:val="24"/>
          <w:szCs w:val="24"/>
        </w:rPr>
        <w:t>s</w:t>
      </w:r>
      <w:r w:rsidR="006206E4">
        <w:rPr>
          <w:sz w:val="24"/>
          <w:szCs w:val="24"/>
        </w:rPr>
        <w:t xml:space="preserve"> con su</w:t>
      </w:r>
      <w:r w:rsidRPr="00C25420">
        <w:rPr>
          <w:sz w:val="24"/>
          <w:szCs w:val="24"/>
        </w:rPr>
        <w:t>s</w:t>
      </w:r>
      <w:r w:rsidR="006206E4">
        <w:rPr>
          <w:sz w:val="24"/>
          <w:szCs w:val="24"/>
        </w:rPr>
        <w:t xml:space="preserve"> número</w:t>
      </w:r>
      <w:r w:rsidRPr="00C25420">
        <w:rPr>
          <w:sz w:val="24"/>
          <w:szCs w:val="24"/>
        </w:rPr>
        <w:t>s</w:t>
      </w:r>
      <w:r w:rsidR="006206E4">
        <w:rPr>
          <w:sz w:val="24"/>
          <w:szCs w:val="24"/>
        </w:rPr>
        <w:t xml:space="preserve"> asignado</w:t>
      </w:r>
      <w:r w:rsidRPr="00C25420">
        <w:rPr>
          <w:sz w:val="24"/>
          <w:szCs w:val="24"/>
        </w:rPr>
        <w:t>s</w:t>
      </w:r>
      <w:r w:rsidR="007E6C88">
        <w:rPr>
          <w:sz w:val="24"/>
          <w:szCs w:val="24"/>
        </w:rPr>
        <w:t>.</w:t>
      </w:r>
    </w:p>
    <w:p w:rsidR="002E1472" w:rsidRPr="00C25420" w:rsidRDefault="00CD0E47" w:rsidP="007E6C88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32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C25420">
        <w:rPr>
          <w:rFonts w:asciiTheme="minorHAnsi" w:hAnsiTheme="minorHAnsi"/>
          <w:szCs w:val="24"/>
          <w:lang w:val="es-ES_tradnl"/>
        </w:rPr>
        <w:t>François Rancy</w:t>
      </w:r>
      <w:r w:rsidRPr="00C25420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C25420">
        <w:rPr>
          <w:rFonts w:asciiTheme="minorHAnsi" w:hAnsiTheme="minorHAnsi"/>
          <w:szCs w:val="24"/>
          <w:lang w:val="es-ES_tradnl"/>
        </w:rPr>
        <w:br/>
      </w:r>
    </w:p>
    <w:p w:rsidR="00CD0E47" w:rsidRPr="00C25420" w:rsidRDefault="00CD0E47" w:rsidP="00D04FC3">
      <w:pPr>
        <w:tabs>
          <w:tab w:val="left" w:pos="4820"/>
        </w:tabs>
        <w:spacing w:before="0"/>
        <w:rPr>
          <w:bCs/>
          <w:sz w:val="24"/>
          <w:szCs w:val="24"/>
        </w:rPr>
      </w:pPr>
      <w:r w:rsidRPr="00C25420">
        <w:rPr>
          <w:b/>
          <w:sz w:val="24"/>
          <w:szCs w:val="24"/>
        </w:rPr>
        <w:t>Anexo</w:t>
      </w:r>
      <w:r w:rsidRPr="00C25420">
        <w:rPr>
          <w:bCs/>
          <w:sz w:val="24"/>
          <w:szCs w:val="24"/>
        </w:rPr>
        <w:t xml:space="preserve">: </w:t>
      </w:r>
      <w:r w:rsidR="00D04FC3">
        <w:rPr>
          <w:bCs/>
          <w:sz w:val="24"/>
          <w:szCs w:val="24"/>
        </w:rPr>
        <w:t>1</w:t>
      </w:r>
    </w:p>
    <w:p w:rsidR="00CD0E47" w:rsidRPr="00D43B9C" w:rsidRDefault="00CD0E47" w:rsidP="006206E4">
      <w:pPr>
        <w:tabs>
          <w:tab w:val="left" w:pos="6237"/>
        </w:tabs>
        <w:spacing w:before="360"/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525BB5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F0104C">
        <w:rPr>
          <w:sz w:val="18"/>
          <w:szCs w:val="18"/>
          <w:lang w:val="es-ES"/>
        </w:rPr>
        <w:t>7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F0104C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F0104C">
        <w:rPr>
          <w:sz w:val="18"/>
          <w:szCs w:val="18"/>
          <w:lang w:val="es-ES"/>
        </w:rPr>
        <w:t>7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Presidentes y Vicepresidentes de las Comisiones de Estudio de Radiocomunicaciones y Comisión Especial para asuntos reglamentarios y de procedimiento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CD0E47" w:rsidRPr="00E11309" w:rsidRDefault="00CD0E47" w:rsidP="00F0104C">
      <w:pPr>
        <w:pStyle w:val="AnnexNoTitle"/>
        <w:spacing w:before="240"/>
        <w:rPr>
          <w:sz w:val="28"/>
          <w:szCs w:val="28"/>
        </w:rPr>
      </w:pPr>
      <w:r w:rsidRPr="00E11309">
        <w:rPr>
          <w:sz w:val="28"/>
          <w:szCs w:val="28"/>
        </w:rPr>
        <w:lastRenderedPageBreak/>
        <w:t xml:space="preserve">Anexo </w:t>
      </w:r>
      <w:r w:rsidR="00F0104C" w:rsidRPr="00E11309">
        <w:rPr>
          <w:sz w:val="28"/>
          <w:szCs w:val="28"/>
        </w:rPr>
        <w:br/>
      </w:r>
      <w:r w:rsidR="00F0104C" w:rsidRPr="00E11309">
        <w:rPr>
          <w:sz w:val="28"/>
          <w:szCs w:val="28"/>
        </w:rPr>
        <w:br/>
        <w:t>Título</w:t>
      </w:r>
      <w:r w:rsidRPr="00E11309">
        <w:rPr>
          <w:sz w:val="28"/>
          <w:szCs w:val="28"/>
        </w:rPr>
        <w:t>s</w:t>
      </w:r>
      <w:r w:rsidR="00F0104C" w:rsidRPr="00E11309">
        <w:rPr>
          <w:sz w:val="28"/>
          <w:szCs w:val="28"/>
        </w:rPr>
        <w:t xml:space="preserve"> de la</w:t>
      </w:r>
      <w:r w:rsidRPr="00E11309">
        <w:rPr>
          <w:sz w:val="28"/>
          <w:szCs w:val="28"/>
        </w:rPr>
        <w:t>s Recomendaci</w:t>
      </w:r>
      <w:r w:rsidR="00F0104C" w:rsidRPr="00E11309">
        <w:rPr>
          <w:sz w:val="28"/>
          <w:szCs w:val="28"/>
        </w:rPr>
        <w:t>on</w:t>
      </w:r>
      <w:r w:rsidRPr="00E11309">
        <w:rPr>
          <w:sz w:val="28"/>
          <w:szCs w:val="28"/>
        </w:rPr>
        <w:t>es</w:t>
      </w:r>
      <w:r w:rsidR="00F0104C" w:rsidRPr="00E11309">
        <w:rPr>
          <w:sz w:val="28"/>
          <w:szCs w:val="28"/>
        </w:rPr>
        <w:t xml:space="preserve"> UIT-R aprobada</w:t>
      </w:r>
      <w:r w:rsidRPr="00E11309">
        <w:rPr>
          <w:sz w:val="28"/>
          <w:szCs w:val="28"/>
        </w:rPr>
        <w:t>s</w:t>
      </w:r>
    </w:p>
    <w:p w:rsidR="00CD0E47" w:rsidRPr="00C25420" w:rsidRDefault="00CD0E47" w:rsidP="00CD0E47">
      <w:pPr>
        <w:rPr>
          <w:sz w:val="24"/>
          <w:szCs w:val="24"/>
        </w:rPr>
      </w:pPr>
    </w:p>
    <w:p w:rsidR="00CD0E47" w:rsidRDefault="00CD0E47" w:rsidP="00F0104C">
      <w:pPr>
        <w:rPr>
          <w:rFonts w:asciiTheme="minorHAnsi" w:hAnsiTheme="minorHAnsi" w:cstheme="minorHAnsi"/>
          <w:sz w:val="24"/>
          <w:szCs w:val="24"/>
        </w:rPr>
      </w:pPr>
      <w:r w:rsidRPr="00E11309">
        <w:rPr>
          <w:sz w:val="24"/>
          <w:szCs w:val="24"/>
          <w:u w:val="single"/>
        </w:rPr>
        <w:t xml:space="preserve">Recomendación UIT-R </w:t>
      </w:r>
      <w:r w:rsidR="00F0104C" w:rsidRPr="00E11309">
        <w:rPr>
          <w:sz w:val="24"/>
          <w:szCs w:val="24"/>
          <w:u w:val="single"/>
          <w:lang w:eastAsia="zh-CN"/>
        </w:rPr>
        <w:t>RS.2064</w:t>
      </w:r>
      <w:r w:rsidRPr="00E11309">
        <w:rPr>
          <w:sz w:val="24"/>
          <w:szCs w:val="24"/>
        </w:rPr>
        <w:tab/>
      </w:r>
      <w:r w:rsidRPr="00E11309">
        <w:rPr>
          <w:sz w:val="24"/>
          <w:szCs w:val="24"/>
        </w:rPr>
        <w:tab/>
      </w:r>
      <w:r w:rsidR="006C04E0" w:rsidRPr="00E11309">
        <w:rPr>
          <w:sz w:val="24"/>
          <w:szCs w:val="24"/>
        </w:rPr>
        <w:tab/>
      </w:r>
      <w:r w:rsidR="006C04E0" w:rsidRPr="00E11309">
        <w:rPr>
          <w:sz w:val="24"/>
          <w:szCs w:val="24"/>
        </w:rPr>
        <w:tab/>
      </w:r>
      <w:r w:rsidRPr="00E11309">
        <w:rPr>
          <w:sz w:val="24"/>
          <w:szCs w:val="24"/>
        </w:rPr>
        <w:tab/>
      </w:r>
      <w:r w:rsidRPr="00E11309">
        <w:rPr>
          <w:sz w:val="24"/>
          <w:szCs w:val="24"/>
        </w:rPr>
        <w:tab/>
      </w:r>
      <w:r w:rsidR="00F0104C" w:rsidRPr="00E11309">
        <w:rPr>
          <w:rFonts w:asciiTheme="minorHAnsi" w:hAnsiTheme="minorHAnsi" w:cstheme="minorHAnsi"/>
          <w:sz w:val="24"/>
          <w:szCs w:val="24"/>
        </w:rPr>
        <w:t>Doc. 7/89(Rev.1)</w:t>
      </w:r>
    </w:p>
    <w:p w:rsidR="00F0104C" w:rsidRDefault="00E11309" w:rsidP="00E11309">
      <w:pPr>
        <w:pStyle w:val="Rectitle"/>
      </w:pPr>
      <w:r w:rsidRPr="001855EC">
        <w:t>Características técnicas y operacionales típicas y bandas de frecuencias utilizadas por sistemas de observación del servicio de investigación espacial (pasivo)</w:t>
      </w:r>
    </w:p>
    <w:p w:rsidR="00CF4EE9" w:rsidRPr="00CF4EE9" w:rsidRDefault="00CF4EE9" w:rsidP="00CF4EE9">
      <w:pPr>
        <w:pStyle w:val="Normalaftertitle"/>
      </w:pPr>
    </w:p>
    <w:p w:rsidR="00F0104C" w:rsidRDefault="00F0104C" w:rsidP="00F0104C">
      <w:pPr>
        <w:rPr>
          <w:rFonts w:asciiTheme="minorHAnsi" w:hAnsiTheme="minorHAnsi" w:cstheme="minorHAnsi"/>
          <w:sz w:val="24"/>
          <w:szCs w:val="24"/>
        </w:rPr>
      </w:pPr>
      <w:r w:rsidRPr="00E11309">
        <w:rPr>
          <w:sz w:val="24"/>
          <w:szCs w:val="24"/>
          <w:u w:val="single"/>
        </w:rPr>
        <w:t xml:space="preserve">Recomendación UIT-R </w:t>
      </w:r>
      <w:r w:rsidRPr="00E11309">
        <w:rPr>
          <w:sz w:val="24"/>
          <w:szCs w:val="24"/>
          <w:u w:val="single"/>
          <w:lang w:eastAsia="zh-CN"/>
        </w:rPr>
        <w:t>RS.2065</w:t>
      </w:r>
      <w:r w:rsidRPr="00E11309">
        <w:rPr>
          <w:sz w:val="24"/>
          <w:szCs w:val="24"/>
        </w:rPr>
        <w:tab/>
      </w:r>
      <w:r w:rsidRPr="00E11309">
        <w:rPr>
          <w:sz w:val="24"/>
          <w:szCs w:val="24"/>
        </w:rPr>
        <w:tab/>
      </w:r>
      <w:r w:rsidRPr="00E11309">
        <w:rPr>
          <w:sz w:val="24"/>
          <w:szCs w:val="24"/>
        </w:rPr>
        <w:tab/>
      </w:r>
      <w:r w:rsidRPr="00E11309">
        <w:rPr>
          <w:sz w:val="24"/>
          <w:szCs w:val="24"/>
        </w:rPr>
        <w:tab/>
      </w:r>
      <w:r w:rsidRPr="00E11309">
        <w:rPr>
          <w:sz w:val="24"/>
          <w:szCs w:val="24"/>
        </w:rPr>
        <w:tab/>
      </w:r>
      <w:r w:rsidRPr="00E11309">
        <w:rPr>
          <w:sz w:val="24"/>
          <w:szCs w:val="24"/>
        </w:rPr>
        <w:tab/>
      </w:r>
      <w:r w:rsidRPr="00E11309">
        <w:rPr>
          <w:rFonts w:asciiTheme="minorHAnsi" w:hAnsiTheme="minorHAnsi" w:cstheme="minorHAnsi"/>
          <w:sz w:val="24"/>
          <w:szCs w:val="24"/>
        </w:rPr>
        <w:t>Doc. 7/90(Rev.1)</w:t>
      </w:r>
    </w:p>
    <w:p w:rsidR="00F0104C" w:rsidRDefault="00F0104C" w:rsidP="00E11309">
      <w:pPr>
        <w:pStyle w:val="Rectitle"/>
      </w:pPr>
      <w:r w:rsidRPr="00CF4EE9">
        <w:rPr>
          <w:szCs w:val="28"/>
        </w:rPr>
        <w:t>Protección de enlaces espacio-Tierra del servicio de investigación espacial (SIE) en las bandas 8</w:t>
      </w:r>
      <w:r w:rsidRPr="00E11309">
        <w:rPr>
          <w:sz w:val="24"/>
          <w:szCs w:val="24"/>
        </w:rPr>
        <w:t xml:space="preserve"> </w:t>
      </w:r>
      <w:r w:rsidRPr="00377C15">
        <w:rPr>
          <w:szCs w:val="28"/>
        </w:rPr>
        <w:t>400</w:t>
      </w:r>
      <w:r w:rsidRPr="00E11309">
        <w:rPr>
          <w:sz w:val="24"/>
          <w:szCs w:val="24"/>
        </w:rPr>
        <w:t>-</w:t>
      </w:r>
      <w:r w:rsidRPr="006A29E6">
        <w:t>8 450 MHz y 8 450-8 500 MHz contra emisiones no deseadas de radares de apertura sintética que funcionan en el servicio de exploración de la Tierra por satélite (activo) alrededor de 9 600 MHz</w:t>
      </w:r>
    </w:p>
    <w:p w:rsidR="00F0104C" w:rsidRDefault="00F0104C" w:rsidP="00F0104C"/>
    <w:p w:rsidR="00F0104C" w:rsidRPr="00E11309" w:rsidRDefault="00F0104C" w:rsidP="00F0104C">
      <w:pPr>
        <w:rPr>
          <w:sz w:val="24"/>
          <w:szCs w:val="24"/>
        </w:rPr>
      </w:pPr>
      <w:r w:rsidRPr="00E11309">
        <w:rPr>
          <w:sz w:val="24"/>
          <w:szCs w:val="24"/>
          <w:u w:val="single"/>
        </w:rPr>
        <w:t xml:space="preserve">Recomendación UIT-R </w:t>
      </w:r>
      <w:r w:rsidRPr="00E11309">
        <w:rPr>
          <w:sz w:val="24"/>
          <w:szCs w:val="24"/>
          <w:u w:val="single"/>
          <w:lang w:eastAsia="zh-CN"/>
        </w:rPr>
        <w:t>RS.2066</w:t>
      </w:r>
      <w:r w:rsidRPr="00E11309">
        <w:rPr>
          <w:sz w:val="24"/>
          <w:szCs w:val="24"/>
        </w:rPr>
        <w:tab/>
      </w:r>
      <w:r w:rsidRPr="00E11309">
        <w:rPr>
          <w:sz w:val="24"/>
          <w:szCs w:val="24"/>
        </w:rPr>
        <w:tab/>
      </w:r>
      <w:r w:rsidRPr="00E11309">
        <w:rPr>
          <w:sz w:val="24"/>
          <w:szCs w:val="24"/>
        </w:rPr>
        <w:tab/>
      </w:r>
      <w:r w:rsidRPr="00E11309">
        <w:rPr>
          <w:sz w:val="24"/>
          <w:szCs w:val="24"/>
        </w:rPr>
        <w:tab/>
      </w:r>
      <w:r w:rsidRPr="00E11309">
        <w:rPr>
          <w:sz w:val="24"/>
          <w:szCs w:val="24"/>
        </w:rPr>
        <w:tab/>
      </w:r>
      <w:r w:rsidRPr="00E11309">
        <w:rPr>
          <w:sz w:val="24"/>
          <w:szCs w:val="24"/>
        </w:rPr>
        <w:tab/>
      </w:r>
      <w:r w:rsidRPr="00E11309">
        <w:rPr>
          <w:rFonts w:asciiTheme="minorHAnsi" w:hAnsiTheme="minorHAnsi" w:cstheme="minorHAnsi"/>
          <w:sz w:val="24"/>
          <w:szCs w:val="24"/>
        </w:rPr>
        <w:t>Doc. 7/101(Rev.1)</w:t>
      </w:r>
    </w:p>
    <w:p w:rsidR="00F0104C" w:rsidRDefault="00F0104C" w:rsidP="00E11309">
      <w:pPr>
        <w:pStyle w:val="Rectitle"/>
        <w:rPr>
          <w:lang w:eastAsia="zh-CN"/>
        </w:rPr>
      </w:pPr>
      <w:r w:rsidRPr="00944D6D">
        <w:rPr>
          <w:lang w:eastAsia="zh-CN"/>
        </w:rPr>
        <w:t xml:space="preserve">Protección del servicio de radioastronomía </w:t>
      </w:r>
      <w:r>
        <w:rPr>
          <w:lang w:eastAsia="zh-CN"/>
        </w:rPr>
        <w:t>en la banda de frecuencias 10,6</w:t>
      </w:r>
      <w:r>
        <w:rPr>
          <w:lang w:eastAsia="zh-CN"/>
        </w:rPr>
        <w:noBreakHyphen/>
      </w:r>
      <w:r w:rsidRPr="00944D6D">
        <w:rPr>
          <w:lang w:eastAsia="zh-CN"/>
        </w:rPr>
        <w:t>10,7</w:t>
      </w:r>
      <w:r>
        <w:rPr>
          <w:lang w:eastAsia="zh-CN"/>
        </w:rPr>
        <w:t> </w:t>
      </w:r>
      <w:r w:rsidRPr="00944D6D">
        <w:rPr>
          <w:lang w:eastAsia="zh-CN"/>
        </w:rPr>
        <w:t xml:space="preserve">GHz contra emisiones no deseadas de radares de apertura </w:t>
      </w:r>
      <w:r>
        <w:rPr>
          <w:lang w:eastAsia="zh-CN"/>
        </w:rPr>
        <w:br/>
      </w:r>
      <w:r w:rsidRPr="00944D6D">
        <w:rPr>
          <w:lang w:eastAsia="zh-CN"/>
        </w:rPr>
        <w:t>sintética que funcionan</w:t>
      </w:r>
      <w:r>
        <w:rPr>
          <w:lang w:eastAsia="zh-CN"/>
        </w:rPr>
        <w:t> </w:t>
      </w:r>
      <w:r w:rsidRPr="00944D6D">
        <w:rPr>
          <w:lang w:eastAsia="zh-CN"/>
        </w:rPr>
        <w:t xml:space="preserve">en el servicio de exploración de la Tierra </w:t>
      </w:r>
      <w:r>
        <w:rPr>
          <w:lang w:eastAsia="zh-CN"/>
        </w:rPr>
        <w:br/>
      </w:r>
      <w:r w:rsidRPr="00944D6D">
        <w:rPr>
          <w:lang w:eastAsia="zh-CN"/>
        </w:rPr>
        <w:t>por satélite (activo) alrededor de 9 600 MHz</w:t>
      </w:r>
    </w:p>
    <w:p w:rsidR="00CF4EE9" w:rsidRPr="00CF4EE9" w:rsidRDefault="00CF4EE9" w:rsidP="00CF4EE9">
      <w:pPr>
        <w:pStyle w:val="Normalaftertitle"/>
        <w:rPr>
          <w:lang w:eastAsia="zh-CN"/>
        </w:rPr>
      </w:pPr>
    </w:p>
    <w:p w:rsidR="00AE00B0" w:rsidRPr="00882660" w:rsidRDefault="00AE00B0" w:rsidP="0032202E">
      <w:pPr>
        <w:pStyle w:val="Reasons"/>
        <w:rPr>
          <w:lang w:val="es-ES_tradnl"/>
        </w:rPr>
      </w:pPr>
    </w:p>
    <w:p w:rsidR="000C03C7" w:rsidRPr="00F42C8C" w:rsidRDefault="00AE00B0" w:rsidP="00AE00B0">
      <w:pPr>
        <w:jc w:val="center"/>
      </w:pPr>
      <w:r>
        <w:t>______________</w:t>
      </w:r>
    </w:p>
    <w:sectPr w:rsidR="000C03C7" w:rsidRPr="00F42C8C" w:rsidSect="00235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42D" w:rsidRDefault="00C274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42D" w:rsidRDefault="00C274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35A29" w:rsidRDefault="000E2185" w:rsidP="00D602FF">
    <w:pPr>
      <w:pStyle w:val="Header"/>
      <w:jc w:val="center"/>
    </w:pPr>
    <w:r w:rsidRPr="00613851">
      <w:rPr>
        <w:sz w:val="18"/>
        <w:szCs w:val="18"/>
      </w:rPr>
      <w:t>-</w:t>
    </w:r>
    <w:r w:rsidR="00026CF8" w:rsidRPr="00613851">
      <w:rPr>
        <w:sz w:val="18"/>
        <w:szCs w:val="18"/>
      </w:rPr>
      <w:t xml:space="preserve"> </w:t>
    </w:r>
    <w:r w:rsidR="00026CF8" w:rsidRPr="00613851">
      <w:rPr>
        <w:rStyle w:val="PageNumber"/>
        <w:rFonts w:cs="Calibri"/>
        <w:sz w:val="18"/>
        <w:szCs w:val="18"/>
      </w:rPr>
      <w:fldChar w:fldCharType="begin"/>
    </w:r>
    <w:r w:rsidR="00026CF8" w:rsidRPr="00613851">
      <w:rPr>
        <w:rStyle w:val="PageNumber"/>
        <w:rFonts w:cs="Calibri"/>
        <w:sz w:val="18"/>
        <w:szCs w:val="18"/>
      </w:rPr>
      <w:instrText xml:space="preserve"> PAGE </w:instrText>
    </w:r>
    <w:r w:rsidR="00026CF8" w:rsidRPr="00613851">
      <w:rPr>
        <w:rStyle w:val="PageNumber"/>
        <w:rFonts w:cs="Calibri"/>
        <w:sz w:val="18"/>
        <w:szCs w:val="18"/>
      </w:rPr>
      <w:fldChar w:fldCharType="separate"/>
    </w:r>
    <w:r w:rsidR="00C2742D">
      <w:rPr>
        <w:rStyle w:val="PageNumber"/>
        <w:rFonts w:cs="Calibri"/>
        <w:noProof/>
        <w:sz w:val="18"/>
        <w:szCs w:val="18"/>
      </w:rPr>
      <w:t>2</w:t>
    </w:r>
    <w:r w:rsidR="00026CF8" w:rsidRPr="00613851">
      <w:rPr>
        <w:rStyle w:val="PageNumber"/>
        <w:rFonts w:cs="Calibri"/>
        <w:sz w:val="18"/>
        <w:szCs w:val="18"/>
      </w:rPr>
      <w:fldChar w:fldCharType="end"/>
    </w:r>
    <w:r w:rsidR="00026CF8" w:rsidRPr="00613851">
      <w:rPr>
        <w:rStyle w:val="PageNumber"/>
        <w:rFonts w:cs="Calibri"/>
        <w:sz w:val="18"/>
        <w:szCs w:val="18"/>
      </w:rPr>
      <w:t xml:space="preserve"> </w:t>
    </w:r>
    <w:r w:rsidRPr="00613851">
      <w:rPr>
        <w:rStyle w:val="PageNumber"/>
        <w:rFonts w:cs="Calibri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026CF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CD0E47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BD0" w:rsidRPr="00EA15B3" w:rsidRDefault="00026CF8" w:rsidP="00BD6BD0">
    <w:pPr>
      <w:pStyle w:val="Header"/>
      <w:spacing w:line="20" w:lineRule="exact"/>
    </w:pPr>
    <w:bookmarkStart w:id="6" w:name="_GoBack"/>
    <w:bookmarkEnd w:id="6"/>
    <w:r>
      <w:tab/>
    </w:r>
    <w:r>
      <w:tab/>
    </w:r>
  </w:p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D6BD0" w:rsidTr="007C3E98">
      <w:tc>
        <w:tcPr>
          <w:tcW w:w="4889" w:type="dxa"/>
        </w:tcPr>
        <w:p w:rsidR="00BD6BD0" w:rsidRDefault="00BD6BD0" w:rsidP="00BD6BD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6CAD75B7" wp14:editId="5589DA6D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D6BD0" w:rsidRDefault="00BD6BD0" w:rsidP="00BD6BD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248D65A2" wp14:editId="5F80D01E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EA15B3" w:rsidRDefault="00026CF8" w:rsidP="003C60FE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14E08"/>
    <w:rsid w:val="00145AA2"/>
    <w:rsid w:val="0016308F"/>
    <w:rsid w:val="001911BE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46864"/>
    <w:rsid w:val="00251766"/>
    <w:rsid w:val="002861E6"/>
    <w:rsid w:val="002A2700"/>
    <w:rsid w:val="002D6688"/>
    <w:rsid w:val="002E1472"/>
    <w:rsid w:val="002F0890"/>
    <w:rsid w:val="003370B8"/>
    <w:rsid w:val="00361C8D"/>
    <w:rsid w:val="003666FF"/>
    <w:rsid w:val="003741EE"/>
    <w:rsid w:val="00377C15"/>
    <w:rsid w:val="003B2BDA"/>
    <w:rsid w:val="003B55EC"/>
    <w:rsid w:val="003C4471"/>
    <w:rsid w:val="003C60FE"/>
    <w:rsid w:val="003D2E2A"/>
    <w:rsid w:val="003E504F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25BB5"/>
    <w:rsid w:val="00542A47"/>
    <w:rsid w:val="00543DF8"/>
    <w:rsid w:val="00546101"/>
    <w:rsid w:val="00553DD7"/>
    <w:rsid w:val="0057469A"/>
    <w:rsid w:val="00580814"/>
    <w:rsid w:val="005A03A3"/>
    <w:rsid w:val="005A5322"/>
    <w:rsid w:val="005B214C"/>
    <w:rsid w:val="005C1AB5"/>
    <w:rsid w:val="00602D53"/>
    <w:rsid w:val="00613851"/>
    <w:rsid w:val="006206E4"/>
    <w:rsid w:val="006347AD"/>
    <w:rsid w:val="00651777"/>
    <w:rsid w:val="00652A65"/>
    <w:rsid w:val="00674F4F"/>
    <w:rsid w:val="006B0590"/>
    <w:rsid w:val="006B49DA"/>
    <w:rsid w:val="006C04E0"/>
    <w:rsid w:val="00700636"/>
    <w:rsid w:val="00707216"/>
    <w:rsid w:val="007234B1"/>
    <w:rsid w:val="00730B9A"/>
    <w:rsid w:val="00783681"/>
    <w:rsid w:val="007921A7"/>
    <w:rsid w:val="007A5C27"/>
    <w:rsid w:val="007B3DB1"/>
    <w:rsid w:val="007D183E"/>
    <w:rsid w:val="007E0D2D"/>
    <w:rsid w:val="007E304D"/>
    <w:rsid w:val="007E3F13"/>
    <w:rsid w:val="007E6C88"/>
    <w:rsid w:val="00800012"/>
    <w:rsid w:val="0081513E"/>
    <w:rsid w:val="00823210"/>
    <w:rsid w:val="00840AEB"/>
    <w:rsid w:val="00843445"/>
    <w:rsid w:val="00847D46"/>
    <w:rsid w:val="00854131"/>
    <w:rsid w:val="0085652D"/>
    <w:rsid w:val="0087694B"/>
    <w:rsid w:val="00882660"/>
    <w:rsid w:val="008E03C2"/>
    <w:rsid w:val="008F4F21"/>
    <w:rsid w:val="00904D4A"/>
    <w:rsid w:val="00905365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86952"/>
    <w:rsid w:val="00A963DF"/>
    <w:rsid w:val="00AC3896"/>
    <w:rsid w:val="00AE00B0"/>
    <w:rsid w:val="00AE60BA"/>
    <w:rsid w:val="00AE6CFA"/>
    <w:rsid w:val="00AF3325"/>
    <w:rsid w:val="00B24845"/>
    <w:rsid w:val="00B34CF9"/>
    <w:rsid w:val="00B67004"/>
    <w:rsid w:val="00B90C45"/>
    <w:rsid w:val="00B933BE"/>
    <w:rsid w:val="00BB4069"/>
    <w:rsid w:val="00BD6BD0"/>
    <w:rsid w:val="00BD7E5E"/>
    <w:rsid w:val="00BE6574"/>
    <w:rsid w:val="00C25420"/>
    <w:rsid w:val="00C2742D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B59F4"/>
    <w:rsid w:val="00CC0DA0"/>
    <w:rsid w:val="00CD0E47"/>
    <w:rsid w:val="00CF4EE9"/>
    <w:rsid w:val="00CF6752"/>
    <w:rsid w:val="00D04FC3"/>
    <w:rsid w:val="00D10BA0"/>
    <w:rsid w:val="00D2339B"/>
    <w:rsid w:val="00D24EB5"/>
    <w:rsid w:val="00D35B14"/>
    <w:rsid w:val="00D41571"/>
    <w:rsid w:val="00D416A0"/>
    <w:rsid w:val="00D47672"/>
    <w:rsid w:val="00D5123C"/>
    <w:rsid w:val="00D51C9E"/>
    <w:rsid w:val="00D55560"/>
    <w:rsid w:val="00D602FF"/>
    <w:rsid w:val="00D61C5A"/>
    <w:rsid w:val="00DA6F1A"/>
    <w:rsid w:val="00DB3A18"/>
    <w:rsid w:val="00DC0E3F"/>
    <w:rsid w:val="00DD1D60"/>
    <w:rsid w:val="00DE66A5"/>
    <w:rsid w:val="00DF0A6C"/>
    <w:rsid w:val="00DF2B50"/>
    <w:rsid w:val="00E003F5"/>
    <w:rsid w:val="00E04C86"/>
    <w:rsid w:val="00E11309"/>
    <w:rsid w:val="00E14C1B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F0104C"/>
    <w:rsid w:val="00F42C8C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781FC30-42E6-424C-A476-9D0CD05E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BD6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142</TotalTime>
  <Pages>2</Pages>
  <Words>403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Song, Xiaojing</cp:lastModifiedBy>
  <cp:revision>34</cp:revision>
  <cp:lastPrinted>2014-12-23T09:57:00Z</cp:lastPrinted>
  <dcterms:created xsi:type="dcterms:W3CDTF">2014-12-22T15:35:00Z</dcterms:created>
  <dcterms:modified xsi:type="dcterms:W3CDTF">2015-01-09T09:37:00Z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