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E15A0C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E15A0C">
              <w:rPr>
                <w:b/>
                <w:bCs/>
                <w:szCs w:val="24"/>
                <w:lang w:val="fr-CH"/>
              </w:rPr>
              <w:t>CE/729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DB530F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6B71303BBB9941CEA60D1365BFCB409E"/>
                </w:placeholder>
                <w:date w:fullDate="2015-06-0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40117">
                  <w:rPr>
                    <w:rFonts w:cs="Arial"/>
                    <w:szCs w:val="24"/>
                    <w:lang w:val="fr-FR"/>
                  </w:rPr>
                  <w:t>5 juin 2015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D7AF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440117" w:rsidP="0053143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Secteur des radiocommunications,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3E0286">
              <w:rPr>
                <w:b/>
                <w:lang w:val="fr-CH"/>
              </w:rPr>
              <w:t>7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1D7AF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D7AF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D7AF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440117" w:rsidP="0044011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7 des radiocommunications (</w:t>
            </w:r>
            <w:r w:rsidR="00C77C45" w:rsidRPr="00926198">
              <w:rPr>
                <w:b/>
                <w:bCs/>
                <w:szCs w:val="24"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440117" w:rsidRPr="00CB3366" w:rsidRDefault="00440117" w:rsidP="001D7AFE">
            <w:pPr>
              <w:pStyle w:val="enumlev2"/>
              <w:tabs>
                <w:tab w:val="clear" w:pos="794"/>
                <w:tab w:val="clear" w:pos="1191"/>
                <w:tab w:val="clear" w:pos="1588"/>
              </w:tabs>
              <w:spacing w:before="120"/>
              <w:ind w:left="357" w:hanging="380"/>
              <w:jc w:val="left"/>
              <w:rPr>
                <w:b/>
                <w:bCs/>
                <w:lang w:val="fr-CH"/>
              </w:rPr>
            </w:pPr>
            <w:r w:rsidRPr="00CB3366">
              <w:rPr>
                <w:b/>
                <w:bCs/>
                <w:lang w:val="fr-CH"/>
              </w:rPr>
              <w:t>–</w:t>
            </w:r>
            <w:r w:rsidRPr="00CB3366">
              <w:rPr>
                <w:b/>
                <w:bCs/>
                <w:lang w:val="fr-CH"/>
              </w:rPr>
              <w:tab/>
              <w:t xml:space="preserve">Proposition d'approbation de </w:t>
            </w:r>
            <w:r>
              <w:rPr>
                <w:b/>
                <w:bCs/>
                <w:lang w:val="fr-CH"/>
              </w:rPr>
              <w:t>2 projet</w:t>
            </w:r>
            <w:r w:rsidRPr="00CB3366">
              <w:rPr>
                <w:b/>
                <w:bCs/>
                <w:lang w:val="fr-CH"/>
              </w:rPr>
              <w:t>s de nouv</w:t>
            </w:r>
            <w:r>
              <w:rPr>
                <w:b/>
                <w:bCs/>
                <w:lang w:val="fr-CH"/>
              </w:rPr>
              <w:t>elle Recommandation UIT-R et d'un</w:t>
            </w:r>
            <w:r w:rsidRPr="00CB3366">
              <w:rPr>
                <w:b/>
                <w:bCs/>
                <w:lang w:val="fr-CH"/>
              </w:rPr>
              <w:t xml:space="preserve"> projet de Recommandation UIT-R révisée et approbation simultanée par correspondance de ces projets, conformément au § 10.3 de la Résolution </w:t>
            </w:r>
            <w:r w:rsidR="00C77C45">
              <w:rPr>
                <w:b/>
                <w:bCs/>
                <w:lang w:val="fr-CH"/>
              </w:rPr>
              <w:br/>
            </w:r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  <w:p w:rsidR="00440117" w:rsidRPr="00440117" w:rsidRDefault="00440117" w:rsidP="00C77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352" w:hanging="352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 xml:space="preserve">Proposition </w:t>
            </w:r>
            <w:r w:rsidR="00DB530F">
              <w:rPr>
                <w:b/>
                <w:bCs/>
                <w:szCs w:val="24"/>
                <w:lang w:val="fr-FR"/>
              </w:rPr>
              <w:t>d'a</w:t>
            </w:r>
            <w:r w:rsidR="00DB530F" w:rsidRPr="00BA6E1E">
              <w:rPr>
                <w:b/>
                <w:bCs/>
                <w:szCs w:val="24"/>
                <w:lang w:val="fr-FR"/>
              </w:rPr>
              <w:t>pprobation</w:t>
            </w:r>
            <w:r w:rsidR="00DB530F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de suppression d'une Question</w:t>
            </w:r>
            <w:r w:rsidRPr="00CB3366"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1D7AF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401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01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D7AF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401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01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D7AF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4011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D7AF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4011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40117" w:rsidRPr="00A12B99" w:rsidRDefault="00440117" w:rsidP="001D7AFE">
      <w:pPr>
        <w:spacing w:before="240"/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C77C45">
        <w:rPr>
          <w:lang w:val="fr-CH"/>
        </w:rPr>
        <w:t>le</w:t>
      </w:r>
      <w:r w:rsidRPr="00A12B99">
        <w:rPr>
          <w:lang w:val="fr-CH"/>
        </w:rPr>
        <w:t xml:space="preserve"> </w:t>
      </w:r>
      <w:r>
        <w:rPr>
          <w:lang w:val="fr-CH"/>
        </w:rPr>
        <w:t>26 mai</w:t>
      </w:r>
      <w:r w:rsidRPr="00A12B99">
        <w:rPr>
          <w:lang w:val="fr-CH"/>
        </w:rPr>
        <w:t xml:space="preserve"> 201</w:t>
      </w:r>
      <w:r>
        <w:rPr>
          <w:lang w:val="fr-CH"/>
        </w:rPr>
        <w:t>5</w:t>
      </w:r>
      <w:r w:rsidRPr="00A12B99">
        <w:rPr>
          <w:lang w:val="fr-CH"/>
        </w:rPr>
        <w:t xml:space="preserve">, la Commission d'études </w:t>
      </w:r>
      <w:r>
        <w:rPr>
          <w:lang w:val="fr-CH"/>
        </w:rPr>
        <w:t>7</w:t>
      </w:r>
      <w:r w:rsidRPr="00A12B99">
        <w:rPr>
          <w:lang w:val="fr-CH"/>
        </w:rPr>
        <w:t xml:space="preserve"> des radiocommunications a décidé de demander l'adoption par correspondance de </w:t>
      </w:r>
      <w:r w:rsidR="001D7AFE">
        <w:rPr>
          <w:lang w:val="fr-CH"/>
        </w:rPr>
        <w:t>2</w:t>
      </w:r>
      <w:r>
        <w:rPr>
          <w:lang w:val="fr-CH"/>
        </w:rPr>
        <w:t xml:space="preserve"> projet</w:t>
      </w:r>
      <w:r w:rsidRPr="00A12B99">
        <w:rPr>
          <w:lang w:val="fr-CH"/>
        </w:rPr>
        <w:t>s de</w:t>
      </w:r>
      <w:r>
        <w:rPr>
          <w:lang w:val="fr-CH"/>
        </w:rPr>
        <w:t xml:space="preserve"> nouvelle Recommandation et d'un projet</w:t>
      </w:r>
      <w:r w:rsidRPr="00A12B99">
        <w:rPr>
          <w:lang w:val="fr-CH"/>
        </w:rPr>
        <w:t xml:space="preserve"> de Recommandation révisée (§ 10.2.3 de la Résolution UIT-R 1-6) et a décidé en outre d'appliquer la procédure d'adoption et d'approbation simultanées par correspondance (PAAS), conformément au § 10.3 de la Réso</w:t>
      </w:r>
      <w:r w:rsidR="003E6F73">
        <w:rPr>
          <w:lang w:val="fr-CH"/>
        </w:rPr>
        <w:t>lution UIT-R 1-6. Le</w:t>
      </w:r>
      <w:r w:rsidR="003E0286">
        <w:rPr>
          <w:lang w:val="fr-CH"/>
        </w:rPr>
        <w:t>s</w:t>
      </w:r>
      <w:r w:rsidR="003E6F73">
        <w:rPr>
          <w:lang w:val="fr-CH"/>
        </w:rPr>
        <w:t xml:space="preserve">  titre</w:t>
      </w:r>
      <w:r w:rsidRPr="00A12B99">
        <w:rPr>
          <w:lang w:val="fr-CH"/>
        </w:rPr>
        <w:t>s</w:t>
      </w:r>
      <w:r w:rsidR="003E6F73">
        <w:rPr>
          <w:lang w:val="fr-CH"/>
        </w:rPr>
        <w:t xml:space="preserve"> et résumé</w:t>
      </w:r>
      <w:r w:rsidRPr="00A12B99">
        <w:rPr>
          <w:lang w:val="fr-CH"/>
        </w:rPr>
        <w:t>s</w:t>
      </w:r>
      <w:r w:rsidR="003E6F73">
        <w:rPr>
          <w:lang w:val="fr-CH"/>
        </w:rPr>
        <w:t xml:space="preserve"> </w:t>
      </w:r>
      <w:r w:rsidRPr="00A12B99">
        <w:rPr>
          <w:lang w:val="fr-CH"/>
        </w:rPr>
        <w:t>des projets de Recommandation figurent dans l'Annexe 1. Par ailleurs, la Commission d'étu</w:t>
      </w:r>
      <w:r>
        <w:rPr>
          <w:lang w:val="fr-CH"/>
        </w:rPr>
        <w:t xml:space="preserve">des a proposé </w:t>
      </w:r>
      <w:r w:rsidR="001D7AFE" w:rsidRPr="00BA6E1E">
        <w:rPr>
          <w:lang w:val="fr-FR"/>
        </w:rPr>
        <w:t>l'approbation de la</w:t>
      </w:r>
      <w:r>
        <w:rPr>
          <w:lang w:val="fr-CH"/>
        </w:rPr>
        <w:t xml:space="preserve"> suppression d'une Question</w:t>
      </w:r>
      <w:r w:rsidRPr="00A12B99">
        <w:rPr>
          <w:lang w:val="fr-CH"/>
        </w:rPr>
        <w:t xml:space="preserve"> dont la liste est donnée dans l'Annexe 2.</w:t>
      </w:r>
    </w:p>
    <w:p w:rsidR="00440117" w:rsidRPr="00A12B99" w:rsidRDefault="00440117" w:rsidP="003E6F73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9B5C44" w:rsidRPr="00DB530F">
        <w:rPr>
          <w:u w:val="single"/>
          <w:lang w:val="fr-CH"/>
        </w:rPr>
        <w:t>5 août 2015</w:t>
      </w:r>
      <w:r w:rsidRPr="00A12B99">
        <w:rPr>
          <w:lang w:val="fr-CH"/>
        </w:rPr>
        <w:t xml:space="preserve">. Si, au cours de cette période, </w:t>
      </w:r>
      <w:r w:rsidR="00C77C45">
        <w:rPr>
          <w:lang w:val="fr-CH"/>
        </w:rPr>
        <w:t>a</w:t>
      </w:r>
      <w:r w:rsidRPr="00A12B99">
        <w:rPr>
          <w:lang w:val="fr-CH"/>
        </w:rPr>
        <w:t xml:space="preserve">ucun Etat Membre ne soulève d'objection, </w:t>
      </w:r>
      <w:r w:rsidR="003E6F73">
        <w:rPr>
          <w:lang w:val="fr-CH"/>
        </w:rPr>
        <w:t>les projet</w:t>
      </w:r>
      <w:r w:rsidRPr="00A12B99">
        <w:rPr>
          <w:lang w:val="fr-CH"/>
        </w:rPr>
        <w:t xml:space="preserve">s de Recommandation </w:t>
      </w:r>
      <w:r w:rsidR="003E6F73">
        <w:rPr>
          <w:lang w:val="fr-CH"/>
        </w:rPr>
        <w:t>sont considéré</w:t>
      </w:r>
      <w:r w:rsidRPr="00A12B99">
        <w:rPr>
          <w:lang w:val="fr-CH"/>
        </w:rPr>
        <w:t>s</w:t>
      </w:r>
      <w:r w:rsidR="003E6F73">
        <w:rPr>
          <w:lang w:val="fr-CH"/>
        </w:rPr>
        <w:t xml:space="preserve"> comme adopté</w:t>
      </w:r>
      <w:r w:rsidRPr="00A12B99">
        <w:rPr>
          <w:lang w:val="fr-CH"/>
        </w:rPr>
        <w:t xml:space="preserve">s par la Commission d'études </w:t>
      </w:r>
      <w:r w:rsidR="003E6F73">
        <w:rPr>
          <w:lang w:val="fr-CH"/>
        </w:rPr>
        <w:t>7</w:t>
      </w:r>
      <w:r w:rsidRPr="00A12B99">
        <w:rPr>
          <w:lang w:val="fr-CH"/>
        </w:rPr>
        <w:t xml:space="preserve">. En outre, puisque la procédure PAAS est appliquée, l'adoption </w:t>
      </w:r>
      <w:r w:rsidR="003E6F73">
        <w:rPr>
          <w:lang w:val="fr-CH"/>
        </w:rPr>
        <w:t>des projet</w:t>
      </w:r>
      <w:r w:rsidRPr="00A12B99">
        <w:rPr>
          <w:lang w:val="fr-CH"/>
        </w:rPr>
        <w:t>s de Recommandation est cons</w:t>
      </w:r>
      <w:r>
        <w:rPr>
          <w:lang w:val="fr-CH"/>
        </w:rPr>
        <w:t>idérée comme valant approbation.</w:t>
      </w:r>
    </w:p>
    <w:p w:rsidR="00440117" w:rsidRPr="008C61E2" w:rsidRDefault="00DB530F" w:rsidP="001D7AFE">
      <w:pPr>
        <w:rPr>
          <w:lang w:val="fr-CH"/>
        </w:rPr>
      </w:pPr>
      <w:r w:rsidRPr="00BA6E1E">
        <w:rPr>
          <w:lang w:val="fr-FR"/>
        </w:rPr>
        <w:t xml:space="preserve">Un </w:t>
      </w:r>
      <w:r w:rsidR="001D7AFE">
        <w:rPr>
          <w:lang w:val="fr-FR"/>
        </w:rPr>
        <w:t>E</w:t>
      </w:r>
      <w:r w:rsidRPr="00BA6E1E">
        <w:rPr>
          <w:lang w:val="fr-FR"/>
        </w:rPr>
        <w:t xml:space="preserve">tat Membre qui soulève une objection au sujet de l'adoption d'un projet de Recommandation ou </w:t>
      </w:r>
      <w:r>
        <w:rPr>
          <w:lang w:val="fr-FR"/>
        </w:rPr>
        <w:t>de l'</w:t>
      </w:r>
      <w:r w:rsidRPr="00BA6E1E">
        <w:rPr>
          <w:lang w:val="fr-FR"/>
        </w:rPr>
        <w:t>approbation de la proposition de suppression d'une Recommandation/Question est prié d'informer le Directeur et le Président de la Commission d'études des raisons de cette objection.</w:t>
      </w:r>
    </w:p>
    <w:p w:rsidR="00440117" w:rsidRPr="008C61E2" w:rsidRDefault="00440117" w:rsidP="00C77C45">
      <w:pPr>
        <w:rPr>
          <w:lang w:val="fr-CH"/>
        </w:rPr>
      </w:pPr>
      <w:r w:rsidRPr="008C61E2">
        <w:rPr>
          <w:lang w:val="fr-CH"/>
        </w:rPr>
        <w:t>Après la date limite mentionnée ci-dessus, les résultats de la procédure PAAS seront communiqués dans une Circulaire administrative (CACE) et les Recom</w:t>
      </w:r>
      <w:r>
        <w:rPr>
          <w:lang w:val="fr-CH"/>
        </w:rPr>
        <w:t>manda</w:t>
      </w:r>
      <w:r w:rsidR="00C77C45">
        <w:rPr>
          <w:lang w:val="fr-CH"/>
        </w:rPr>
        <w:t>tion</w:t>
      </w:r>
      <w:r>
        <w:rPr>
          <w:lang w:val="fr-CH"/>
        </w:rPr>
        <w:t>s</w:t>
      </w:r>
      <w:r w:rsidR="00C77C45">
        <w:rPr>
          <w:lang w:val="fr-CH"/>
        </w:rPr>
        <w:t xml:space="preserve"> approuvée</w:t>
      </w:r>
      <w:r>
        <w:rPr>
          <w:lang w:val="fr-CH"/>
        </w:rPr>
        <w:t xml:space="preserve">s </w:t>
      </w:r>
      <w:r w:rsidR="00C77C45">
        <w:rPr>
          <w:lang w:val="fr-CH"/>
        </w:rPr>
        <w:t>seront publiée</w:t>
      </w:r>
      <w:r w:rsidRPr="008C61E2">
        <w:rPr>
          <w:lang w:val="fr-CH"/>
        </w:rPr>
        <w:t xml:space="preserve">s dans les meilleurs délais (voir </w:t>
      </w:r>
      <w:hyperlink r:id="rId8" w:history="1">
        <w:r w:rsidRPr="00440117">
          <w:rPr>
            <w:rStyle w:val="Hyperlink"/>
            <w:lang w:val="fr-CH"/>
          </w:rPr>
          <w:t>http://www.itu.int/pub/R-REC</w:t>
        </w:r>
      </w:hyperlink>
      <w:r w:rsidRPr="00440117">
        <w:rPr>
          <w:lang w:val="fr-CH"/>
        </w:rPr>
        <w:t>).</w:t>
      </w:r>
    </w:p>
    <w:p w:rsidR="009B5C44" w:rsidRDefault="009B5C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440117" w:rsidRPr="00381F68" w:rsidRDefault="00440117" w:rsidP="00C77C45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br/>
      </w:r>
      <w:hyperlink r:id="rId9" w:history="1">
        <w:r w:rsidR="00C77C45" w:rsidRPr="00926198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83107E">
        <w:rPr>
          <w:lang w:val="fr-CH"/>
        </w:rPr>
        <w:t>.</w:t>
      </w:r>
    </w:p>
    <w:p w:rsidR="00440117" w:rsidRPr="00440117" w:rsidRDefault="00440117" w:rsidP="00440117">
      <w:pPr>
        <w:keepNext/>
        <w:keepLines/>
        <w:tabs>
          <w:tab w:val="center" w:pos="7088"/>
        </w:tabs>
        <w:spacing w:before="1680"/>
        <w:jc w:val="left"/>
        <w:rPr>
          <w:lang w:val="fr-CH"/>
        </w:rPr>
      </w:pPr>
      <w:r w:rsidRPr="00440117">
        <w:rPr>
          <w:lang w:val="fr-CH"/>
        </w:rPr>
        <w:t>François Rancy</w:t>
      </w:r>
      <w:r>
        <w:rPr>
          <w:lang w:val="fr-CH"/>
        </w:rPr>
        <w:br/>
      </w:r>
      <w:r w:rsidRPr="00440117">
        <w:rPr>
          <w:lang w:val="fr-CH"/>
        </w:rPr>
        <w:t xml:space="preserve">Directeur </w:t>
      </w:r>
    </w:p>
    <w:p w:rsidR="00440117" w:rsidRPr="00440117" w:rsidRDefault="00440117" w:rsidP="009B5C44">
      <w:pPr>
        <w:spacing w:before="2040"/>
        <w:rPr>
          <w:bCs/>
          <w:lang w:val="fr-CH"/>
        </w:rPr>
      </w:pPr>
      <w:r w:rsidRPr="00440117">
        <w:rPr>
          <w:b/>
          <w:bCs/>
          <w:lang w:val="fr-CH"/>
        </w:rPr>
        <w:t>Annexe 1:</w:t>
      </w:r>
      <w:r w:rsidRPr="00440117">
        <w:rPr>
          <w:b/>
          <w:bCs/>
          <w:lang w:val="fr-CH"/>
        </w:rPr>
        <w:tab/>
      </w:r>
      <w:r w:rsidR="009B5C44">
        <w:rPr>
          <w:bCs/>
          <w:lang w:val="fr-CH"/>
        </w:rPr>
        <w:t>Titre</w:t>
      </w:r>
      <w:r w:rsidRPr="00440117">
        <w:rPr>
          <w:bCs/>
          <w:lang w:val="fr-CH"/>
        </w:rPr>
        <w:t>s</w:t>
      </w:r>
      <w:r w:rsidR="009B5C44">
        <w:rPr>
          <w:bCs/>
          <w:lang w:val="fr-CH"/>
        </w:rPr>
        <w:t xml:space="preserve"> et résumé</w:t>
      </w:r>
      <w:r w:rsidRPr="00440117">
        <w:rPr>
          <w:bCs/>
          <w:lang w:val="fr-CH"/>
        </w:rPr>
        <w:t>s</w:t>
      </w:r>
      <w:r w:rsidR="009B5C44">
        <w:rPr>
          <w:bCs/>
          <w:lang w:val="fr-CH"/>
        </w:rPr>
        <w:t xml:space="preserve"> des projet</w:t>
      </w:r>
      <w:r w:rsidRPr="00440117">
        <w:rPr>
          <w:bCs/>
          <w:lang w:val="fr-CH"/>
        </w:rPr>
        <w:t>s de Recommandation</w:t>
      </w:r>
    </w:p>
    <w:p w:rsidR="00440117" w:rsidRPr="00440117" w:rsidRDefault="00440117" w:rsidP="009B5C44">
      <w:pPr>
        <w:rPr>
          <w:bCs/>
          <w:lang w:val="fr-CH"/>
        </w:rPr>
      </w:pPr>
      <w:r w:rsidRPr="00440117">
        <w:rPr>
          <w:b/>
          <w:bCs/>
          <w:lang w:val="fr-CH"/>
        </w:rPr>
        <w:t>Annexe 2:</w:t>
      </w:r>
      <w:r w:rsidRPr="00440117">
        <w:rPr>
          <w:b/>
          <w:bCs/>
          <w:lang w:val="fr-CH"/>
        </w:rPr>
        <w:tab/>
      </w:r>
      <w:r w:rsidR="009B5C44">
        <w:rPr>
          <w:bCs/>
          <w:lang w:val="fr-CH"/>
        </w:rPr>
        <w:t xml:space="preserve">Question </w:t>
      </w:r>
      <w:r w:rsidRPr="00440117">
        <w:rPr>
          <w:bCs/>
          <w:lang w:val="fr-CH"/>
        </w:rPr>
        <w:t>dont la suppression est proposée</w:t>
      </w:r>
    </w:p>
    <w:p w:rsidR="00440117" w:rsidRDefault="003939AB" w:rsidP="00AA11C9">
      <w:pPr>
        <w:spacing w:before="360" w:line="480" w:lineRule="auto"/>
        <w:rPr>
          <w:szCs w:val="24"/>
          <w:lang w:val="fr-CH"/>
        </w:rPr>
      </w:pPr>
      <w:r>
        <w:rPr>
          <w:b/>
          <w:bCs/>
          <w:lang w:val="fr-CH"/>
        </w:rPr>
        <w:t>Documents</w:t>
      </w:r>
      <w:r w:rsidR="00440117" w:rsidRPr="00005977">
        <w:rPr>
          <w:b/>
          <w:bCs/>
          <w:lang w:val="fr-CH"/>
        </w:rPr>
        <w:t>:</w:t>
      </w:r>
      <w:r w:rsidR="00440117">
        <w:rPr>
          <w:b/>
          <w:bCs/>
          <w:lang w:val="fr-CH"/>
        </w:rPr>
        <w:tab/>
      </w:r>
      <w:r w:rsidR="009B5C44" w:rsidRPr="009B5C44">
        <w:rPr>
          <w:szCs w:val="24"/>
          <w:lang w:val="fr-CH"/>
        </w:rPr>
        <w:t>Docume</w:t>
      </w:r>
      <w:bookmarkStart w:id="0" w:name="_GoBack"/>
      <w:bookmarkEnd w:id="0"/>
      <w:r w:rsidR="009B5C44" w:rsidRPr="009B5C44">
        <w:rPr>
          <w:szCs w:val="24"/>
          <w:lang w:val="fr-CH"/>
        </w:rPr>
        <w:t xml:space="preserve">nts </w:t>
      </w:r>
      <w:hyperlink r:id="rId10" w:history="1">
        <w:r w:rsidR="009B5C44" w:rsidRPr="00DF3D47">
          <w:rPr>
            <w:rStyle w:val="Hyperlink"/>
            <w:szCs w:val="24"/>
            <w:lang w:val="fr-CH"/>
          </w:rPr>
          <w:t>7/113(Rév.1)</w:t>
        </w:r>
      </w:hyperlink>
      <w:r w:rsidR="009B5C44" w:rsidRPr="009B5C44">
        <w:rPr>
          <w:szCs w:val="24"/>
          <w:lang w:val="fr-CH"/>
        </w:rPr>
        <w:t xml:space="preserve">, </w:t>
      </w:r>
      <w:hyperlink r:id="rId11" w:history="1">
        <w:r w:rsidR="009B5C44" w:rsidRPr="00DF3D47">
          <w:rPr>
            <w:rStyle w:val="Hyperlink"/>
            <w:szCs w:val="24"/>
            <w:lang w:val="fr-CH"/>
          </w:rPr>
          <w:t>7/114(Rév.1)</w:t>
        </w:r>
      </w:hyperlink>
      <w:r w:rsidR="009B5C44" w:rsidRPr="009B5C44">
        <w:rPr>
          <w:szCs w:val="24"/>
          <w:lang w:val="fr-CH"/>
        </w:rPr>
        <w:t xml:space="preserve"> </w:t>
      </w:r>
      <w:r w:rsidR="009B5C44">
        <w:rPr>
          <w:szCs w:val="24"/>
          <w:lang w:val="fr-CH"/>
        </w:rPr>
        <w:t>et</w:t>
      </w:r>
      <w:r w:rsidR="009B5C44" w:rsidRPr="009B5C44">
        <w:rPr>
          <w:szCs w:val="24"/>
          <w:lang w:val="fr-CH"/>
        </w:rPr>
        <w:t xml:space="preserve"> </w:t>
      </w:r>
      <w:hyperlink r:id="rId12" w:history="1">
        <w:r w:rsidR="009B5C44" w:rsidRPr="00DF3D47">
          <w:rPr>
            <w:rStyle w:val="Hyperlink"/>
            <w:szCs w:val="24"/>
            <w:lang w:val="fr-CH"/>
          </w:rPr>
          <w:t>7/120(Rév.1)</w:t>
        </w:r>
      </w:hyperlink>
    </w:p>
    <w:p w:rsidR="00C77C45" w:rsidRPr="003939AB" w:rsidRDefault="003939AB" w:rsidP="003939AB">
      <w:pPr>
        <w:spacing w:before="0" w:line="240" w:lineRule="auto"/>
        <w:jc w:val="left"/>
        <w:rPr>
          <w:lang w:val="fr-CH"/>
        </w:rPr>
      </w:pPr>
      <w:r w:rsidRPr="003A4ECB">
        <w:rPr>
          <w:szCs w:val="24"/>
          <w:lang w:val="fr-CH"/>
        </w:rPr>
        <w:t>Ces documents sont disponibles sous forme électronique à l'adresse</w:t>
      </w:r>
      <w:r>
        <w:rPr>
          <w:szCs w:val="24"/>
          <w:lang w:val="fr-CH"/>
        </w:rPr>
        <w:t>:</w:t>
      </w:r>
      <w:r>
        <w:rPr>
          <w:u w:val="single"/>
          <w:lang w:val="fr-CH"/>
        </w:rPr>
        <w:br/>
      </w:r>
      <w:hyperlink r:id="rId13" w:history="1">
        <w:r w:rsidR="00C77C45" w:rsidRPr="003939AB">
          <w:rPr>
            <w:rStyle w:val="Hyperlink"/>
            <w:szCs w:val="24"/>
            <w:lang w:val="fr-CH"/>
          </w:rPr>
          <w:t>http://www.itu.int/md/R12-SG07-C/en</w:t>
        </w:r>
      </w:hyperlink>
    </w:p>
    <w:p w:rsidR="00440117" w:rsidRPr="00440117" w:rsidRDefault="00440117" w:rsidP="00A97C77">
      <w:pPr>
        <w:tabs>
          <w:tab w:val="left" w:pos="284"/>
          <w:tab w:val="left" w:pos="568"/>
        </w:tabs>
        <w:spacing w:before="2160" w:after="12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440117">
        <w:rPr>
          <w:b/>
          <w:bCs/>
          <w:sz w:val="18"/>
          <w:szCs w:val="18"/>
          <w:lang w:val="fr-CH"/>
        </w:rPr>
        <w:t>Distribution:</w:t>
      </w:r>
    </w:p>
    <w:p w:rsidR="00440117" w:rsidRDefault="00440117" w:rsidP="0036380F">
      <w:pPr>
        <w:tabs>
          <w:tab w:val="clear" w:pos="794"/>
        </w:tabs>
        <w:spacing w:before="0" w:line="240" w:lineRule="exact"/>
        <w:ind w:left="284" w:hanging="284"/>
        <w:jc w:val="left"/>
        <w:rPr>
          <w:sz w:val="18"/>
          <w:szCs w:val="18"/>
          <w:lang w:val="fr-CH"/>
        </w:rPr>
      </w:pPr>
      <w:r w:rsidRPr="00440117">
        <w:rPr>
          <w:sz w:val="18"/>
          <w:szCs w:val="18"/>
          <w:lang w:val="fr-CH"/>
        </w:rPr>
        <w:t>–</w:t>
      </w:r>
      <w:r w:rsidRPr="00440117">
        <w:rPr>
          <w:sz w:val="18"/>
          <w:szCs w:val="18"/>
          <w:lang w:val="fr-CH"/>
        </w:rPr>
        <w:tab/>
        <w:t>Administrations des Etats Membres de l'UIT et Membres du Secteur des radiocommunications</w:t>
      </w:r>
      <w:r>
        <w:rPr>
          <w:sz w:val="18"/>
          <w:szCs w:val="18"/>
          <w:lang w:val="fr-CH"/>
        </w:rPr>
        <w:t xml:space="preserve"> participant aux travaux de la </w:t>
      </w:r>
      <w:r w:rsidRPr="00440117">
        <w:rPr>
          <w:sz w:val="18"/>
          <w:szCs w:val="18"/>
          <w:lang w:val="fr-CH"/>
        </w:rPr>
        <w:t>Commission d'é</w:t>
      </w:r>
      <w:r>
        <w:rPr>
          <w:sz w:val="18"/>
          <w:szCs w:val="18"/>
          <w:lang w:val="fr-CH"/>
        </w:rPr>
        <w:t xml:space="preserve">tudes </w:t>
      </w:r>
      <w:r w:rsidR="0036380F">
        <w:rPr>
          <w:sz w:val="18"/>
          <w:szCs w:val="18"/>
          <w:lang w:val="fr-CH"/>
        </w:rPr>
        <w:t>7</w:t>
      </w:r>
      <w:r>
        <w:rPr>
          <w:sz w:val="18"/>
          <w:szCs w:val="18"/>
          <w:lang w:val="fr-CH"/>
        </w:rPr>
        <w:t xml:space="preserve"> des radiocommunications</w:t>
      </w:r>
    </w:p>
    <w:p w:rsidR="00440117" w:rsidRDefault="00440117" w:rsidP="0036380F">
      <w:pPr>
        <w:tabs>
          <w:tab w:val="clear" w:pos="794"/>
        </w:tabs>
        <w:spacing w:before="0" w:line="240" w:lineRule="exact"/>
        <w:ind w:left="284" w:hanging="284"/>
        <w:jc w:val="left"/>
        <w:rPr>
          <w:sz w:val="18"/>
          <w:szCs w:val="18"/>
          <w:lang w:val="fr-CH"/>
        </w:rPr>
      </w:pPr>
      <w:r w:rsidRPr="00440117">
        <w:rPr>
          <w:sz w:val="18"/>
          <w:szCs w:val="18"/>
          <w:lang w:val="fr-CH"/>
        </w:rPr>
        <w:t>–</w:t>
      </w:r>
      <w:r w:rsidRPr="00440117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36380F">
        <w:rPr>
          <w:sz w:val="18"/>
          <w:szCs w:val="18"/>
          <w:lang w:val="fr-CH"/>
        </w:rPr>
        <w:t>7</w:t>
      </w:r>
      <w:r w:rsidRPr="00440117">
        <w:rPr>
          <w:sz w:val="18"/>
          <w:szCs w:val="18"/>
          <w:lang w:val="fr-CH"/>
        </w:rPr>
        <w:t xml:space="preserve"> des radiocommunications</w:t>
      </w:r>
    </w:p>
    <w:p w:rsidR="00440117" w:rsidRDefault="00440117" w:rsidP="00440117">
      <w:pPr>
        <w:tabs>
          <w:tab w:val="clear" w:pos="794"/>
        </w:tabs>
        <w:spacing w:before="0" w:line="240" w:lineRule="exact"/>
        <w:ind w:left="284" w:hanging="284"/>
        <w:jc w:val="left"/>
        <w:rPr>
          <w:sz w:val="18"/>
          <w:szCs w:val="18"/>
          <w:lang w:val="fr-CH"/>
        </w:rPr>
      </w:pPr>
      <w:r w:rsidRPr="00440117">
        <w:rPr>
          <w:sz w:val="18"/>
          <w:szCs w:val="18"/>
          <w:lang w:val="fr-CH"/>
        </w:rPr>
        <w:t>–</w:t>
      </w:r>
      <w:r w:rsidRPr="00440117">
        <w:rPr>
          <w:sz w:val="18"/>
          <w:szCs w:val="18"/>
          <w:lang w:val="fr-CH"/>
        </w:rPr>
        <w:tab/>
        <w:t>Présidents et Vice</w:t>
      </w:r>
      <w:r w:rsidRPr="00440117">
        <w:rPr>
          <w:sz w:val="18"/>
          <w:szCs w:val="18"/>
          <w:lang w:val="fr-CH"/>
        </w:rPr>
        <w:noBreakHyphen/>
        <w:t>Présidents des Commissions d'études des radiocommunications et de la Commission spéciale chargée d'examiner les questions réglementaires et de procédure</w:t>
      </w:r>
    </w:p>
    <w:p w:rsidR="00440117" w:rsidRDefault="00440117" w:rsidP="00440117">
      <w:pPr>
        <w:tabs>
          <w:tab w:val="clear" w:pos="794"/>
        </w:tabs>
        <w:spacing w:before="0" w:line="240" w:lineRule="exact"/>
        <w:ind w:left="284" w:hanging="284"/>
        <w:jc w:val="left"/>
        <w:rPr>
          <w:sz w:val="18"/>
          <w:szCs w:val="18"/>
          <w:lang w:val="fr-CH"/>
        </w:rPr>
      </w:pPr>
      <w:r w:rsidRPr="00440117">
        <w:rPr>
          <w:sz w:val="18"/>
          <w:szCs w:val="18"/>
          <w:lang w:val="fr-CH"/>
        </w:rPr>
        <w:t>–</w:t>
      </w:r>
      <w:r w:rsidRPr="00440117">
        <w:rPr>
          <w:sz w:val="18"/>
          <w:szCs w:val="18"/>
          <w:lang w:val="fr-CH"/>
        </w:rPr>
        <w:tab/>
        <w:t>Président et Vice</w:t>
      </w:r>
      <w:r w:rsidRPr="00440117">
        <w:rPr>
          <w:sz w:val="18"/>
          <w:szCs w:val="18"/>
          <w:lang w:val="fr-CH"/>
        </w:rPr>
        <w:noBreakHyphen/>
        <w:t>Présidents de la Réunion</w:t>
      </w:r>
      <w:r>
        <w:rPr>
          <w:sz w:val="18"/>
          <w:szCs w:val="18"/>
          <w:lang w:val="fr-CH"/>
        </w:rPr>
        <w:t xml:space="preserve"> de préparation à la Conférence</w:t>
      </w:r>
    </w:p>
    <w:p w:rsidR="00440117" w:rsidRDefault="00440117" w:rsidP="00440117">
      <w:pPr>
        <w:tabs>
          <w:tab w:val="clear" w:pos="794"/>
        </w:tabs>
        <w:spacing w:before="0" w:line="240" w:lineRule="exact"/>
        <w:ind w:left="284" w:hanging="284"/>
        <w:jc w:val="left"/>
        <w:rPr>
          <w:sz w:val="18"/>
          <w:szCs w:val="18"/>
          <w:lang w:val="fr-CH"/>
        </w:rPr>
      </w:pPr>
      <w:r w:rsidRPr="00440117">
        <w:rPr>
          <w:sz w:val="18"/>
          <w:szCs w:val="18"/>
          <w:lang w:val="fr-CH"/>
        </w:rPr>
        <w:t>–</w:t>
      </w:r>
      <w:r w:rsidRPr="00440117">
        <w:rPr>
          <w:sz w:val="18"/>
          <w:szCs w:val="18"/>
          <w:lang w:val="fr-CH"/>
        </w:rPr>
        <w:tab/>
        <w:t>Membres du Comité du Rè</w:t>
      </w:r>
      <w:r>
        <w:rPr>
          <w:sz w:val="18"/>
          <w:szCs w:val="18"/>
          <w:lang w:val="fr-CH"/>
        </w:rPr>
        <w:t>glement des radiocommunications</w:t>
      </w:r>
    </w:p>
    <w:p w:rsidR="00E53DCE" w:rsidRDefault="00440117" w:rsidP="00440117">
      <w:pPr>
        <w:tabs>
          <w:tab w:val="clear" w:pos="794"/>
        </w:tabs>
        <w:spacing w:before="0" w:line="240" w:lineRule="exact"/>
        <w:ind w:left="284" w:hanging="284"/>
        <w:jc w:val="left"/>
        <w:rPr>
          <w:sz w:val="18"/>
          <w:szCs w:val="18"/>
          <w:lang w:val="fr-CH"/>
        </w:rPr>
      </w:pPr>
      <w:r w:rsidRPr="00440117">
        <w:rPr>
          <w:sz w:val="18"/>
          <w:szCs w:val="18"/>
          <w:lang w:val="fr-CH"/>
        </w:rPr>
        <w:t>–</w:t>
      </w:r>
      <w:r w:rsidRPr="00440117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40117" w:rsidRDefault="004401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F12CA5" w:rsidRPr="00697481" w:rsidRDefault="00F12CA5" w:rsidP="00F12CA5">
      <w:pPr>
        <w:pStyle w:val="AnnexNotitle0"/>
        <w:rPr>
          <w:rFonts w:asciiTheme="minorHAnsi" w:hAnsiTheme="minorHAnsi"/>
          <w:szCs w:val="28"/>
          <w:lang w:val="fr-CH"/>
        </w:rPr>
      </w:pPr>
      <w:r w:rsidRPr="00697481">
        <w:rPr>
          <w:rFonts w:asciiTheme="minorHAnsi" w:hAnsiTheme="minorHAnsi"/>
          <w:szCs w:val="28"/>
          <w:lang w:val="fr-CH"/>
        </w:rPr>
        <w:lastRenderedPageBreak/>
        <w:t>Annexe 1</w:t>
      </w:r>
      <w:r w:rsidRPr="00697481">
        <w:rPr>
          <w:rFonts w:asciiTheme="minorHAnsi" w:hAnsiTheme="minorHAnsi"/>
          <w:szCs w:val="28"/>
          <w:lang w:val="fr-CH"/>
        </w:rPr>
        <w:br/>
      </w:r>
      <w:r w:rsidRPr="00697481">
        <w:rPr>
          <w:rFonts w:asciiTheme="minorHAnsi" w:hAnsiTheme="minorHAnsi"/>
          <w:szCs w:val="28"/>
          <w:lang w:val="fr-CH"/>
        </w:rPr>
        <w:br/>
        <w:t>Titres et résumés des projets de Recommandation</w:t>
      </w:r>
    </w:p>
    <w:p w:rsidR="00F12CA5" w:rsidRPr="00697481" w:rsidRDefault="00F12CA5" w:rsidP="00F12CA5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97481">
        <w:rPr>
          <w:u w:val="single"/>
          <w:lang w:val="fr-CH"/>
        </w:rPr>
        <w:t>Projet de nouvelle Recommandation UIT-R</w:t>
      </w:r>
      <w:r w:rsidRPr="00697481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 w:rsidRPr="00697481">
        <w:rPr>
          <w:u w:val="single"/>
          <w:lang w:val="fr-CH" w:eastAsia="zh-CN"/>
        </w:rPr>
        <w:t>SA.[SRS-AIRCRAFT 2 GHz]</w:t>
      </w:r>
      <w:r w:rsidRPr="00697481">
        <w:rPr>
          <w:rFonts w:asciiTheme="minorHAnsi" w:hAnsiTheme="minorHAnsi" w:cstheme="minorHAnsi"/>
          <w:szCs w:val="24"/>
          <w:lang w:val="fr-CH"/>
        </w:rPr>
        <w:tab/>
        <w:t>Doc. 7/113(Rév.1)</w:t>
      </w:r>
    </w:p>
    <w:p w:rsidR="00F12CA5" w:rsidRPr="00697481" w:rsidRDefault="00F12CA5" w:rsidP="00F12CA5">
      <w:pPr>
        <w:pStyle w:val="Rectitle"/>
        <w:rPr>
          <w:lang w:val="fr-CH"/>
        </w:rPr>
      </w:pPr>
      <w:r w:rsidRPr="00697481">
        <w:rPr>
          <w:lang w:val="fr-CH"/>
        </w:rPr>
        <w:t xml:space="preserve">Protection des stations terriennes du service de recherche spatiale vis-à-vis des stations mobiles (d'aéronef) dans la bande 2 200-2 290 MHz </w:t>
      </w:r>
    </w:p>
    <w:p w:rsidR="00F12CA5" w:rsidRPr="00697481" w:rsidRDefault="00F12CA5" w:rsidP="00F12CA5">
      <w:pPr>
        <w:spacing w:before="240" w:line="240" w:lineRule="auto"/>
        <w:rPr>
          <w:szCs w:val="24"/>
          <w:lang w:val="fr-CH"/>
        </w:rPr>
      </w:pPr>
      <w:r w:rsidRPr="00697481">
        <w:rPr>
          <w:szCs w:val="24"/>
          <w:lang w:val="fr-CH"/>
        </w:rPr>
        <w:t>Cette Recomm</w:t>
      </w:r>
      <w:r>
        <w:rPr>
          <w:szCs w:val="24"/>
          <w:lang w:val="fr-CH"/>
        </w:rPr>
        <w:t>a</w:t>
      </w:r>
      <w:r w:rsidRPr="00697481">
        <w:rPr>
          <w:szCs w:val="24"/>
          <w:lang w:val="fr-CH"/>
        </w:rPr>
        <w:t xml:space="preserve">ndation </w:t>
      </w:r>
      <w:r>
        <w:rPr>
          <w:szCs w:val="24"/>
          <w:lang w:val="fr-CH"/>
        </w:rPr>
        <w:t xml:space="preserve">donne une distance de </w:t>
      </w:r>
      <w:r w:rsidRPr="00697481">
        <w:rPr>
          <w:szCs w:val="24"/>
          <w:lang w:val="fr-CH"/>
        </w:rPr>
        <w:t xml:space="preserve">coordination </w:t>
      </w:r>
      <w:r>
        <w:rPr>
          <w:szCs w:val="24"/>
          <w:lang w:val="fr-CH"/>
        </w:rPr>
        <w:t xml:space="preserve">requise de </w:t>
      </w:r>
      <w:r w:rsidRPr="00697481">
        <w:rPr>
          <w:szCs w:val="24"/>
          <w:lang w:val="fr-CH"/>
        </w:rPr>
        <w:t xml:space="preserve">880 km </w:t>
      </w:r>
      <w:r>
        <w:rPr>
          <w:szCs w:val="24"/>
          <w:lang w:val="fr-CH"/>
        </w:rPr>
        <w:t xml:space="preserve">entre les stations terriennes du service de recherche spatiale et les stations mobiles d'émission (d'aéronef) afin de protéger les stations terriennes du service de recherche spatiale dans la bande </w:t>
      </w:r>
      <w:r w:rsidRPr="00697481">
        <w:rPr>
          <w:szCs w:val="24"/>
          <w:lang w:val="fr-CH"/>
        </w:rPr>
        <w:t>2 200-2 290</w:t>
      </w:r>
      <w:r>
        <w:rPr>
          <w:szCs w:val="24"/>
          <w:lang w:val="fr-CH"/>
        </w:rPr>
        <w:t> </w:t>
      </w:r>
      <w:r w:rsidRPr="00697481">
        <w:rPr>
          <w:szCs w:val="24"/>
          <w:lang w:val="fr-CH"/>
        </w:rPr>
        <w:t>MHz.</w:t>
      </w:r>
    </w:p>
    <w:p w:rsidR="00F12CA5" w:rsidRPr="00697481" w:rsidRDefault="00F12CA5" w:rsidP="00F12CA5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97481">
        <w:rPr>
          <w:u w:val="single"/>
          <w:lang w:val="fr-CH"/>
        </w:rPr>
        <w:t xml:space="preserve">Projet de nouvelle Recommandation </w:t>
      </w:r>
      <w:r w:rsidRPr="00697481">
        <w:rPr>
          <w:rFonts w:asciiTheme="minorHAnsi" w:hAnsiTheme="minorHAnsi" w:cstheme="minorHAnsi"/>
          <w:szCs w:val="24"/>
          <w:u w:val="single"/>
          <w:lang w:val="fr-CH"/>
        </w:rPr>
        <w:t xml:space="preserve">UIT-R </w:t>
      </w:r>
      <w:r w:rsidRPr="00697481">
        <w:rPr>
          <w:u w:val="single"/>
          <w:lang w:val="fr-CH" w:eastAsia="zh-CN"/>
        </w:rPr>
        <w:t>SA.[SRS/FSS 37 GHz]</w:t>
      </w:r>
      <w:r w:rsidRPr="00697481">
        <w:rPr>
          <w:rFonts w:asciiTheme="minorHAnsi" w:hAnsiTheme="minorHAnsi" w:cstheme="minorHAnsi"/>
          <w:szCs w:val="24"/>
          <w:lang w:val="fr-CH"/>
        </w:rPr>
        <w:tab/>
        <w:t>Doc. 7/114(Rév.1)</w:t>
      </w:r>
    </w:p>
    <w:p w:rsidR="00F12CA5" w:rsidRPr="00697481" w:rsidRDefault="00F12CA5" w:rsidP="00F12CA5">
      <w:pPr>
        <w:pStyle w:val="Rectitle"/>
        <w:rPr>
          <w:lang w:val="fr-CH"/>
        </w:rPr>
      </w:pPr>
      <w:r w:rsidRPr="00697481">
        <w:rPr>
          <w:lang w:val="fr-CH"/>
        </w:rPr>
        <w:t xml:space="preserve">Partage de fréquences entre les systèmes du service de recherche spatiale et du service fixe par satellite (espace vers Terre) dans la bande 37,5-38 GHz </w:t>
      </w:r>
    </w:p>
    <w:p w:rsidR="00F12CA5" w:rsidRPr="00697481" w:rsidRDefault="00F12CA5" w:rsidP="00F12CA5">
      <w:pPr>
        <w:spacing w:before="240" w:line="240" w:lineRule="auto"/>
        <w:rPr>
          <w:szCs w:val="24"/>
          <w:lang w:val="fr-CH"/>
        </w:rPr>
      </w:pPr>
      <w:r>
        <w:rPr>
          <w:szCs w:val="24"/>
          <w:lang w:val="fr-CH"/>
        </w:rPr>
        <w:t>Cette R</w:t>
      </w:r>
      <w:r w:rsidRPr="00697481">
        <w:rPr>
          <w:szCs w:val="24"/>
          <w:lang w:val="fr-CH"/>
        </w:rPr>
        <w:t>ecomm</w:t>
      </w:r>
      <w:r>
        <w:rPr>
          <w:szCs w:val="24"/>
          <w:lang w:val="fr-CH"/>
        </w:rPr>
        <w:t>a</w:t>
      </w:r>
      <w:r w:rsidRPr="00697481">
        <w:rPr>
          <w:szCs w:val="24"/>
          <w:lang w:val="fr-CH"/>
        </w:rPr>
        <w:t xml:space="preserve">ndation </w:t>
      </w:r>
      <w:r>
        <w:rPr>
          <w:szCs w:val="24"/>
          <w:lang w:val="fr-CH"/>
        </w:rPr>
        <w:t xml:space="preserve">porte sur le partage de fréquences entre le service de recherche spatiale et le service fixe par </w:t>
      </w:r>
      <w:r w:rsidRPr="00697481">
        <w:rPr>
          <w:szCs w:val="24"/>
          <w:lang w:val="fr-CH"/>
        </w:rPr>
        <w:t xml:space="preserve">satellite </w:t>
      </w:r>
      <w:r>
        <w:rPr>
          <w:szCs w:val="24"/>
          <w:lang w:val="fr-CH"/>
        </w:rPr>
        <w:t xml:space="preserve">dans la bande </w:t>
      </w:r>
      <w:r w:rsidRPr="00697481">
        <w:rPr>
          <w:szCs w:val="24"/>
          <w:lang w:val="fr-CH"/>
        </w:rPr>
        <w:t>37,5-38 GHz (</w:t>
      </w:r>
      <w:r>
        <w:rPr>
          <w:szCs w:val="24"/>
          <w:lang w:val="fr-CH"/>
        </w:rPr>
        <w:t>e</w:t>
      </w:r>
      <w:r w:rsidRPr="00697481">
        <w:rPr>
          <w:szCs w:val="24"/>
          <w:lang w:val="fr-CH"/>
        </w:rPr>
        <w:t>space</w:t>
      </w:r>
      <w:r>
        <w:rPr>
          <w:szCs w:val="24"/>
          <w:lang w:val="fr-CH"/>
        </w:rPr>
        <w:t xml:space="preserve"> vers Terre</w:t>
      </w:r>
      <w:r w:rsidRPr="00697481">
        <w:rPr>
          <w:szCs w:val="24"/>
          <w:lang w:val="fr-CH"/>
        </w:rPr>
        <w:t xml:space="preserve">). </w:t>
      </w:r>
      <w:r>
        <w:rPr>
          <w:szCs w:val="24"/>
          <w:lang w:val="fr-CH"/>
        </w:rPr>
        <w:t xml:space="preserve">Elle donne les limites de p.i.r.e. et de puissance surfacique pour les systèmes d'interférométrie spatiale à très grande base </w:t>
      </w:r>
      <w:r w:rsidRPr="00697481">
        <w:rPr>
          <w:szCs w:val="24"/>
          <w:lang w:val="fr-CH"/>
        </w:rPr>
        <w:t xml:space="preserve">(SVLBI) </w:t>
      </w:r>
      <w:r>
        <w:rPr>
          <w:szCs w:val="24"/>
          <w:lang w:val="fr-CH"/>
        </w:rPr>
        <w:t>et les systèmes lunaires du service de recherche spatiale</w:t>
      </w:r>
      <w:r w:rsidRPr="00697481">
        <w:rPr>
          <w:szCs w:val="24"/>
          <w:lang w:val="fr-CH"/>
        </w:rPr>
        <w:t xml:space="preserve">, </w:t>
      </w:r>
      <w:r>
        <w:rPr>
          <w:szCs w:val="24"/>
          <w:lang w:val="fr-CH"/>
        </w:rPr>
        <w:t>et pour les systèmes à satellites géostationnaires ou en orbite elliptique fortement inclinée du SFS</w:t>
      </w:r>
      <w:r w:rsidRPr="00697481">
        <w:rPr>
          <w:szCs w:val="24"/>
          <w:lang w:val="fr-CH"/>
        </w:rPr>
        <w:t>.</w:t>
      </w:r>
    </w:p>
    <w:p w:rsidR="00F12CA5" w:rsidRPr="00697481" w:rsidRDefault="00F12CA5" w:rsidP="00F12CA5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97481">
        <w:rPr>
          <w:u w:val="single"/>
          <w:lang w:val="fr-CH"/>
        </w:rPr>
        <w:t xml:space="preserve">Projet de révision de la Recommandation </w:t>
      </w:r>
      <w:r w:rsidRPr="00697481">
        <w:rPr>
          <w:rFonts w:asciiTheme="minorHAnsi" w:hAnsiTheme="minorHAnsi" w:cstheme="minorHAnsi"/>
          <w:szCs w:val="24"/>
          <w:u w:val="single"/>
          <w:lang w:val="fr-CH"/>
        </w:rPr>
        <w:t>UIT-R TF.1153-3</w:t>
      </w:r>
      <w:r w:rsidRPr="00697481">
        <w:rPr>
          <w:rFonts w:asciiTheme="minorHAnsi" w:hAnsiTheme="minorHAnsi" w:cstheme="minorHAnsi"/>
          <w:szCs w:val="24"/>
          <w:lang w:val="fr-CH"/>
        </w:rPr>
        <w:tab/>
        <w:t>Doc. 7/120(Rév.1)</w:t>
      </w:r>
    </w:p>
    <w:p w:rsidR="00F12CA5" w:rsidRPr="00697481" w:rsidRDefault="00F12CA5" w:rsidP="00F12CA5">
      <w:pPr>
        <w:pStyle w:val="Rectitle"/>
        <w:rPr>
          <w:lang w:val="fr-CH"/>
        </w:rPr>
      </w:pPr>
      <w:r w:rsidRPr="00697481">
        <w:rPr>
          <w:lang w:val="fr-CH"/>
        </w:rPr>
        <w:t>Utilisation opérationnelle du transfert bidirectionnel de signaux horaires et de fréquences étalon par satellite au moyen de codes de pseudo-bruit</w:t>
      </w:r>
    </w:p>
    <w:p w:rsidR="00F12CA5" w:rsidRPr="00697481" w:rsidRDefault="00F12CA5" w:rsidP="00AA11C9">
      <w:pPr>
        <w:spacing w:before="36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Cette mise à jour a pour objet d'adapter le </w:t>
      </w:r>
      <w:r w:rsidRPr="00697481">
        <w:rPr>
          <w:szCs w:val="24"/>
          <w:lang w:val="fr-CH"/>
        </w:rPr>
        <w:t xml:space="preserve">document </w:t>
      </w:r>
      <w:r>
        <w:rPr>
          <w:szCs w:val="24"/>
          <w:lang w:val="fr-CH"/>
        </w:rPr>
        <w:t xml:space="preserve">à la demande d'une plus grande précision de transfert des signaux horaires, en </w:t>
      </w:r>
      <w:r w:rsidRPr="00697481">
        <w:rPr>
          <w:szCs w:val="24"/>
          <w:lang w:val="fr-CH"/>
        </w:rPr>
        <w:t>propos</w:t>
      </w:r>
      <w:r>
        <w:rPr>
          <w:szCs w:val="24"/>
          <w:lang w:val="fr-CH"/>
        </w:rPr>
        <w:t xml:space="preserve">ant d'utiliser des </w:t>
      </w:r>
      <w:r w:rsidRPr="00697481">
        <w:rPr>
          <w:szCs w:val="24"/>
          <w:lang w:val="fr-CH"/>
        </w:rPr>
        <w:t xml:space="preserve">relations </w:t>
      </w:r>
      <w:r>
        <w:rPr>
          <w:szCs w:val="24"/>
          <w:lang w:val="fr-CH"/>
        </w:rPr>
        <w:t xml:space="preserve">plus précises pour calculer les termes de </w:t>
      </w:r>
      <w:r w:rsidRPr="00697481">
        <w:rPr>
          <w:szCs w:val="24"/>
          <w:lang w:val="fr-CH"/>
        </w:rPr>
        <w:t xml:space="preserve">correction </w:t>
      </w:r>
      <w:r>
        <w:rPr>
          <w:szCs w:val="24"/>
          <w:lang w:val="fr-CH"/>
        </w:rPr>
        <w:t xml:space="preserve">lors de l'évaluation des données </w:t>
      </w:r>
      <w:r w:rsidRPr="00697481">
        <w:rPr>
          <w:szCs w:val="24"/>
          <w:lang w:val="fr-CH"/>
        </w:rPr>
        <w:t>TWSTFT.</w:t>
      </w:r>
    </w:p>
    <w:p w:rsidR="00F12CA5" w:rsidRPr="009B486D" w:rsidRDefault="00F12CA5" w:rsidP="00F12CA5">
      <w:pPr>
        <w:spacing w:line="240" w:lineRule="auto"/>
        <w:rPr>
          <w:sz w:val="2"/>
          <w:szCs w:val="2"/>
          <w:lang w:val="fr-CH"/>
        </w:rPr>
      </w:pPr>
    </w:p>
    <w:p w:rsidR="00F12CA5" w:rsidRPr="00697481" w:rsidRDefault="00F12CA5" w:rsidP="00D8376A">
      <w:pPr>
        <w:pStyle w:val="AnnexNoTitle"/>
        <w:spacing w:before="480" w:after="360" w:line="240" w:lineRule="auto"/>
        <w:rPr>
          <w:rFonts w:asciiTheme="minorHAnsi" w:hAnsiTheme="minorHAnsi" w:cstheme="minorHAnsi"/>
          <w:b w:val="0"/>
          <w:bCs/>
          <w:sz w:val="28"/>
          <w:szCs w:val="28"/>
          <w:lang w:val="fr-CH"/>
        </w:rPr>
      </w:pPr>
      <w:r w:rsidRPr="00697481">
        <w:rPr>
          <w:sz w:val="28"/>
          <w:szCs w:val="28"/>
          <w:lang w:val="fr-CH"/>
        </w:rPr>
        <w:t>Annexe 2</w:t>
      </w:r>
      <w:r>
        <w:rPr>
          <w:sz w:val="28"/>
          <w:szCs w:val="28"/>
          <w:lang w:val="fr-CH"/>
        </w:rPr>
        <w:br/>
      </w:r>
      <w:r>
        <w:rPr>
          <w:sz w:val="28"/>
          <w:szCs w:val="28"/>
          <w:lang w:val="fr-CH"/>
        </w:rPr>
        <w:br/>
      </w:r>
      <w:r w:rsidRPr="00697481">
        <w:rPr>
          <w:rFonts w:asciiTheme="minorHAnsi" w:hAnsiTheme="minorHAnsi" w:cstheme="minorHAnsi"/>
          <w:bCs/>
          <w:sz w:val="28"/>
          <w:szCs w:val="28"/>
          <w:lang w:val="fr-CH"/>
        </w:rPr>
        <w:t>Question dont la suppression est proposée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841"/>
      </w:tblGrid>
      <w:tr w:rsidR="00F12CA5" w:rsidRPr="00697481" w:rsidTr="001D7B50">
        <w:tc>
          <w:tcPr>
            <w:tcW w:w="1788" w:type="dxa"/>
          </w:tcPr>
          <w:p w:rsidR="00F12CA5" w:rsidRPr="00697481" w:rsidRDefault="00F12CA5" w:rsidP="001D7B50">
            <w:pPr>
              <w:spacing w:line="240" w:lineRule="auto"/>
              <w:jc w:val="center"/>
              <w:rPr>
                <w:b/>
                <w:bCs/>
                <w:lang w:val="fr-CH"/>
              </w:rPr>
            </w:pPr>
            <w:r w:rsidRPr="00697481">
              <w:rPr>
                <w:b/>
                <w:bCs/>
                <w:lang w:val="fr-CH"/>
              </w:rPr>
              <w:t>Question N°</w:t>
            </w:r>
          </w:p>
        </w:tc>
        <w:tc>
          <w:tcPr>
            <w:tcW w:w="7841" w:type="dxa"/>
          </w:tcPr>
          <w:p w:rsidR="00F12CA5" w:rsidRPr="00697481" w:rsidRDefault="00F12CA5" w:rsidP="001D7B50">
            <w:pPr>
              <w:spacing w:line="240" w:lineRule="auto"/>
              <w:jc w:val="center"/>
              <w:rPr>
                <w:b/>
                <w:bCs/>
                <w:lang w:val="fr-CH"/>
              </w:rPr>
            </w:pPr>
            <w:r w:rsidRPr="00697481">
              <w:rPr>
                <w:b/>
                <w:bCs/>
                <w:lang w:val="fr-CH"/>
              </w:rPr>
              <w:t>Titre</w:t>
            </w:r>
          </w:p>
        </w:tc>
      </w:tr>
      <w:tr w:rsidR="00F12CA5" w:rsidRPr="001D7AFE" w:rsidTr="001D7B50">
        <w:tc>
          <w:tcPr>
            <w:tcW w:w="1788" w:type="dxa"/>
          </w:tcPr>
          <w:p w:rsidR="00F12CA5" w:rsidRPr="00697481" w:rsidRDefault="00F12CA5" w:rsidP="001D7B50">
            <w:pPr>
              <w:spacing w:line="240" w:lineRule="auto"/>
              <w:jc w:val="center"/>
              <w:rPr>
                <w:lang w:val="fr-CH"/>
              </w:rPr>
            </w:pPr>
            <w:r w:rsidRPr="00697481">
              <w:rPr>
                <w:lang w:val="fr-CH"/>
              </w:rPr>
              <w:t>149-1/7</w:t>
            </w:r>
          </w:p>
        </w:tc>
        <w:tc>
          <w:tcPr>
            <w:tcW w:w="7841" w:type="dxa"/>
          </w:tcPr>
          <w:p w:rsidR="00F12CA5" w:rsidRPr="00697481" w:rsidRDefault="00F12CA5" w:rsidP="001D7B50">
            <w:pPr>
              <w:spacing w:line="240" w:lineRule="auto"/>
              <w:rPr>
                <w:lang w:val="fr-CH"/>
              </w:rPr>
            </w:pPr>
            <w:r w:rsidRPr="00697481">
              <w:rPr>
                <w:color w:val="000000"/>
                <w:lang w:val="fr-CH"/>
              </w:rPr>
              <w:t>Utilisation des fréquences sur la face cachée de la Lune</w:t>
            </w:r>
          </w:p>
        </w:tc>
      </w:tr>
    </w:tbl>
    <w:p w:rsidR="00440117" w:rsidRPr="00440117" w:rsidRDefault="00F12CA5" w:rsidP="00F12CA5">
      <w:pPr>
        <w:pStyle w:val="AnnexNotitle0"/>
        <w:rPr>
          <w:rFonts w:asciiTheme="minorHAnsi" w:hAnsiTheme="minorHAnsi"/>
          <w:lang w:val="fr-CH"/>
        </w:rPr>
      </w:pPr>
      <w:r w:rsidRPr="00697481">
        <w:rPr>
          <w:lang w:val="fr-CH"/>
        </w:rPr>
        <w:t>______________</w:t>
      </w:r>
    </w:p>
    <w:sectPr w:rsidR="00440117" w:rsidRPr="00440117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0C" w:rsidRDefault="00E15A0C">
      <w:r>
        <w:separator/>
      </w:r>
    </w:p>
  </w:endnote>
  <w:endnote w:type="continuationSeparator" w:id="0">
    <w:p w:rsidR="00E15A0C" w:rsidRDefault="00E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A5" w:rsidRDefault="00F12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A5" w:rsidRDefault="00F12C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0C" w:rsidRDefault="00E15A0C">
      <w:r>
        <w:t>____________________</w:t>
      </w:r>
    </w:p>
  </w:footnote>
  <w:footnote w:type="continuationSeparator" w:id="0">
    <w:p w:rsidR="00E15A0C" w:rsidRDefault="00E1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F12CA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A11C9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40117" w:rsidRDefault="00E915AF">
    <w:pPr>
      <w:pStyle w:val="Header"/>
      <w:rPr>
        <w:sz w:val="18"/>
        <w:szCs w:val="18"/>
      </w:rPr>
    </w:pPr>
    <w:r>
      <w:tab/>
    </w:r>
    <w:r>
      <w:tab/>
    </w:r>
    <w:r w:rsidR="00440117" w:rsidRPr="00440117">
      <w:rPr>
        <w:sz w:val="18"/>
        <w:szCs w:val="18"/>
      </w:rPr>
      <w:t xml:space="preserve">- </w:t>
    </w:r>
    <w:r w:rsidR="001B42C9" w:rsidRPr="00440117">
      <w:rPr>
        <w:sz w:val="18"/>
        <w:szCs w:val="18"/>
      </w:rPr>
      <w:fldChar w:fldCharType="begin"/>
    </w:r>
    <w:r w:rsidRPr="00440117">
      <w:rPr>
        <w:sz w:val="18"/>
        <w:szCs w:val="18"/>
      </w:rPr>
      <w:instrText xml:space="preserve"> PAGE  \* MERGEFORMAT </w:instrText>
    </w:r>
    <w:r w:rsidR="001B42C9" w:rsidRPr="00440117">
      <w:rPr>
        <w:sz w:val="18"/>
        <w:szCs w:val="18"/>
      </w:rPr>
      <w:fldChar w:fldCharType="separate"/>
    </w:r>
    <w:r w:rsidR="00AA11C9">
      <w:rPr>
        <w:noProof/>
        <w:sz w:val="18"/>
        <w:szCs w:val="18"/>
      </w:rPr>
      <w:t>3</w:t>
    </w:r>
    <w:r w:rsidR="001B42C9" w:rsidRPr="00440117">
      <w:rPr>
        <w:sz w:val="18"/>
        <w:szCs w:val="18"/>
      </w:rPr>
      <w:fldChar w:fldCharType="end"/>
    </w:r>
    <w:r w:rsidR="00440117" w:rsidRPr="00440117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15A0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37AF"/>
    <w:rsid w:val="001B351B"/>
    <w:rsid w:val="001B42C9"/>
    <w:rsid w:val="001C06DB"/>
    <w:rsid w:val="001C6971"/>
    <w:rsid w:val="001D2785"/>
    <w:rsid w:val="001D7070"/>
    <w:rsid w:val="001D7AFE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380F"/>
    <w:rsid w:val="003666FF"/>
    <w:rsid w:val="0037309C"/>
    <w:rsid w:val="00380A6E"/>
    <w:rsid w:val="003836D4"/>
    <w:rsid w:val="00387AE4"/>
    <w:rsid w:val="003939AB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0286"/>
    <w:rsid w:val="003E504F"/>
    <w:rsid w:val="003E6F73"/>
    <w:rsid w:val="003E78D6"/>
    <w:rsid w:val="003F5342"/>
    <w:rsid w:val="00400573"/>
    <w:rsid w:val="004007A3"/>
    <w:rsid w:val="00406D71"/>
    <w:rsid w:val="00411CB3"/>
    <w:rsid w:val="004228FA"/>
    <w:rsid w:val="004326DB"/>
    <w:rsid w:val="0043682E"/>
    <w:rsid w:val="0044011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143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5E42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A11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44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97C77"/>
    <w:rsid w:val="00AA11C9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722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77C45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376A"/>
    <w:rsid w:val="00D87E20"/>
    <w:rsid w:val="00DA4037"/>
    <w:rsid w:val="00DB530F"/>
    <w:rsid w:val="00DE66A5"/>
    <w:rsid w:val="00DF2B50"/>
    <w:rsid w:val="00DF3D47"/>
    <w:rsid w:val="00E01059"/>
    <w:rsid w:val="00E04C86"/>
    <w:rsid w:val="00E15A0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2CA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76A4199-1656-4E32-BE7A-13998DA8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44011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40117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23A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F12CA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7-C-012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7-C-011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md/R12-SG07-C-0113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71303BBB9941CEA60D1365BFCB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DFC2-BDE7-4033-BDA9-6E6D071E03CF}"/>
      </w:docPartPr>
      <w:docPartBody>
        <w:p w:rsidR="009B0036" w:rsidRDefault="009B0036">
          <w:pPr>
            <w:pStyle w:val="6B71303BBB9941CEA60D1365BFCB409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36"/>
    <w:rsid w:val="009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71303BBB9941CEA60D1365BFCB409E">
    <w:name w:val="6B71303BBB9941CEA60D1365BFCB4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F96E-F2E3-4630-80BC-E3F3A82A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104</TotalTime>
  <Pages>3</Pages>
  <Words>799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16</cp:revision>
  <cp:lastPrinted>2015-06-04T12:25:00Z</cp:lastPrinted>
  <dcterms:created xsi:type="dcterms:W3CDTF">2015-06-01T14:00:00Z</dcterms:created>
  <dcterms:modified xsi:type="dcterms:W3CDTF">2015-06-04T13:49:00Z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