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A0706D" w:rsidP="00CC1CB7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proofErr w:type="spellStart"/>
            <w:r>
              <w:rPr>
                <w:b/>
                <w:bCs/>
                <w:lang w:val="en-GB" w:bidi="ar-SY"/>
              </w:rPr>
              <w:t>CA</w:t>
            </w:r>
            <w:r w:rsidR="00F52A42">
              <w:rPr>
                <w:b/>
                <w:bCs/>
                <w:lang w:val="en-GB" w:bidi="ar-SY"/>
              </w:rPr>
              <w:t>CE</w:t>
            </w:r>
            <w:proofErr w:type="spellEnd"/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F52A42">
              <w:rPr>
                <w:b/>
                <w:bCs/>
                <w:lang w:bidi="ar-SY"/>
              </w:rPr>
              <w:t>73</w:t>
            </w:r>
            <w:r w:rsidR="00CC1CB7">
              <w:rPr>
                <w:b/>
                <w:bCs/>
                <w:lang w:bidi="ar-SY"/>
              </w:rPr>
              <w:t>8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CC1CB7" w:rsidP="00BA08C3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10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BA08C3">
              <w:rPr>
                <w:rFonts w:hint="cs"/>
                <w:rtl/>
                <w:lang w:bidi="ar-SY"/>
              </w:rPr>
              <w:t>يوليو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BA08C3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 xml:space="preserve">إلى إدارات الدول الأعضاء في </w:t>
            </w:r>
            <w:proofErr w:type="spellStart"/>
            <w:r w:rsidRPr="00F36590">
              <w:rPr>
                <w:b/>
                <w:bCs/>
                <w:rtl/>
              </w:rPr>
              <w:t>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</w:t>
            </w:r>
            <w:proofErr w:type="spellEnd"/>
            <w:r w:rsidRPr="00F36590">
              <w:rPr>
                <w:b/>
                <w:bCs/>
                <w:rtl/>
              </w:rPr>
              <w:t xml:space="preserve">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6590">
              <w:rPr>
                <w:rFonts w:hint="cs"/>
                <w:b/>
                <w:bCs/>
                <w:rtl/>
              </w:rPr>
              <w:t>و</w:t>
            </w:r>
            <w:r w:rsidRPr="00F36590">
              <w:rPr>
                <w:b/>
                <w:bCs/>
                <w:rtl/>
              </w:rPr>
              <w:t>ال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منتسبين</w:t>
            </w:r>
            <w:proofErr w:type="spellEnd"/>
            <w:r w:rsidRPr="00F36590">
              <w:rPr>
                <w:b/>
                <w:bCs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BA08C3">
              <w:rPr>
                <w:b/>
                <w:bCs/>
                <w:lang w:val="en-GB" w:bidi="ar-SY"/>
              </w:rPr>
              <w:t>4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</w:p>
        </w:tc>
      </w:tr>
      <w:tr w:rsidR="00F36590" w:rsidRPr="00F36590" w:rsidTr="00E012DD">
        <w:trPr>
          <w:trHeight w:val="303"/>
        </w:trPr>
        <w:tc>
          <w:tcPr>
            <w:tcW w:w="5000" w:type="pct"/>
            <w:gridSpan w:val="3"/>
            <w:shd w:val="clear" w:color="auto" w:fill="auto"/>
          </w:tcPr>
          <w:p w:rsidR="00F36590" w:rsidRPr="00E012DD" w:rsidRDefault="00F36590" w:rsidP="003B65BD">
            <w:pPr>
              <w:spacing w:before="60" w:after="60" w:line="340" w:lineRule="exact"/>
              <w:rPr>
                <w:sz w:val="12"/>
                <w:szCs w:val="20"/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Default="00961B79" w:rsidP="00BA08C3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961B79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BA08C3">
              <w:rPr>
                <w:b/>
                <w:bCs/>
                <w:lang w:bidi="ar-SY"/>
              </w:rPr>
              <w:t>4</w:t>
            </w:r>
            <w:r w:rsidRPr="00961B79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961B79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BA08C3">
              <w:rPr>
                <w:rFonts w:hint="cs"/>
                <w:b/>
                <w:bCs/>
                <w:rtl/>
                <w:lang w:bidi="ar-EG"/>
              </w:rPr>
              <w:t xml:space="preserve">الخدمات </w:t>
            </w:r>
            <w:proofErr w:type="spellStart"/>
            <w:r w:rsidR="00BA08C3">
              <w:rPr>
                <w:rFonts w:hint="cs"/>
                <w:b/>
                <w:bCs/>
                <w:rtl/>
                <w:lang w:bidi="ar-EG"/>
              </w:rPr>
              <w:t>الساتلية</w:t>
            </w:r>
            <w:proofErr w:type="spellEnd"/>
            <w:r w:rsidRPr="00961B79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961B79" w:rsidRPr="00F36590" w:rsidRDefault="00B03043" w:rsidP="005819D2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961B79" w:rsidRPr="00961B79">
              <w:rPr>
                <w:b/>
                <w:bCs/>
                <w:rtl/>
                <w:lang w:bidi="ar-EG"/>
              </w:rPr>
              <w:tab/>
            </w:r>
            <w:r w:rsidR="00CC1CB7" w:rsidRPr="00CC1CB7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="00CC1CB7" w:rsidRPr="00CC1CB7">
              <w:rPr>
                <w:b/>
                <w:bCs/>
                <w:rtl/>
                <w:lang w:bidi="ar-EG"/>
              </w:rPr>
              <w:t>اعتماد</w:t>
            </w:r>
            <w:r w:rsidR="00CC1CB7" w:rsidRPr="00CC1CB7">
              <w:rPr>
                <w:rFonts w:hint="cs"/>
                <w:b/>
                <w:bCs/>
                <w:rtl/>
                <w:lang w:bidi="ar-EG"/>
              </w:rPr>
              <w:t xml:space="preserve"> مشروع توصية</w:t>
            </w:r>
            <w:r w:rsidR="00CC1CB7" w:rsidRPr="00CC1CB7">
              <w:rPr>
                <w:rFonts w:hint="cs"/>
                <w:b/>
                <w:bCs/>
                <w:rtl/>
              </w:rPr>
              <w:t xml:space="preserve"> جديدة </w:t>
            </w:r>
            <w:r w:rsidR="005819D2">
              <w:rPr>
                <w:rFonts w:hint="cs"/>
                <w:b/>
                <w:bCs/>
                <w:rtl/>
              </w:rPr>
              <w:t xml:space="preserve">واحدة </w:t>
            </w:r>
            <w:r w:rsidR="00CC1CB7" w:rsidRPr="00CC1CB7">
              <w:rPr>
                <w:rFonts w:hint="cs"/>
                <w:b/>
                <w:bCs/>
                <w:rtl/>
              </w:rPr>
              <w:t xml:space="preserve">لقطاع الاتصالات الراديوية </w:t>
            </w:r>
            <w:r w:rsidR="00CC1CB7" w:rsidRPr="00CC1CB7">
              <w:rPr>
                <w:rFonts w:hint="cs"/>
                <w:b/>
                <w:bCs/>
                <w:rtl/>
                <w:lang w:bidi="ar-EG"/>
              </w:rPr>
              <w:t>عن طريق المراسلة</w:t>
            </w:r>
          </w:p>
        </w:tc>
      </w:tr>
      <w:tr w:rsidR="003403A3" w:rsidRPr="00F36590" w:rsidTr="00B03043">
        <w:tc>
          <w:tcPr>
            <w:tcW w:w="699" w:type="pct"/>
            <w:shd w:val="clear" w:color="auto" w:fill="auto"/>
          </w:tcPr>
          <w:p w:rsidR="003403A3" w:rsidRPr="003403A3" w:rsidRDefault="003403A3" w:rsidP="00B03043">
            <w:pPr>
              <w:spacing w:before="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403A3" w:rsidRDefault="003403A3" w:rsidP="00B03043">
            <w:pPr>
              <w:spacing w:before="0" w:line="340" w:lineRule="exact"/>
              <w:rPr>
                <w:rtl/>
                <w:lang w:bidi="ar-SY"/>
              </w:rPr>
            </w:pPr>
          </w:p>
        </w:tc>
      </w:tr>
    </w:tbl>
    <w:p w:rsidR="00402DF8" w:rsidRDefault="00402DF8" w:rsidP="00B03043">
      <w:pPr>
        <w:rPr>
          <w:rtl/>
          <w:lang w:bidi="ar-EG"/>
        </w:rPr>
      </w:pPr>
    </w:p>
    <w:p w:rsidR="003549F8" w:rsidRDefault="003549F8" w:rsidP="00B03043">
      <w:pPr>
        <w:rPr>
          <w:rtl/>
          <w:lang w:bidi="ar-EG"/>
        </w:rPr>
      </w:pPr>
    </w:p>
    <w:p w:rsidR="00FF6D40" w:rsidRDefault="00FF6D40" w:rsidP="00B03043">
      <w:pPr>
        <w:rPr>
          <w:rtl/>
          <w:lang w:bidi="ar-EG"/>
        </w:rPr>
      </w:pPr>
    </w:p>
    <w:p w:rsidR="00961B79" w:rsidRDefault="00961B79" w:rsidP="00B03043">
      <w:pPr>
        <w:rPr>
          <w:rtl/>
          <w:lang w:bidi="ar-EG"/>
        </w:rPr>
      </w:pPr>
      <w:r>
        <w:rPr>
          <w:rFonts w:hint="cs"/>
          <w:rtl/>
          <w:lang w:bidi="ar-EG"/>
        </w:rPr>
        <w:t>تحية طيبة وبعد،</w:t>
      </w:r>
    </w:p>
    <w:p w:rsidR="00FF6D40" w:rsidRPr="00FF6D40" w:rsidRDefault="00FF6D40" w:rsidP="008A4850">
      <w:pPr>
        <w:rPr>
          <w:rtl/>
        </w:rPr>
      </w:pPr>
      <w:r w:rsidRPr="00FF6D40">
        <w:rPr>
          <w:rtl/>
          <w:lang w:bidi="ar-EG"/>
        </w:rPr>
        <w:t>قررت لجنة الدراسات</w:t>
      </w:r>
      <w:r w:rsidRPr="00FF6D40">
        <w:rPr>
          <w:rFonts w:hint="cs"/>
          <w:rtl/>
          <w:lang w:bidi="ar-EG"/>
        </w:rPr>
        <w:t> </w:t>
      </w:r>
      <w:r w:rsidRPr="00FF6D40">
        <w:rPr>
          <w:lang w:val="en-GB" w:bidi="ar-EG"/>
        </w:rPr>
        <w:t>4</w:t>
      </w:r>
      <w:r w:rsidRPr="00FF6D40">
        <w:rPr>
          <w:rtl/>
          <w:lang w:bidi="ar-EG"/>
        </w:rPr>
        <w:t xml:space="preserve"> للاتصالات الراديوية في اجتماعها المنعقد </w:t>
      </w:r>
      <w:r w:rsidRPr="00FF6D40">
        <w:rPr>
          <w:rFonts w:hint="cs"/>
          <w:rtl/>
          <w:lang w:bidi="ar-EG"/>
        </w:rPr>
        <w:t xml:space="preserve">في </w:t>
      </w:r>
      <w:r w:rsidRPr="00FF6D40">
        <w:rPr>
          <w:lang w:bidi="ar-EG"/>
        </w:rPr>
        <w:t>26</w:t>
      </w:r>
      <w:r w:rsidRPr="00FF6D40">
        <w:rPr>
          <w:rFonts w:hint="cs"/>
          <w:rtl/>
          <w:lang w:bidi="ar-EG"/>
        </w:rPr>
        <w:t xml:space="preserve"> يونيو</w:t>
      </w:r>
      <w:r w:rsidRPr="00FF6D40">
        <w:rPr>
          <w:rFonts w:hint="eastAsia"/>
          <w:rtl/>
          <w:lang w:bidi="ar-EG"/>
        </w:rPr>
        <w:t> </w:t>
      </w:r>
      <w:r w:rsidRPr="00FF6D40">
        <w:rPr>
          <w:lang w:bidi="ar-EG"/>
        </w:rPr>
        <w:t>2015</w:t>
      </w:r>
      <w:r w:rsidRPr="00FF6D40">
        <w:rPr>
          <w:rtl/>
          <w:lang w:bidi="ar-EG"/>
        </w:rPr>
        <w:t xml:space="preserve"> أن تلتمس اعتماد </w:t>
      </w:r>
      <w:r w:rsidRPr="00FF6D40">
        <w:rPr>
          <w:rFonts w:hint="cs"/>
          <w:rtl/>
          <w:lang w:bidi="ar-EG"/>
        </w:rPr>
        <w:t>مشروع توصية جديدة</w:t>
      </w:r>
      <w:r w:rsidR="008A4850">
        <w:rPr>
          <w:rFonts w:hint="cs"/>
          <w:rtl/>
          <w:lang w:bidi="ar-EG"/>
        </w:rPr>
        <w:t xml:space="preserve"> واحدة</w:t>
      </w:r>
      <w:r w:rsidRPr="00FF6D40">
        <w:rPr>
          <w:rFonts w:hint="cs"/>
          <w:rtl/>
          <w:lang w:bidi="ar-EG"/>
        </w:rPr>
        <w:t xml:space="preserve"> لقطاع الاتصالات الراديوية وفقاً ل</w:t>
      </w:r>
      <w:r w:rsidRPr="00FF6D40">
        <w:rPr>
          <w:rtl/>
          <w:lang w:bidi="ar-EG"/>
        </w:rPr>
        <w:t>لفقرة</w:t>
      </w:r>
      <w:r w:rsidRPr="00FF6D40">
        <w:rPr>
          <w:rFonts w:hint="eastAsia"/>
          <w:rtl/>
          <w:lang w:bidi="ar-EG"/>
        </w:rPr>
        <w:t> </w:t>
      </w:r>
      <w:r w:rsidRPr="00FF6D40">
        <w:rPr>
          <w:lang w:bidi="ar-EG"/>
        </w:rPr>
        <w:t>3.2.10</w:t>
      </w:r>
      <w:r w:rsidRPr="00FF6D40">
        <w:rPr>
          <w:rtl/>
          <w:lang w:bidi="ar-EG"/>
        </w:rPr>
        <w:t xml:space="preserve"> من القرار</w:t>
      </w:r>
      <w:r w:rsidRPr="00FF6D40">
        <w:rPr>
          <w:rFonts w:hint="eastAsia"/>
          <w:rtl/>
          <w:lang w:bidi="ar-EG"/>
        </w:rPr>
        <w:t> </w:t>
      </w:r>
      <w:r w:rsidRPr="00FF6D40">
        <w:rPr>
          <w:lang w:bidi="ar-EG"/>
        </w:rPr>
        <w:t>ITU</w:t>
      </w:r>
      <w:r w:rsidRPr="00FF6D40">
        <w:rPr>
          <w:lang w:bidi="ar-EG"/>
        </w:rPr>
        <w:noBreakHyphen/>
        <w:t>R 1</w:t>
      </w:r>
      <w:r w:rsidRPr="00FF6D40">
        <w:rPr>
          <w:lang w:bidi="ar-EG"/>
        </w:rPr>
        <w:noBreakHyphen/>
        <w:t>6</w:t>
      </w:r>
      <w:r w:rsidRPr="00FF6D40">
        <w:rPr>
          <w:rtl/>
          <w:lang w:bidi="ar-EG"/>
        </w:rPr>
        <w:t xml:space="preserve"> </w:t>
      </w:r>
      <w:r w:rsidRPr="00FF6D40">
        <w:rPr>
          <w:rFonts w:hint="cs"/>
          <w:rtl/>
          <w:lang w:bidi="ar-EG"/>
        </w:rPr>
        <w:t xml:space="preserve">(اعتماد عن طريق المراسلة من جانب لجنة الدراسات). ويرد في الملحق عنوان مشروع التوصية وملخصها. </w:t>
      </w:r>
    </w:p>
    <w:p w:rsidR="00FF6D40" w:rsidRPr="00FF6D40" w:rsidRDefault="00FF6D40" w:rsidP="00FF6D40">
      <w:pPr>
        <w:rPr>
          <w:rtl/>
          <w:lang w:bidi="ar-EG"/>
        </w:rPr>
      </w:pPr>
      <w:r w:rsidRPr="00FF6D40">
        <w:rPr>
          <w:rtl/>
          <w:lang w:bidi="ar-EG"/>
        </w:rPr>
        <w:t xml:space="preserve">وتمتد فترة النظر </w:t>
      </w:r>
      <w:r w:rsidRPr="00FF6D40">
        <w:rPr>
          <w:rFonts w:hint="cs"/>
          <w:rtl/>
          <w:lang w:bidi="ar-EG"/>
        </w:rPr>
        <w:t xml:space="preserve">لمدة شهرين </w:t>
      </w:r>
      <w:r w:rsidRPr="00FF6D40">
        <w:rPr>
          <w:rtl/>
          <w:lang w:bidi="ar-EG"/>
        </w:rPr>
        <w:t>تنتهي في</w:t>
      </w:r>
      <w:r w:rsidRPr="00FF6D40">
        <w:rPr>
          <w:rFonts w:hint="cs"/>
          <w:rtl/>
          <w:lang w:bidi="ar-EG"/>
        </w:rPr>
        <w:t xml:space="preserve"> </w:t>
      </w:r>
      <w:r w:rsidRPr="00FF6D40">
        <w:rPr>
          <w:u w:val="single"/>
          <w:lang w:bidi="ar-EG"/>
        </w:rPr>
        <w:t>10</w:t>
      </w:r>
      <w:r w:rsidRPr="00FF6D40">
        <w:rPr>
          <w:rFonts w:hint="cs"/>
          <w:u w:val="single"/>
          <w:rtl/>
          <w:lang w:bidi="ar-EG"/>
        </w:rPr>
        <w:t xml:space="preserve"> سبتمبر </w:t>
      </w:r>
      <w:r w:rsidRPr="00FF6D40">
        <w:rPr>
          <w:u w:val="single"/>
          <w:lang w:bidi="ar-EG"/>
        </w:rPr>
        <w:t>2015</w:t>
      </w:r>
      <w:r w:rsidRPr="00FF6D40">
        <w:rPr>
          <w:rtl/>
          <w:lang w:bidi="ar-EG"/>
        </w:rPr>
        <w:t>. وإذا لم ترد أي اعتراضات من الدول الأعضاء خلال هذه الفترة</w:t>
      </w:r>
      <w:r w:rsidRPr="00FF6D40">
        <w:rPr>
          <w:rFonts w:hint="cs"/>
          <w:rtl/>
          <w:lang w:bidi="ar-EG"/>
        </w:rPr>
        <w:t xml:space="preserve">، عندئذ يشرع في إجراء الموافقة بالتشاور المنصوص عليه في الفقرة </w:t>
      </w:r>
      <w:r w:rsidRPr="00FF6D40">
        <w:rPr>
          <w:lang w:bidi="ar-EG"/>
        </w:rPr>
        <w:t>5.4.10</w:t>
      </w:r>
      <w:r w:rsidRPr="00FF6D40">
        <w:rPr>
          <w:rFonts w:hint="cs"/>
          <w:rtl/>
          <w:lang w:bidi="ar-EG"/>
        </w:rPr>
        <w:t xml:space="preserve"> من القرار </w:t>
      </w:r>
      <w:r w:rsidRPr="00FF6D40">
        <w:rPr>
          <w:lang w:bidi="ar-EG"/>
        </w:rPr>
        <w:t>ITU-R 1-6</w:t>
      </w:r>
      <w:r w:rsidRPr="00FF6D40">
        <w:rPr>
          <w:rFonts w:hint="cs"/>
          <w:rtl/>
          <w:lang w:bidi="ar-EG"/>
        </w:rPr>
        <w:t>.</w:t>
      </w:r>
    </w:p>
    <w:p w:rsidR="00FF6D40" w:rsidRPr="00FF6D40" w:rsidRDefault="00FF6D40" w:rsidP="00FF6D40">
      <w:pPr>
        <w:rPr>
          <w:rtl/>
          <w:lang w:bidi="ar-EG"/>
        </w:rPr>
      </w:pPr>
      <w:r w:rsidRPr="00FF6D40">
        <w:rPr>
          <w:rFonts w:hint="cs"/>
          <w:rtl/>
          <w:lang w:bidi="ar-EG"/>
        </w:rPr>
        <w:t>ويرجى من أي دولة عضو تعترض على اعتماد مشروع التوصية أن تخبر المدير ورئيس لجنة الدراسات بأسباب</w:t>
      </w:r>
      <w:r w:rsidRPr="00FF6D40">
        <w:rPr>
          <w:rFonts w:hint="eastAsia"/>
          <w:rtl/>
          <w:lang w:bidi="ar-EG"/>
        </w:rPr>
        <w:t> </w:t>
      </w:r>
      <w:r w:rsidRPr="00FF6D40">
        <w:rPr>
          <w:rFonts w:hint="cs"/>
          <w:rtl/>
          <w:lang w:bidi="ar-EG"/>
        </w:rPr>
        <w:t>اعتراضها.</w:t>
      </w:r>
    </w:p>
    <w:p w:rsidR="008A1DA1" w:rsidRPr="00FF6D40" w:rsidRDefault="00FF6D40" w:rsidP="008A4850">
      <w:pPr>
        <w:keepNext/>
        <w:keepLines/>
        <w:rPr>
          <w:spacing w:val="-4"/>
          <w:rtl/>
          <w:lang w:bidi="ar-EG"/>
        </w:rPr>
      </w:pPr>
      <w:r w:rsidRPr="00FF6D40">
        <w:rPr>
          <w:spacing w:val="-4"/>
          <w:rtl/>
          <w:lang w:bidi="ar-EG"/>
        </w:rPr>
        <w:lastRenderedPageBreak/>
        <w:t>ويرجى من أي منظمة عضو في الاتحاد تعلم بوجود براءة اختراع لديها أو لدى غيرها تغطي كلياً أو جزئياً بعض عناصر</w:t>
      </w:r>
      <w:r w:rsidR="008A4850">
        <w:rPr>
          <w:rFonts w:hint="cs"/>
          <w:spacing w:val="-4"/>
          <w:rtl/>
          <w:lang w:bidi="ar-EG"/>
        </w:rPr>
        <w:t xml:space="preserve"> مشروع</w:t>
      </w:r>
      <w:r w:rsidRPr="00FF6D40">
        <w:rPr>
          <w:spacing w:val="-4"/>
          <w:rtl/>
          <w:lang w:bidi="ar-EG"/>
        </w:rPr>
        <w:t xml:space="preserve"> </w:t>
      </w:r>
      <w:r w:rsidR="008A4850">
        <w:rPr>
          <w:rFonts w:hint="cs"/>
          <w:spacing w:val="-4"/>
          <w:rtl/>
          <w:lang w:bidi="ar-EG"/>
        </w:rPr>
        <w:t>(</w:t>
      </w:r>
      <w:r w:rsidRPr="00FF6D40">
        <w:rPr>
          <w:spacing w:val="-4"/>
          <w:rtl/>
          <w:lang w:bidi="ar-EG"/>
        </w:rPr>
        <w:t>مشاريع</w:t>
      </w:r>
      <w:r w:rsidR="008A4850">
        <w:rPr>
          <w:rFonts w:hint="cs"/>
          <w:spacing w:val="-4"/>
          <w:rtl/>
          <w:lang w:bidi="ar-EG"/>
        </w:rPr>
        <w:t>) التوصية</w:t>
      </w:r>
      <w:r w:rsidRPr="00FF6D40">
        <w:rPr>
          <w:spacing w:val="-4"/>
          <w:rtl/>
          <w:lang w:bidi="ar-EG"/>
        </w:rPr>
        <w:t xml:space="preserve"> </w:t>
      </w:r>
      <w:r w:rsidR="008A4850">
        <w:rPr>
          <w:rFonts w:hint="cs"/>
          <w:spacing w:val="-4"/>
          <w:rtl/>
          <w:lang w:bidi="ar-EG"/>
        </w:rPr>
        <w:t>(</w:t>
      </w:r>
      <w:r w:rsidRPr="00FF6D40">
        <w:rPr>
          <w:spacing w:val="-4"/>
          <w:rtl/>
          <w:lang w:bidi="ar-EG"/>
        </w:rPr>
        <w:t>التوصيات</w:t>
      </w:r>
      <w:r w:rsidR="008A4850">
        <w:rPr>
          <w:rFonts w:hint="cs"/>
          <w:spacing w:val="-4"/>
          <w:rtl/>
          <w:lang w:bidi="ar-EG"/>
        </w:rPr>
        <w:t>)</w:t>
      </w:r>
      <w:r w:rsidRPr="00FF6D40">
        <w:rPr>
          <w:spacing w:val="-4"/>
          <w:rtl/>
          <w:lang w:bidi="ar-EG"/>
        </w:rPr>
        <w:t xml:space="preserve"> المذكورة في هذه الرسالة أو أحدها أن تبلغ الأمانة بهذه المعلومات بأسرع ما يمكن. ويمكن الاطلاع على السياسة المشتركة للبراءات </w:t>
      </w:r>
      <w:r w:rsidRPr="00FF6D40">
        <w:rPr>
          <w:spacing w:val="-4"/>
          <w:lang w:bidi="ar-EG"/>
        </w:rPr>
        <w:t>"ITU</w:t>
      </w:r>
      <w:r w:rsidRPr="00FF6D40">
        <w:rPr>
          <w:spacing w:val="-4"/>
          <w:lang w:bidi="ar-EG"/>
        </w:rPr>
        <w:noBreakHyphen/>
        <w:t>T/ITU</w:t>
      </w:r>
      <w:r w:rsidRPr="00FF6D40">
        <w:rPr>
          <w:spacing w:val="-4"/>
          <w:lang w:bidi="ar-EG"/>
        </w:rPr>
        <w:noBreakHyphen/>
        <w:t>R/ISO/</w:t>
      </w:r>
      <w:proofErr w:type="spellStart"/>
      <w:r w:rsidRPr="00FF6D40">
        <w:rPr>
          <w:spacing w:val="-4"/>
          <w:lang w:bidi="ar-EG"/>
        </w:rPr>
        <w:t>IEC</w:t>
      </w:r>
      <w:proofErr w:type="spellEnd"/>
      <w:r w:rsidRPr="00FF6D40">
        <w:rPr>
          <w:spacing w:val="-4"/>
          <w:lang w:bidi="ar-EG"/>
        </w:rPr>
        <w:t>"</w:t>
      </w:r>
      <w:r w:rsidRPr="00FF6D40">
        <w:rPr>
          <w:spacing w:val="-4"/>
          <w:rtl/>
          <w:lang w:bidi="ar-EG"/>
        </w:rPr>
        <w:t xml:space="preserve"> في الموقع </w:t>
      </w:r>
      <w:proofErr w:type="gramStart"/>
      <w:r w:rsidRPr="00FF6D40">
        <w:rPr>
          <w:spacing w:val="-4"/>
          <w:rtl/>
          <w:lang w:bidi="ar-EG"/>
        </w:rPr>
        <w:t>الإلكتروني</w:t>
      </w:r>
      <w:r w:rsidRPr="00FF6D40">
        <w:rPr>
          <w:rFonts w:hint="cs"/>
          <w:spacing w:val="-4"/>
          <w:rtl/>
          <w:lang w:bidi="ar-EG"/>
        </w:rPr>
        <w:t>:</w:t>
      </w:r>
      <w:r w:rsidR="008A4850">
        <w:rPr>
          <w:spacing w:val="-4"/>
          <w:rtl/>
          <w:lang w:bidi="ar-EG"/>
        </w:rPr>
        <w:tab/>
      </w:r>
      <w:proofErr w:type="gramEnd"/>
      <w:r w:rsidR="008A4850">
        <w:rPr>
          <w:spacing w:val="-4"/>
          <w:rtl/>
          <w:lang w:bidi="ar-EG"/>
        </w:rPr>
        <w:br/>
      </w:r>
      <w:hyperlink r:id="rId8" w:history="1">
        <w:r w:rsidR="008A4850" w:rsidRPr="005706D9">
          <w:rPr>
            <w:rStyle w:val="Hyperlink"/>
            <w:szCs w:val="24"/>
          </w:rPr>
          <w:t>http://</w:t>
        </w:r>
        <w:proofErr w:type="spellStart"/>
        <w:r w:rsidR="008A4850" w:rsidRPr="005706D9">
          <w:rPr>
            <w:rStyle w:val="Hyperlink"/>
            <w:szCs w:val="24"/>
          </w:rPr>
          <w:t>www.itu.int</w:t>
        </w:r>
        <w:proofErr w:type="spellEnd"/>
        <w:r w:rsidR="008A4850" w:rsidRPr="005706D9">
          <w:rPr>
            <w:rStyle w:val="Hyperlink"/>
            <w:szCs w:val="24"/>
          </w:rPr>
          <w:t>/</w:t>
        </w:r>
        <w:proofErr w:type="spellStart"/>
        <w:r w:rsidR="008A4850" w:rsidRPr="005706D9">
          <w:rPr>
            <w:rStyle w:val="Hyperlink"/>
            <w:szCs w:val="24"/>
          </w:rPr>
          <w:t>en</w:t>
        </w:r>
        <w:proofErr w:type="spellEnd"/>
        <w:r w:rsidR="008A4850" w:rsidRPr="005706D9">
          <w:rPr>
            <w:rStyle w:val="Hyperlink"/>
            <w:szCs w:val="24"/>
          </w:rPr>
          <w:t>/ITU-T/</w:t>
        </w:r>
        <w:proofErr w:type="spellStart"/>
        <w:r w:rsidR="008A4850" w:rsidRPr="005706D9">
          <w:rPr>
            <w:rStyle w:val="Hyperlink"/>
            <w:szCs w:val="24"/>
          </w:rPr>
          <w:t>ipr</w:t>
        </w:r>
        <w:proofErr w:type="spellEnd"/>
        <w:r w:rsidR="008A4850" w:rsidRPr="005706D9">
          <w:rPr>
            <w:rStyle w:val="Hyperlink"/>
            <w:szCs w:val="24"/>
          </w:rPr>
          <w:t>/Pages/</w:t>
        </w:r>
        <w:proofErr w:type="spellStart"/>
        <w:r w:rsidR="008A4850" w:rsidRPr="005706D9">
          <w:rPr>
            <w:rStyle w:val="Hyperlink"/>
            <w:szCs w:val="24"/>
          </w:rPr>
          <w:t>policy.aspx</w:t>
        </w:r>
        <w:proofErr w:type="spellEnd"/>
      </w:hyperlink>
      <w:r w:rsidRPr="00FF6D40">
        <w:rPr>
          <w:spacing w:val="-4"/>
          <w:rtl/>
          <w:lang w:bidi="ar-EG"/>
        </w:rPr>
        <w:t>.</w:t>
      </w:r>
    </w:p>
    <w:p w:rsidR="00961B79" w:rsidRDefault="00961B79" w:rsidP="00FF6D40">
      <w:pPr>
        <w:keepNext/>
        <w:keepLines/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E02604" w:rsidRDefault="00E02604" w:rsidP="00FF6D40">
      <w:pPr>
        <w:keepNext/>
        <w:keepLines/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رانسي</w:t>
      </w:r>
      <w:proofErr w:type="spellEnd"/>
      <w:r>
        <w:rPr>
          <w:rtl/>
        </w:rPr>
        <w:br/>
      </w:r>
      <w:r>
        <w:rPr>
          <w:rFonts w:hint="cs"/>
          <w:rtl/>
        </w:rPr>
        <w:t>المدير</w:t>
      </w:r>
    </w:p>
    <w:p w:rsidR="005C26B3" w:rsidRDefault="005C26B3" w:rsidP="00FF6D40">
      <w:pPr>
        <w:keepNext/>
        <w:keepLines/>
        <w:rPr>
          <w:b/>
          <w:bCs/>
          <w:rtl/>
          <w:lang w:bidi="ar-EG"/>
        </w:rPr>
      </w:pPr>
    </w:p>
    <w:p w:rsidR="005C26B3" w:rsidRDefault="005C26B3" w:rsidP="00FF6D40">
      <w:pPr>
        <w:keepNext/>
        <w:keepLines/>
        <w:rPr>
          <w:b/>
          <w:bCs/>
          <w:rtl/>
          <w:lang w:bidi="ar-EG"/>
        </w:rPr>
      </w:pPr>
    </w:p>
    <w:p w:rsidR="005C26B3" w:rsidRDefault="005C26B3" w:rsidP="00FF6D40">
      <w:pPr>
        <w:keepNext/>
        <w:keepLines/>
        <w:rPr>
          <w:b/>
          <w:bCs/>
          <w:rtl/>
          <w:lang w:bidi="ar-EG"/>
        </w:rPr>
      </w:pPr>
    </w:p>
    <w:p w:rsidR="00402DF8" w:rsidRPr="00402DF8" w:rsidRDefault="00402DF8" w:rsidP="00FF6D40">
      <w:pPr>
        <w:keepNext/>
        <w:keepLines/>
        <w:tabs>
          <w:tab w:val="clear" w:pos="794"/>
          <w:tab w:val="clear" w:pos="1361"/>
          <w:tab w:val="left" w:pos="1134"/>
        </w:tabs>
        <w:rPr>
          <w:b/>
          <w:bCs/>
          <w:rtl/>
          <w:lang w:bidi="ar-EG"/>
        </w:rPr>
      </w:pPr>
      <w:proofErr w:type="gramStart"/>
      <w:r w:rsidRPr="00402DF8">
        <w:rPr>
          <w:b/>
          <w:bCs/>
          <w:rtl/>
          <w:lang w:bidi="ar-EG"/>
        </w:rPr>
        <w:t>الملحق</w:t>
      </w:r>
      <w:r w:rsidR="00FF6D40">
        <w:rPr>
          <w:rFonts w:hint="cs"/>
          <w:b/>
          <w:bCs/>
          <w:rtl/>
          <w:lang w:bidi="ar-EG"/>
        </w:rPr>
        <w:t>:</w:t>
      </w:r>
      <w:r w:rsidRPr="00402DF8">
        <w:rPr>
          <w:rFonts w:hint="cs"/>
          <w:b/>
          <w:bCs/>
          <w:rtl/>
          <w:lang w:bidi="ar-EG"/>
        </w:rPr>
        <w:tab/>
      </w:r>
      <w:proofErr w:type="gramEnd"/>
      <w:r w:rsidR="00FF6D40">
        <w:rPr>
          <w:rFonts w:hint="cs"/>
          <w:rtl/>
          <w:lang w:bidi="ar-EG"/>
        </w:rPr>
        <w:t>عنوان مشروع التوصية وملخصها</w:t>
      </w:r>
    </w:p>
    <w:p w:rsidR="00402DF8" w:rsidRDefault="00FF6D40" w:rsidP="00FF6D40">
      <w:pPr>
        <w:tabs>
          <w:tab w:val="clear" w:pos="794"/>
          <w:tab w:val="clear" w:pos="1361"/>
          <w:tab w:val="left" w:pos="1275"/>
        </w:tabs>
        <w:spacing w:before="600"/>
        <w:ind w:left="1275" w:hanging="1275"/>
        <w:rPr>
          <w:rtl/>
        </w:rPr>
      </w:pPr>
      <w:r>
        <w:rPr>
          <w:rFonts w:hint="cs"/>
          <w:b/>
          <w:bCs/>
          <w:rtl/>
          <w:lang w:bidi="ar-EG"/>
        </w:rPr>
        <w:t>الوثيقة</w:t>
      </w:r>
      <w:r w:rsidR="00402DF8" w:rsidRPr="0097788B">
        <w:rPr>
          <w:b/>
          <w:bCs/>
          <w:rtl/>
          <w:lang w:bidi="ar-EG"/>
        </w:rPr>
        <w:t xml:space="preserve"> </w:t>
      </w:r>
      <w:proofErr w:type="gramStart"/>
      <w:r w:rsidR="00402DF8" w:rsidRPr="0097788B">
        <w:rPr>
          <w:b/>
          <w:bCs/>
          <w:rtl/>
          <w:lang w:bidi="ar-EG"/>
        </w:rPr>
        <w:t>المرفقة:</w:t>
      </w:r>
      <w:r w:rsidR="00402DF8" w:rsidRPr="00442301">
        <w:rPr>
          <w:rFonts w:hint="cs"/>
          <w:rtl/>
          <w:lang w:bidi="ar-EG"/>
        </w:rPr>
        <w:tab/>
      </w:r>
      <w:proofErr w:type="gramEnd"/>
      <w:r w:rsidRPr="00FF6D40">
        <w:rPr>
          <w:rFonts w:hint="cs"/>
          <w:rtl/>
        </w:rPr>
        <w:t xml:space="preserve">الوثيقة </w:t>
      </w:r>
      <w:hyperlink r:id="rId9" w:history="1">
        <w:r w:rsidRPr="00FF6D40">
          <w:rPr>
            <w:rStyle w:val="Hyperlink"/>
            <w:lang w:val="en-GB"/>
          </w:rPr>
          <w:t>4/101(</w:t>
        </w:r>
        <w:proofErr w:type="spellStart"/>
        <w:r w:rsidRPr="00FF6D40">
          <w:rPr>
            <w:rStyle w:val="Hyperlink"/>
            <w:lang w:val="en-GB"/>
          </w:rPr>
          <w:t>Rev.1</w:t>
        </w:r>
        <w:proofErr w:type="spellEnd"/>
        <w:r w:rsidRPr="00FF6D40">
          <w:rPr>
            <w:rStyle w:val="Hyperlink"/>
            <w:lang w:val="en-GB"/>
          </w:rPr>
          <w:t>)</w:t>
        </w:r>
      </w:hyperlink>
    </w:p>
    <w:p w:rsidR="00402DF8" w:rsidRPr="00005AD4" w:rsidRDefault="00402DF8" w:rsidP="002327F6">
      <w:pPr>
        <w:spacing w:before="240"/>
        <w:rPr>
          <w:rtl/>
        </w:rPr>
      </w:pPr>
      <w:r>
        <w:rPr>
          <w:rFonts w:hint="cs"/>
          <w:rtl/>
        </w:rPr>
        <w:t xml:space="preserve">تتاح هذه </w:t>
      </w:r>
      <w:r w:rsidR="002327F6">
        <w:rPr>
          <w:rFonts w:hint="cs"/>
          <w:rtl/>
        </w:rPr>
        <w:t>الوثيقة</w:t>
      </w:r>
      <w:r>
        <w:rPr>
          <w:rFonts w:hint="cs"/>
          <w:rtl/>
        </w:rPr>
        <w:t xml:space="preserve"> في نسق إلكتروني في الموقع التالي: </w:t>
      </w:r>
      <w:hyperlink r:id="rId10" w:history="1">
        <w:r w:rsidR="00005AD4" w:rsidRPr="00315B74">
          <w:rPr>
            <w:rStyle w:val="Hyperlink"/>
          </w:rPr>
          <w:t>http://</w:t>
        </w:r>
        <w:proofErr w:type="spellStart"/>
        <w:r w:rsidR="00005AD4" w:rsidRPr="00315B74">
          <w:rPr>
            <w:rStyle w:val="Hyperlink"/>
          </w:rPr>
          <w:t>www.itu.int</w:t>
        </w:r>
        <w:proofErr w:type="spellEnd"/>
        <w:r w:rsidR="00005AD4" w:rsidRPr="00315B74">
          <w:rPr>
            <w:rStyle w:val="Hyperlink"/>
          </w:rPr>
          <w:t>/md/</w:t>
        </w:r>
        <w:proofErr w:type="spellStart"/>
        <w:r w:rsidR="00005AD4" w:rsidRPr="00315B74">
          <w:rPr>
            <w:rStyle w:val="Hyperlink"/>
          </w:rPr>
          <w:t>R12</w:t>
        </w:r>
        <w:proofErr w:type="spellEnd"/>
        <w:r w:rsidR="00005AD4" w:rsidRPr="00315B74">
          <w:rPr>
            <w:rStyle w:val="Hyperlink"/>
          </w:rPr>
          <w:t>-</w:t>
        </w:r>
        <w:proofErr w:type="spellStart"/>
        <w:r w:rsidR="00005AD4" w:rsidRPr="00315B74">
          <w:rPr>
            <w:rStyle w:val="Hyperlink"/>
          </w:rPr>
          <w:t>sg04</w:t>
        </w:r>
        <w:proofErr w:type="spellEnd"/>
        <w:r w:rsidR="00005AD4" w:rsidRPr="00315B74">
          <w:rPr>
            <w:rStyle w:val="Hyperlink"/>
          </w:rPr>
          <w:t>-C/</w:t>
        </w:r>
        <w:proofErr w:type="spellStart"/>
        <w:r w:rsidR="00005AD4" w:rsidRPr="00315B74">
          <w:rPr>
            <w:rStyle w:val="Hyperlink"/>
          </w:rPr>
          <w:t>en</w:t>
        </w:r>
        <w:proofErr w:type="spellEnd"/>
      </w:hyperlink>
    </w:p>
    <w:p w:rsidR="00CB44AD" w:rsidRDefault="00CB44AD" w:rsidP="00402DF8">
      <w:pPr>
        <w:spacing w:before="240"/>
        <w:rPr>
          <w:rtl/>
        </w:rPr>
      </w:pPr>
    </w:p>
    <w:p w:rsidR="00CB44AD" w:rsidRDefault="00CB44AD" w:rsidP="00402DF8">
      <w:pPr>
        <w:spacing w:before="240"/>
        <w:rPr>
          <w:rtl/>
          <w:lang w:bidi="ar-EG"/>
        </w:rPr>
      </w:pPr>
    </w:p>
    <w:p w:rsidR="005C26B3" w:rsidRDefault="005C26B3" w:rsidP="00402DF8">
      <w:pPr>
        <w:spacing w:before="240"/>
        <w:rPr>
          <w:rtl/>
          <w:lang w:bidi="ar-EG"/>
        </w:rPr>
      </w:pPr>
    </w:p>
    <w:p w:rsidR="005C26B3" w:rsidRDefault="005C26B3" w:rsidP="00402DF8">
      <w:pPr>
        <w:spacing w:before="240"/>
        <w:rPr>
          <w:rtl/>
          <w:lang w:bidi="ar-EG"/>
        </w:rPr>
      </w:pPr>
    </w:p>
    <w:p w:rsidR="005C26B3" w:rsidRPr="00402DF8" w:rsidRDefault="005C26B3" w:rsidP="00402DF8">
      <w:pPr>
        <w:spacing w:before="240"/>
        <w:rPr>
          <w:rtl/>
          <w:lang w:bidi="ar-EG"/>
        </w:rPr>
      </w:pPr>
    </w:p>
    <w:p w:rsidR="00961B79" w:rsidRPr="00415359" w:rsidRDefault="00961B79" w:rsidP="00E012DD">
      <w:pPr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b/>
          <w:bCs/>
          <w:sz w:val="18"/>
          <w:szCs w:val="24"/>
          <w:rtl/>
          <w:lang w:bidi="ar-EG"/>
        </w:rPr>
        <w:t>التوزيع</w:t>
      </w:r>
      <w:r w:rsidRPr="00415359">
        <w:rPr>
          <w:sz w:val="18"/>
          <w:szCs w:val="24"/>
          <w:rtl/>
          <w:lang w:bidi="ar-EG"/>
        </w:rPr>
        <w:t>:</w:t>
      </w:r>
    </w:p>
    <w:p w:rsidR="00961B79" w:rsidRPr="00415359" w:rsidRDefault="00961B79" w:rsidP="003549F8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 w:rsidR="003549F8">
        <w:rPr>
          <w:sz w:val="18"/>
          <w:szCs w:val="24"/>
          <w:lang w:val="fr-CH" w:bidi="ar-EG"/>
        </w:rPr>
        <w:t>4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961B79" w:rsidRPr="00415359" w:rsidRDefault="00961B79" w:rsidP="003549F8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3549F8">
        <w:rPr>
          <w:sz w:val="18"/>
          <w:szCs w:val="24"/>
          <w:lang w:bidi="ar-EG"/>
        </w:rPr>
        <w:t>4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:rsidR="00961B79" w:rsidRPr="00415359" w:rsidRDefault="00961B79" w:rsidP="00961B79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961B79" w:rsidRPr="00415359" w:rsidRDefault="00961B79" w:rsidP="00961B79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رئيس الاجتماع التحضيري للمؤتمر ونوابه</w:t>
      </w:r>
    </w:p>
    <w:p w:rsidR="00961B79" w:rsidRPr="00415359" w:rsidRDefault="00961B79" w:rsidP="00961B79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أعضاء لجنة لوائح الراديو</w:t>
      </w:r>
    </w:p>
    <w:p w:rsidR="00961B79" w:rsidRDefault="00961B79" w:rsidP="00961B79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CB44AD" w:rsidRDefault="00CB44A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br w:type="page"/>
      </w:r>
    </w:p>
    <w:p w:rsidR="00961B79" w:rsidRDefault="00961B79" w:rsidP="00FF6D40">
      <w:pPr>
        <w:pStyle w:val="AnnexNo"/>
        <w:rPr>
          <w:rtl/>
        </w:rPr>
      </w:pPr>
      <w:r w:rsidRPr="00961B79">
        <w:rPr>
          <w:rFonts w:hint="eastAsia"/>
          <w:rtl/>
        </w:rPr>
        <w:lastRenderedPageBreak/>
        <w:t>الملحـق</w:t>
      </w:r>
    </w:p>
    <w:p w:rsidR="00CB44AD" w:rsidRPr="00CB44AD" w:rsidRDefault="00FF6D40" w:rsidP="00FF6D40">
      <w:pPr>
        <w:pStyle w:val="Annextitle"/>
        <w:rPr>
          <w:rtl/>
        </w:rPr>
      </w:pPr>
      <w:r w:rsidRPr="00FF6D40">
        <w:rPr>
          <w:rFonts w:hint="cs"/>
          <w:rtl/>
          <w:lang w:bidi="ar-SA"/>
        </w:rPr>
        <w:t>عنوان مشروع التوصية وملخصها</w:t>
      </w:r>
    </w:p>
    <w:p w:rsidR="00CB44AD" w:rsidRPr="00FF6D40" w:rsidRDefault="00FF6D40" w:rsidP="00FF6D4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600" w:after="240"/>
        <w:rPr>
          <w:rtl/>
        </w:rPr>
      </w:pPr>
      <w:r w:rsidRPr="00FF6D40">
        <w:rPr>
          <w:rFonts w:hint="cs"/>
          <w:u w:val="single"/>
          <w:rtl/>
          <w:lang w:bidi="ar-SY"/>
        </w:rPr>
        <w:t xml:space="preserve">مشروع التوصية الجديدة </w:t>
      </w:r>
      <w:r w:rsidRPr="00FF6D40">
        <w:rPr>
          <w:u w:val="single"/>
          <w:lang w:val="en-GB"/>
        </w:rPr>
        <w:t>ITU-R M.[MSS-</w:t>
      </w:r>
      <w:proofErr w:type="spellStart"/>
      <w:r w:rsidRPr="00FF6D40">
        <w:rPr>
          <w:u w:val="single"/>
          <w:lang w:val="en-GB"/>
        </w:rPr>
        <w:t>RDSS</w:t>
      </w:r>
      <w:proofErr w:type="spellEnd"/>
      <w:r w:rsidRPr="00FF6D40">
        <w:rPr>
          <w:u w:val="single"/>
          <w:lang w:val="en-GB"/>
        </w:rPr>
        <w:t>-</w:t>
      </w:r>
      <w:proofErr w:type="gramStart"/>
      <w:r w:rsidRPr="00FF6D40">
        <w:rPr>
          <w:u w:val="single"/>
          <w:lang w:val="en-GB"/>
        </w:rPr>
        <w:t>SHARE]</w:t>
      </w:r>
      <w:r w:rsidRPr="00B7785B">
        <w:rPr>
          <w:rFonts w:hint="cs"/>
          <w:rtl/>
          <w:lang w:bidi="ar-EG"/>
        </w:rPr>
        <w:tab/>
      </w:r>
      <w:proofErr w:type="gramEnd"/>
      <w:r w:rsidRPr="00B7785B">
        <w:rPr>
          <w:rFonts w:hint="cs"/>
          <w:rtl/>
          <w:lang w:bidi="ar-EG"/>
        </w:rPr>
        <w:t xml:space="preserve">الوثيقة </w:t>
      </w:r>
      <w:r w:rsidRPr="00B7785B">
        <w:t>4/101(</w:t>
      </w:r>
      <w:proofErr w:type="spellStart"/>
      <w:r w:rsidRPr="00B7785B">
        <w:t>Rev.1</w:t>
      </w:r>
      <w:proofErr w:type="spellEnd"/>
      <w:r w:rsidRPr="00B7785B">
        <w:t>)</w:t>
      </w:r>
    </w:p>
    <w:p w:rsidR="00CB44AD" w:rsidRPr="00B7785B" w:rsidRDefault="00B7785B" w:rsidP="00A63BE7">
      <w:pPr>
        <w:pStyle w:val="Rectitle"/>
        <w:rPr>
          <w:lang w:val="en-GB"/>
        </w:rPr>
      </w:pPr>
      <w:r w:rsidRPr="00B7785B">
        <w:rPr>
          <w:rFonts w:hint="cs"/>
          <w:rtl/>
        </w:rPr>
        <w:t xml:space="preserve">تنسيق الخدمة المتنقلة </w:t>
      </w:r>
      <w:proofErr w:type="spellStart"/>
      <w:r w:rsidRPr="00B7785B">
        <w:rPr>
          <w:rFonts w:hint="cs"/>
          <w:rtl/>
        </w:rPr>
        <w:t>الساتلية</w:t>
      </w:r>
      <w:proofErr w:type="spellEnd"/>
      <w:r w:rsidRPr="00B7785B">
        <w:rPr>
          <w:rFonts w:hint="cs"/>
          <w:rtl/>
        </w:rPr>
        <w:t xml:space="preserve"> وخدمة ال</w:t>
      </w:r>
      <w:r w:rsidRPr="00B7785B">
        <w:rPr>
          <w:rFonts w:hint="cs"/>
          <w:rtl/>
          <w:lang w:bidi="ar-EG"/>
        </w:rPr>
        <w:t xml:space="preserve">استدلال الراديوي </w:t>
      </w:r>
      <w:proofErr w:type="spellStart"/>
      <w:r w:rsidRPr="00B7785B">
        <w:rPr>
          <w:rFonts w:hint="cs"/>
          <w:rtl/>
          <w:lang w:bidi="ar-EG"/>
        </w:rPr>
        <w:t>الساتلية</w:t>
      </w:r>
      <w:proofErr w:type="spellEnd"/>
      <w:r w:rsidR="00A63BE7">
        <w:rPr>
          <w:rtl/>
          <w:lang w:bidi="ar-EG"/>
        </w:rPr>
        <w:br/>
      </w:r>
      <w:r w:rsidRPr="00B7785B">
        <w:rPr>
          <w:rFonts w:hint="cs"/>
          <w:rtl/>
          <w:lang w:bidi="ar-EG"/>
        </w:rPr>
        <w:t>مع الخدمة الثابتة استناداً إلى مستويات كثافة تدفق القدرة</w:t>
      </w:r>
      <w:r w:rsidR="00A63BE7">
        <w:rPr>
          <w:rtl/>
          <w:lang w:bidi="ar-EG"/>
        </w:rPr>
        <w:br/>
      </w:r>
      <w:r w:rsidRPr="00B7785B">
        <w:rPr>
          <w:rFonts w:hint="cs"/>
          <w:rtl/>
          <w:lang w:bidi="ar-EG"/>
        </w:rPr>
        <w:t xml:space="preserve">التي تطلق التنسيق في النطاق </w:t>
      </w:r>
      <w:r w:rsidRPr="00B7785B">
        <w:rPr>
          <w:lang w:val="en-GB"/>
        </w:rPr>
        <w:t>MHz 2 500-2 483,5</w:t>
      </w:r>
    </w:p>
    <w:p w:rsidR="00A63BE7" w:rsidRPr="00A63BE7" w:rsidRDefault="00A63BE7" w:rsidP="00A63BE7">
      <w:pPr>
        <w:rPr>
          <w:rtl/>
          <w:lang w:bidi="ar-EG"/>
        </w:rPr>
      </w:pPr>
      <w:r w:rsidRPr="00A63BE7">
        <w:rPr>
          <w:rFonts w:hint="cs"/>
          <w:rtl/>
          <w:lang w:bidi="ar-EG"/>
        </w:rPr>
        <w:t xml:space="preserve">قرر المؤتمر العالمي للاتصالات الراديوية لعام </w:t>
      </w:r>
      <w:r w:rsidRPr="00A63BE7">
        <w:rPr>
          <w:lang w:bidi="ar-EG"/>
        </w:rPr>
        <w:t>2012</w:t>
      </w:r>
      <w:r w:rsidRPr="00A63BE7">
        <w:rPr>
          <w:rFonts w:hint="cs"/>
          <w:rtl/>
          <w:lang w:bidi="ar-EG"/>
        </w:rPr>
        <w:t xml:space="preserve"> بموجب البند </w:t>
      </w:r>
      <w:r w:rsidRPr="00A63BE7">
        <w:rPr>
          <w:lang w:bidi="ar-EG"/>
        </w:rPr>
        <w:t>18.1</w:t>
      </w:r>
      <w:r w:rsidRPr="00A63BE7">
        <w:rPr>
          <w:rFonts w:hint="cs"/>
          <w:rtl/>
          <w:lang w:bidi="ar-EG"/>
        </w:rPr>
        <w:t xml:space="preserve"> من جدول الأعمال توزيع النطاق </w:t>
      </w:r>
      <w:r w:rsidRPr="00A63BE7">
        <w:rPr>
          <w:lang w:bidi="ar-EG"/>
        </w:rPr>
        <w:t>MHz 2 500-2 483,5</w:t>
      </w:r>
      <w:r w:rsidRPr="00A63BE7">
        <w:rPr>
          <w:rFonts w:hint="cs"/>
          <w:rtl/>
          <w:lang w:bidi="ar-EG"/>
        </w:rPr>
        <w:t xml:space="preserve"> لخدمة الاستدلال الراديوي </w:t>
      </w:r>
      <w:proofErr w:type="spellStart"/>
      <w:r w:rsidRPr="00A63BE7">
        <w:rPr>
          <w:rFonts w:hint="cs"/>
          <w:rtl/>
          <w:lang w:bidi="ar-EG"/>
        </w:rPr>
        <w:t>الساتلية</w:t>
      </w:r>
      <w:proofErr w:type="spellEnd"/>
      <w:r w:rsidRPr="00A63BE7">
        <w:rPr>
          <w:rFonts w:hint="cs"/>
          <w:rtl/>
          <w:lang w:bidi="ar-EG"/>
        </w:rPr>
        <w:t xml:space="preserve"> على أساس أولي رهناً بسويات عتبة كثافة تدفق القدرة المحددة في التذييل</w:t>
      </w:r>
      <w:r>
        <w:rPr>
          <w:rFonts w:hint="eastAsia"/>
          <w:rtl/>
          <w:lang w:bidi="ar-EG"/>
        </w:rPr>
        <w:t> </w:t>
      </w:r>
      <w:r w:rsidRPr="00A63BE7">
        <w:rPr>
          <w:b/>
          <w:bCs/>
          <w:lang w:bidi="ar-EG"/>
        </w:rPr>
        <w:t>5</w:t>
      </w:r>
      <w:r w:rsidRPr="00A63BE7">
        <w:rPr>
          <w:rFonts w:hint="cs"/>
          <w:rtl/>
          <w:lang w:bidi="ar-EG"/>
        </w:rPr>
        <w:t xml:space="preserve"> للوائح الراديو التي تطلق التنسيق مع خدمات الأرض في النطاق. ونظراً إلى أن الخدمة المتنقلة </w:t>
      </w:r>
      <w:proofErr w:type="spellStart"/>
      <w:r w:rsidRPr="00A63BE7">
        <w:rPr>
          <w:rFonts w:hint="cs"/>
          <w:rtl/>
          <w:lang w:bidi="ar-EG"/>
        </w:rPr>
        <w:t>الساتلية</w:t>
      </w:r>
      <w:proofErr w:type="spellEnd"/>
      <w:r w:rsidRPr="00A63BE7">
        <w:rPr>
          <w:rFonts w:hint="cs"/>
          <w:rtl/>
          <w:lang w:bidi="ar-EG"/>
        </w:rPr>
        <w:t xml:space="preserve"> تعمل أيضاً في هذا النطاق، أعربت بعض الإدارات التي تشغل أنظمة الخدمة الثابتة عند الترددات ذاتها أنها ترغب في إعداد توصية لتيسير عمليات التنسيق المحتملة بين خدمة الاستدلال الراديوي </w:t>
      </w:r>
      <w:proofErr w:type="spellStart"/>
      <w:r w:rsidRPr="00A63BE7">
        <w:rPr>
          <w:rFonts w:hint="cs"/>
          <w:rtl/>
          <w:lang w:bidi="ar-EG"/>
        </w:rPr>
        <w:t>الساتلية</w:t>
      </w:r>
      <w:proofErr w:type="spellEnd"/>
      <w:r w:rsidRPr="00A63BE7">
        <w:rPr>
          <w:rFonts w:hint="cs"/>
          <w:rtl/>
          <w:lang w:bidi="ar-EG"/>
        </w:rPr>
        <w:t xml:space="preserve">/الخدمة </w:t>
      </w:r>
      <w:proofErr w:type="spellStart"/>
      <w:r w:rsidRPr="00A63BE7">
        <w:rPr>
          <w:rFonts w:hint="cs"/>
          <w:rtl/>
          <w:lang w:bidi="ar-EG"/>
        </w:rPr>
        <w:t>الساتلية</w:t>
      </w:r>
      <w:proofErr w:type="spellEnd"/>
      <w:r w:rsidRPr="00A63BE7">
        <w:rPr>
          <w:rFonts w:hint="cs"/>
          <w:rtl/>
          <w:lang w:bidi="ar-EG"/>
        </w:rPr>
        <w:t xml:space="preserve"> المتنقلة والخدمة الثابتة في حال تجاوز نظام </w:t>
      </w:r>
      <w:proofErr w:type="spellStart"/>
      <w:r w:rsidRPr="00A63BE7">
        <w:rPr>
          <w:lang w:bidi="ar-EG"/>
        </w:rPr>
        <w:t>MSS</w:t>
      </w:r>
      <w:proofErr w:type="spellEnd"/>
      <w:r w:rsidRPr="00A63BE7">
        <w:rPr>
          <w:rFonts w:hint="cs"/>
          <w:rtl/>
          <w:lang w:bidi="ar-EG"/>
        </w:rPr>
        <w:t xml:space="preserve"> أو</w:t>
      </w:r>
      <w:r>
        <w:rPr>
          <w:rFonts w:hint="eastAsia"/>
          <w:rtl/>
          <w:lang w:bidi="ar-EG"/>
        </w:rPr>
        <w:t> </w:t>
      </w:r>
      <w:proofErr w:type="spellStart"/>
      <w:r w:rsidRPr="00A63BE7">
        <w:rPr>
          <w:lang w:bidi="ar-EG"/>
        </w:rPr>
        <w:t>RDSS</w:t>
      </w:r>
      <w:proofErr w:type="spellEnd"/>
      <w:r w:rsidRPr="00A63BE7">
        <w:rPr>
          <w:rFonts w:hint="cs"/>
          <w:rtl/>
          <w:lang w:bidi="ar-EG"/>
        </w:rPr>
        <w:t xml:space="preserve"> مقترح سويات إطلاق</w:t>
      </w:r>
      <w:r>
        <w:rPr>
          <w:rFonts w:hint="eastAsia"/>
          <w:rtl/>
          <w:lang w:bidi="ar-EG"/>
        </w:rPr>
        <w:t> </w:t>
      </w:r>
      <w:r w:rsidRPr="00A63BE7">
        <w:rPr>
          <w:rFonts w:hint="cs"/>
          <w:rtl/>
          <w:lang w:bidi="ar-EG"/>
        </w:rPr>
        <w:t>التنسيق.</w:t>
      </w:r>
    </w:p>
    <w:p w:rsidR="00A63BE7" w:rsidRPr="00A63BE7" w:rsidRDefault="00A63BE7" w:rsidP="00A63BE7">
      <w:pPr>
        <w:rPr>
          <w:rtl/>
          <w:lang w:bidi="ar-EG"/>
        </w:rPr>
      </w:pPr>
      <w:r w:rsidRPr="00A63BE7">
        <w:rPr>
          <w:rFonts w:hint="cs"/>
          <w:rtl/>
          <w:lang w:bidi="ar-EG"/>
        </w:rPr>
        <w:t xml:space="preserve">وبناءً على ذلك، أعدت فرقة العمل </w:t>
      </w:r>
      <w:proofErr w:type="spellStart"/>
      <w:r w:rsidRPr="00A63BE7">
        <w:rPr>
          <w:lang w:bidi="ar-EG"/>
        </w:rPr>
        <w:t>4C</w:t>
      </w:r>
      <w:proofErr w:type="spellEnd"/>
      <w:r w:rsidRPr="00A63BE7">
        <w:rPr>
          <w:rFonts w:hint="cs"/>
          <w:rtl/>
          <w:lang w:bidi="ar-EG"/>
        </w:rPr>
        <w:t xml:space="preserve"> هذه التوصية استناداً إلى مواد ودراسات جديدة أجريت بموجب البند</w:t>
      </w:r>
      <w:r>
        <w:rPr>
          <w:rFonts w:hint="eastAsia"/>
          <w:rtl/>
          <w:lang w:bidi="ar-EG"/>
        </w:rPr>
        <w:t> </w:t>
      </w:r>
      <w:r w:rsidRPr="00A63BE7">
        <w:rPr>
          <w:lang w:bidi="ar-EG"/>
        </w:rPr>
        <w:t>18.1</w:t>
      </w:r>
      <w:r w:rsidRPr="00A63BE7">
        <w:rPr>
          <w:rFonts w:hint="cs"/>
          <w:rtl/>
          <w:lang w:bidi="ar-EG"/>
        </w:rPr>
        <w:t xml:space="preserve"> من جدول أعمال المؤتمر العالمي للاتصالات الراديوية لعام</w:t>
      </w:r>
      <w:r>
        <w:rPr>
          <w:rFonts w:hint="eastAsia"/>
          <w:rtl/>
          <w:lang w:bidi="ar-EG"/>
        </w:rPr>
        <w:t> </w:t>
      </w:r>
      <w:r w:rsidRPr="00A63BE7">
        <w:rPr>
          <w:lang w:bidi="ar-EG"/>
        </w:rPr>
        <w:t>2012</w:t>
      </w:r>
      <w:r w:rsidRPr="00A63BE7">
        <w:rPr>
          <w:rFonts w:hint="cs"/>
          <w:rtl/>
          <w:lang w:bidi="ar-EG"/>
        </w:rPr>
        <w:t>؛ والهدف من هذه التوصية تقديم المواد المطلوبة لمساعدة الإدارات في</w:t>
      </w:r>
      <w:r>
        <w:rPr>
          <w:rFonts w:hint="eastAsia"/>
          <w:rtl/>
          <w:lang w:bidi="ar-EG"/>
        </w:rPr>
        <w:t> </w:t>
      </w:r>
      <w:r w:rsidRPr="00A63BE7">
        <w:rPr>
          <w:rFonts w:hint="cs"/>
          <w:rtl/>
          <w:lang w:bidi="ar-EG"/>
        </w:rPr>
        <w:t xml:space="preserve">تحديد آثار الأنظمة </w:t>
      </w:r>
      <w:proofErr w:type="spellStart"/>
      <w:r w:rsidRPr="00A63BE7">
        <w:rPr>
          <w:lang w:bidi="ar-EG"/>
        </w:rPr>
        <w:t>RDSS</w:t>
      </w:r>
      <w:proofErr w:type="spellEnd"/>
      <w:r w:rsidRPr="00A63BE7">
        <w:rPr>
          <w:lang w:bidi="ar-EG"/>
        </w:rPr>
        <w:t>/</w:t>
      </w:r>
      <w:proofErr w:type="spellStart"/>
      <w:r w:rsidRPr="00A63BE7">
        <w:rPr>
          <w:lang w:bidi="ar-EG"/>
        </w:rPr>
        <w:t>MSS</w:t>
      </w:r>
      <w:proofErr w:type="spellEnd"/>
      <w:r w:rsidRPr="00A63BE7">
        <w:rPr>
          <w:rFonts w:hint="cs"/>
          <w:rtl/>
          <w:lang w:bidi="ar-EG"/>
        </w:rPr>
        <w:t xml:space="preserve"> على هذه الخدمات</w:t>
      </w:r>
      <w:r>
        <w:rPr>
          <w:rFonts w:hint="eastAsia"/>
          <w:rtl/>
          <w:lang w:bidi="ar-EG"/>
        </w:rPr>
        <w:t> </w:t>
      </w:r>
      <w:r w:rsidRPr="00A63BE7">
        <w:rPr>
          <w:rFonts w:hint="cs"/>
          <w:rtl/>
          <w:lang w:bidi="ar-EG"/>
        </w:rPr>
        <w:t>الثابتة.</w:t>
      </w:r>
    </w:p>
    <w:p w:rsidR="00A63BE7" w:rsidRPr="00A63BE7" w:rsidRDefault="00A63BE7" w:rsidP="00054966">
      <w:pPr>
        <w:rPr>
          <w:rtl/>
          <w:lang w:bidi="ar-EG"/>
        </w:rPr>
      </w:pPr>
      <w:r w:rsidRPr="00A63BE7">
        <w:rPr>
          <w:rFonts w:hint="cs"/>
          <w:rtl/>
          <w:lang w:bidi="ar-EG"/>
        </w:rPr>
        <w:t xml:space="preserve">ويمكن أن تكون هذه التوصية تحديداً مفيدة عند إجراء التنسيق بموجب الرقم </w:t>
      </w:r>
      <w:r w:rsidRPr="00A63BE7">
        <w:rPr>
          <w:b/>
          <w:bCs/>
          <w:lang w:bidi="ar-EG"/>
        </w:rPr>
        <w:t>14.9</w:t>
      </w:r>
      <w:r w:rsidRPr="00A63BE7">
        <w:rPr>
          <w:rFonts w:hint="cs"/>
          <w:b/>
          <w:bCs/>
          <w:rtl/>
          <w:lang w:bidi="ar-EG"/>
        </w:rPr>
        <w:t xml:space="preserve"> </w:t>
      </w:r>
      <w:r w:rsidRPr="00A63BE7">
        <w:rPr>
          <w:rFonts w:hint="cs"/>
          <w:rtl/>
          <w:lang w:bidi="ar-EG"/>
        </w:rPr>
        <w:t>من لوائح الراديو مع الإدارات التي ترغب في تشغيل أنظمتها</w:t>
      </w:r>
      <w:r>
        <w:rPr>
          <w:rFonts w:hint="eastAsia"/>
          <w:rtl/>
          <w:lang w:bidi="ar-EG"/>
        </w:rPr>
        <w:t> </w:t>
      </w:r>
      <w:proofErr w:type="spellStart"/>
      <w:r w:rsidRPr="00A63BE7">
        <w:rPr>
          <w:lang w:bidi="ar-EG"/>
        </w:rPr>
        <w:t>RDSS</w:t>
      </w:r>
      <w:proofErr w:type="spellEnd"/>
      <w:r w:rsidRPr="00A63BE7">
        <w:rPr>
          <w:rFonts w:hint="cs"/>
          <w:rtl/>
          <w:lang w:bidi="ar-EG"/>
        </w:rPr>
        <w:t xml:space="preserve"> أو</w:t>
      </w:r>
      <w:r>
        <w:rPr>
          <w:rFonts w:hint="eastAsia"/>
          <w:rtl/>
          <w:lang w:bidi="ar-EG"/>
        </w:rPr>
        <w:t> </w:t>
      </w:r>
      <w:proofErr w:type="spellStart"/>
      <w:r w:rsidRPr="00A63BE7">
        <w:rPr>
          <w:lang w:bidi="ar-EG"/>
        </w:rPr>
        <w:t>MSS</w:t>
      </w:r>
      <w:proofErr w:type="spellEnd"/>
      <w:r w:rsidRPr="00A63BE7">
        <w:rPr>
          <w:rFonts w:hint="cs"/>
          <w:rtl/>
          <w:lang w:bidi="ar-EG"/>
        </w:rPr>
        <w:t xml:space="preserve"> عند مستويات لكثافة تدفق القدرة تتجاوز العتبات المحددة في التذييل</w:t>
      </w:r>
      <w:r w:rsidR="00054966">
        <w:rPr>
          <w:rFonts w:hint="eastAsia"/>
          <w:rtl/>
          <w:lang w:bidi="ar-EG"/>
        </w:rPr>
        <w:t> </w:t>
      </w:r>
      <w:r w:rsidRPr="00A63BE7">
        <w:rPr>
          <w:b/>
          <w:bCs/>
          <w:lang w:bidi="ar-EG"/>
        </w:rPr>
        <w:t>5</w:t>
      </w:r>
      <w:r w:rsidRPr="00A63BE7">
        <w:rPr>
          <w:rFonts w:hint="cs"/>
          <w:rtl/>
          <w:lang w:bidi="ar-EG"/>
        </w:rPr>
        <w:t xml:space="preserve"> للوائح</w:t>
      </w:r>
      <w:r>
        <w:rPr>
          <w:rFonts w:hint="eastAsia"/>
          <w:rtl/>
          <w:lang w:bidi="ar-EG"/>
        </w:rPr>
        <w:t> </w:t>
      </w:r>
      <w:r w:rsidRPr="00A63BE7">
        <w:rPr>
          <w:rFonts w:hint="cs"/>
          <w:rtl/>
          <w:lang w:bidi="ar-EG"/>
        </w:rPr>
        <w:t>الراديو.</w:t>
      </w:r>
    </w:p>
    <w:p w:rsidR="00A63BE7" w:rsidRPr="00A63BE7" w:rsidRDefault="00A63BE7" w:rsidP="0075503C">
      <w:pPr>
        <w:rPr>
          <w:rtl/>
          <w:lang w:bidi="ar-EG"/>
        </w:rPr>
      </w:pPr>
      <w:r w:rsidRPr="00A63BE7">
        <w:rPr>
          <w:rFonts w:hint="cs"/>
          <w:rtl/>
          <w:lang w:bidi="ar-EG"/>
        </w:rPr>
        <w:t xml:space="preserve">ويرد مثال في الملحق </w:t>
      </w:r>
      <w:r w:rsidR="0075503C">
        <w:rPr>
          <w:lang w:bidi="ar-EG"/>
        </w:rPr>
        <w:t>2</w:t>
      </w:r>
      <w:bookmarkStart w:id="0" w:name="_GoBack"/>
      <w:bookmarkEnd w:id="0"/>
      <w:r w:rsidRPr="00A63BE7">
        <w:rPr>
          <w:rFonts w:hint="cs"/>
          <w:rtl/>
          <w:lang w:bidi="ar-EG"/>
        </w:rPr>
        <w:t xml:space="preserve"> لمساعدة الإدارات على فهم التوصية على نحو تام، ولكن في إطار تنسيق فعلي، تُستعمل المعلمات المطبقة على الأنظمة الخاضعة للتنسيق. وانطلاقاً من هذه المعلمات، ستحدد الإدارات الآثار على أنظمتها</w:t>
      </w:r>
      <w:r>
        <w:rPr>
          <w:rFonts w:hint="eastAsia"/>
          <w:rtl/>
          <w:lang w:bidi="ar-EG"/>
        </w:rPr>
        <w:t> </w:t>
      </w:r>
      <w:r w:rsidRPr="00A63BE7">
        <w:rPr>
          <w:lang w:bidi="ar-EG"/>
        </w:rPr>
        <w:t>FS</w:t>
      </w:r>
      <w:r w:rsidRPr="00A63BE7">
        <w:rPr>
          <w:rFonts w:hint="cs"/>
          <w:rtl/>
          <w:lang w:bidi="ar-EG"/>
        </w:rPr>
        <w:t xml:space="preserve"> مما يسمح لها بتحديد</w:t>
      </w:r>
      <w:r w:rsidR="00054966">
        <w:rPr>
          <w:rFonts w:hint="cs"/>
          <w:rtl/>
          <w:lang w:bidi="ar-EG"/>
        </w:rPr>
        <w:t xml:space="preserve"> </w:t>
      </w:r>
      <w:r w:rsidRPr="00A63BE7">
        <w:rPr>
          <w:rFonts w:hint="cs"/>
          <w:rtl/>
          <w:lang w:bidi="ar-EG"/>
        </w:rPr>
        <w:t>ما</w:t>
      </w:r>
      <w:r w:rsidR="00054966">
        <w:rPr>
          <w:rFonts w:hint="eastAsia"/>
          <w:rtl/>
          <w:lang w:bidi="ar-EG"/>
        </w:rPr>
        <w:t> </w:t>
      </w:r>
      <w:r w:rsidRPr="00A63BE7">
        <w:rPr>
          <w:rFonts w:hint="cs"/>
          <w:rtl/>
          <w:lang w:bidi="ar-EG"/>
        </w:rPr>
        <w:t xml:space="preserve">إذا كانت مستويات كثافة تدفق القدرة المقترحة للأنظمة </w:t>
      </w:r>
      <w:proofErr w:type="spellStart"/>
      <w:r w:rsidRPr="00A63BE7">
        <w:rPr>
          <w:lang w:bidi="ar-EG"/>
        </w:rPr>
        <w:t>MSS</w:t>
      </w:r>
      <w:proofErr w:type="spellEnd"/>
      <w:r w:rsidRPr="00A63BE7">
        <w:rPr>
          <w:lang w:bidi="ar-EG"/>
        </w:rPr>
        <w:t>/</w:t>
      </w:r>
      <w:proofErr w:type="spellStart"/>
      <w:r w:rsidRPr="00A63BE7">
        <w:rPr>
          <w:lang w:bidi="ar-EG"/>
        </w:rPr>
        <w:t>RDSS</w:t>
      </w:r>
      <w:proofErr w:type="spellEnd"/>
      <w:r w:rsidRPr="00A63BE7">
        <w:rPr>
          <w:rFonts w:hint="cs"/>
          <w:rtl/>
          <w:lang w:bidi="ar-EG"/>
        </w:rPr>
        <w:t xml:space="preserve"> التي تتجاوز المستويات المحددة في التذييل</w:t>
      </w:r>
      <w:r>
        <w:rPr>
          <w:rFonts w:hint="eastAsia"/>
          <w:rtl/>
          <w:lang w:bidi="ar-EG"/>
        </w:rPr>
        <w:t> </w:t>
      </w:r>
      <w:r w:rsidRPr="00A63BE7">
        <w:rPr>
          <w:b/>
          <w:bCs/>
          <w:lang w:bidi="ar-EG"/>
        </w:rPr>
        <w:t>5</w:t>
      </w:r>
      <w:r w:rsidRPr="00A63BE7">
        <w:rPr>
          <w:rFonts w:hint="cs"/>
          <w:rtl/>
          <w:lang w:bidi="ar-EG"/>
        </w:rPr>
        <w:t xml:space="preserve"> للوائح الراديو مقبولة</w:t>
      </w:r>
      <w:r>
        <w:rPr>
          <w:rFonts w:hint="eastAsia"/>
          <w:rtl/>
          <w:lang w:bidi="ar-EG"/>
        </w:rPr>
        <w:t> </w:t>
      </w:r>
      <w:r w:rsidRPr="00A63BE7">
        <w:rPr>
          <w:rFonts w:hint="cs"/>
          <w:rtl/>
          <w:lang w:bidi="ar-EG"/>
        </w:rPr>
        <w:t>أم</w:t>
      </w:r>
      <w:r>
        <w:rPr>
          <w:rFonts w:hint="eastAsia"/>
          <w:rtl/>
          <w:lang w:bidi="ar-EG"/>
        </w:rPr>
        <w:t> </w:t>
      </w:r>
      <w:r w:rsidRPr="00A63BE7">
        <w:rPr>
          <w:rFonts w:hint="cs"/>
          <w:rtl/>
          <w:lang w:bidi="ar-EG"/>
        </w:rPr>
        <w:t>لا.</w:t>
      </w:r>
    </w:p>
    <w:p w:rsidR="00CB44AD" w:rsidRPr="00CB44AD" w:rsidRDefault="00A63BE7" w:rsidP="00A63BE7">
      <w:pPr>
        <w:rPr>
          <w:rtl/>
          <w:lang w:bidi="ar-EG"/>
        </w:rPr>
      </w:pPr>
      <w:r w:rsidRPr="00A63BE7">
        <w:rPr>
          <w:rFonts w:hint="cs"/>
          <w:rtl/>
          <w:lang w:bidi="ar-EG"/>
        </w:rPr>
        <w:t xml:space="preserve">وتتبع المواد التي أعدتها فرقة العمل </w:t>
      </w:r>
      <w:proofErr w:type="spellStart"/>
      <w:r w:rsidRPr="00A63BE7">
        <w:rPr>
          <w:lang w:bidi="ar-EG"/>
        </w:rPr>
        <w:t>4C</w:t>
      </w:r>
      <w:proofErr w:type="spellEnd"/>
      <w:r w:rsidRPr="00A63BE7">
        <w:rPr>
          <w:rFonts w:hint="cs"/>
          <w:rtl/>
          <w:lang w:bidi="ar-EG"/>
        </w:rPr>
        <w:t xml:space="preserve"> نهجاً مماثلاً للنهج المبين في التوصية </w:t>
      </w:r>
      <w:r w:rsidRPr="00A63BE7">
        <w:rPr>
          <w:lang w:bidi="ar-EG"/>
        </w:rPr>
        <w:t>ITU-R </w:t>
      </w:r>
      <w:proofErr w:type="spellStart"/>
      <w:r w:rsidRPr="00A63BE7">
        <w:rPr>
          <w:lang w:bidi="ar-EG"/>
        </w:rPr>
        <w:t>SF.674</w:t>
      </w:r>
      <w:proofErr w:type="spellEnd"/>
      <w:r w:rsidRPr="00A63BE7">
        <w:rPr>
          <w:lang w:bidi="ar-EG"/>
        </w:rPr>
        <w:t>-3</w:t>
      </w:r>
      <w:r w:rsidRPr="00A63BE7">
        <w:rPr>
          <w:rFonts w:hint="cs"/>
          <w:rtl/>
          <w:lang w:bidi="ar-EG"/>
        </w:rPr>
        <w:t xml:space="preserve"> بخصوص نطاق</w:t>
      </w:r>
      <w:r>
        <w:rPr>
          <w:rFonts w:hint="cs"/>
          <w:rtl/>
          <w:lang w:bidi="ar-EG"/>
        </w:rPr>
        <w:t xml:space="preserve"> </w:t>
      </w:r>
      <w:r w:rsidRPr="00A63BE7">
        <w:rPr>
          <w:rFonts w:hint="cs"/>
          <w:rtl/>
          <w:lang w:bidi="ar-EG"/>
        </w:rPr>
        <w:t>التردد</w:t>
      </w:r>
      <w:r>
        <w:rPr>
          <w:rFonts w:hint="eastAsia"/>
          <w:rtl/>
          <w:lang w:bidi="ar-EG"/>
        </w:rPr>
        <w:t> </w:t>
      </w:r>
      <w:r w:rsidRPr="00A63BE7">
        <w:rPr>
          <w:lang w:bidi="ar-EG"/>
        </w:rPr>
        <w:t>GHz 12,2</w:t>
      </w:r>
      <w:r>
        <w:rPr>
          <w:lang w:bidi="ar-EG"/>
        </w:rPr>
        <w:noBreakHyphen/>
      </w:r>
      <w:r w:rsidRPr="00A63BE7">
        <w:rPr>
          <w:lang w:bidi="ar-EG"/>
        </w:rPr>
        <w:t>11,7</w:t>
      </w:r>
      <w:r w:rsidRPr="00A63BE7">
        <w:rPr>
          <w:rFonts w:hint="cs"/>
          <w:rtl/>
          <w:lang w:bidi="ar-EG"/>
        </w:rPr>
        <w:t>.</w:t>
      </w:r>
    </w:p>
    <w:p w:rsidR="00733D09" w:rsidRDefault="00961B79" w:rsidP="00030BB2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733D09" w:rsidSect="007E6E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03" w:rsidRDefault="00882503" w:rsidP="00F36590">
      <w:pPr>
        <w:spacing w:before="0" w:line="240" w:lineRule="auto"/>
      </w:pPr>
      <w:r>
        <w:separator/>
      </w:r>
    </w:p>
  </w:endnote>
  <w:endnote w:type="continuationSeparator" w:id="0">
    <w:p w:rsidR="00882503" w:rsidRDefault="00882503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958" w:rsidRDefault="00A229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A22958" w:rsidRDefault="007E6E52" w:rsidP="00A229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CH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Switzerland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proofErr w:type="spellStart"/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  <w:proofErr w:type="spellEnd"/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proofErr w:type="spellStart"/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  <w:proofErr w:type="spellEnd"/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proofErr w:type="spellStart"/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03" w:rsidRDefault="00882503" w:rsidP="00F36590">
      <w:pPr>
        <w:spacing w:before="0" w:line="240" w:lineRule="auto"/>
      </w:pPr>
      <w:r>
        <w:separator/>
      </w:r>
    </w:p>
  </w:footnote>
  <w:footnote w:type="continuationSeparator" w:id="0">
    <w:p w:rsidR="00882503" w:rsidRDefault="00882503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958" w:rsidRDefault="00A229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75503C">
      <w:rPr>
        <w:rFonts w:cs="Calibri"/>
        <w:noProof/>
        <w:sz w:val="20"/>
        <w:szCs w:val="20"/>
        <w:lang w:val="en-GB"/>
      </w:rPr>
      <w:t>3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  <w:lang w:val="en-GB"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03"/>
    <w:rsid w:val="00005AD4"/>
    <w:rsid w:val="00030BB2"/>
    <w:rsid w:val="000353DF"/>
    <w:rsid w:val="00042BFF"/>
    <w:rsid w:val="00054966"/>
    <w:rsid w:val="00090574"/>
    <w:rsid w:val="000B73F4"/>
    <w:rsid w:val="00117DAD"/>
    <w:rsid w:val="00185E59"/>
    <w:rsid w:val="001D1D7B"/>
    <w:rsid w:val="001D7982"/>
    <w:rsid w:val="001E2BC0"/>
    <w:rsid w:val="001F6EF5"/>
    <w:rsid w:val="002327F6"/>
    <w:rsid w:val="0023283D"/>
    <w:rsid w:val="00241274"/>
    <w:rsid w:val="002978F4"/>
    <w:rsid w:val="002B028D"/>
    <w:rsid w:val="002C7395"/>
    <w:rsid w:val="002E6541"/>
    <w:rsid w:val="003259BF"/>
    <w:rsid w:val="00335CE7"/>
    <w:rsid w:val="003403A3"/>
    <w:rsid w:val="00341FFF"/>
    <w:rsid w:val="003549F8"/>
    <w:rsid w:val="00357185"/>
    <w:rsid w:val="003B65BD"/>
    <w:rsid w:val="00402DF8"/>
    <w:rsid w:val="0040446E"/>
    <w:rsid w:val="0040525C"/>
    <w:rsid w:val="0042686F"/>
    <w:rsid w:val="00443869"/>
    <w:rsid w:val="0048218E"/>
    <w:rsid w:val="00485E78"/>
    <w:rsid w:val="004C640C"/>
    <w:rsid w:val="004D704B"/>
    <w:rsid w:val="0055516A"/>
    <w:rsid w:val="005819D2"/>
    <w:rsid w:val="005C26B3"/>
    <w:rsid w:val="005C3564"/>
    <w:rsid w:val="005F4897"/>
    <w:rsid w:val="00645A28"/>
    <w:rsid w:val="006E1CFD"/>
    <w:rsid w:val="006F1F78"/>
    <w:rsid w:val="006F63F7"/>
    <w:rsid w:val="00706D7A"/>
    <w:rsid w:val="00714C7B"/>
    <w:rsid w:val="0073079E"/>
    <w:rsid w:val="00733D09"/>
    <w:rsid w:val="0075503C"/>
    <w:rsid w:val="007E6E52"/>
    <w:rsid w:val="008235CD"/>
    <w:rsid w:val="008513CB"/>
    <w:rsid w:val="00873559"/>
    <w:rsid w:val="00882503"/>
    <w:rsid w:val="00893799"/>
    <w:rsid w:val="008A1DA1"/>
    <w:rsid w:val="008A4850"/>
    <w:rsid w:val="008F3785"/>
    <w:rsid w:val="00951EBA"/>
    <w:rsid w:val="00961B79"/>
    <w:rsid w:val="00982B28"/>
    <w:rsid w:val="009A3D9B"/>
    <w:rsid w:val="00A0706D"/>
    <w:rsid w:val="00A22958"/>
    <w:rsid w:val="00A42DD6"/>
    <w:rsid w:val="00A61D5D"/>
    <w:rsid w:val="00A63BE7"/>
    <w:rsid w:val="00A97F94"/>
    <w:rsid w:val="00AA0E9F"/>
    <w:rsid w:val="00AB7CE2"/>
    <w:rsid w:val="00AD65B3"/>
    <w:rsid w:val="00B03043"/>
    <w:rsid w:val="00B11105"/>
    <w:rsid w:val="00B13F08"/>
    <w:rsid w:val="00B436E2"/>
    <w:rsid w:val="00B460B6"/>
    <w:rsid w:val="00B5527F"/>
    <w:rsid w:val="00B61E90"/>
    <w:rsid w:val="00B7785B"/>
    <w:rsid w:val="00B806AC"/>
    <w:rsid w:val="00BA08C3"/>
    <w:rsid w:val="00C674FE"/>
    <w:rsid w:val="00C75633"/>
    <w:rsid w:val="00C7764D"/>
    <w:rsid w:val="00CB44AD"/>
    <w:rsid w:val="00CC1CB7"/>
    <w:rsid w:val="00CE2EE1"/>
    <w:rsid w:val="00CF3FFD"/>
    <w:rsid w:val="00D03E79"/>
    <w:rsid w:val="00D706CF"/>
    <w:rsid w:val="00D7693A"/>
    <w:rsid w:val="00D77D0F"/>
    <w:rsid w:val="00DA1CF0"/>
    <w:rsid w:val="00DB63B5"/>
    <w:rsid w:val="00DC24B4"/>
    <w:rsid w:val="00DF16DC"/>
    <w:rsid w:val="00E012DD"/>
    <w:rsid w:val="00E02604"/>
    <w:rsid w:val="00E45211"/>
    <w:rsid w:val="00E64F8E"/>
    <w:rsid w:val="00E84672"/>
    <w:rsid w:val="00ED37AB"/>
    <w:rsid w:val="00F36590"/>
    <w:rsid w:val="00F52A42"/>
    <w:rsid w:val="00F84366"/>
    <w:rsid w:val="00F85089"/>
    <w:rsid w:val="00FC3F0D"/>
    <w:rsid w:val="00FF3A1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FC2BB54-81D8-4920-A590-6D63AEC8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Tablehead0">
    <w:name w:val="Table_head"/>
    <w:basedOn w:val="Normal"/>
    <w:next w:val="Tabletext"/>
    <w:link w:val="TableheadChar"/>
    <w:rsid w:val="00961B79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Theme="minorHAnsi" w:eastAsia="Times New Roman" w:hAnsiTheme="minorHAnsi"/>
      <w:b/>
      <w:sz w:val="24"/>
      <w:lang w:val="en-GB" w:eastAsia="en-US"/>
    </w:rPr>
  </w:style>
  <w:style w:type="paragraph" w:customStyle="1" w:styleId="Tabletext">
    <w:name w:val="Table_text"/>
    <w:basedOn w:val="Normal"/>
    <w:link w:val="TabletextChar"/>
    <w:rsid w:val="00961B7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4"/>
      <w:lang w:val="en-GB" w:eastAsia="en-US"/>
    </w:rPr>
  </w:style>
  <w:style w:type="character" w:customStyle="1" w:styleId="TableheadChar">
    <w:name w:val="Table_head Char"/>
    <w:basedOn w:val="DefaultParagraphFont"/>
    <w:link w:val="Tablehead0"/>
    <w:locked/>
    <w:rsid w:val="00961B79"/>
    <w:rPr>
      <w:rFonts w:eastAsia="Times New Roman" w:cs="Traditional Arabic"/>
      <w:b/>
      <w:sz w:val="24"/>
      <w:szCs w:val="30"/>
      <w:lang w:val="en-GB" w:eastAsia="en-US"/>
    </w:rPr>
  </w:style>
  <w:style w:type="character" w:customStyle="1" w:styleId="TabletextChar">
    <w:name w:val="Table_text Char"/>
    <w:link w:val="Tabletext"/>
    <w:locked/>
    <w:rsid w:val="00961B79"/>
    <w:rPr>
      <w:rFonts w:eastAsia="Times New Roman" w:cs="Traditional Arabic"/>
      <w:sz w:val="24"/>
      <w:szCs w:val="30"/>
      <w:lang w:val="en-GB" w:eastAsia="en-US"/>
    </w:rPr>
  </w:style>
  <w:style w:type="table" w:customStyle="1" w:styleId="TableGrid1">
    <w:name w:val="Table Grid1"/>
    <w:basedOn w:val="TableNormal"/>
    <w:next w:val="TableGrid"/>
    <w:rsid w:val="00ED37AB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sg04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4-C-0101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B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5214-DAD9-4283-A85F-04A91713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PA_BR_Letter.dotx</Template>
  <TotalTime>2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Song, Xiaojing</cp:lastModifiedBy>
  <cp:revision>4</cp:revision>
  <cp:lastPrinted>2015-07-08T14:34:00Z</cp:lastPrinted>
  <dcterms:created xsi:type="dcterms:W3CDTF">2015-07-09T05:40:00Z</dcterms:created>
  <dcterms:modified xsi:type="dcterms:W3CDTF">2015-07-10T07:34:00Z</dcterms:modified>
</cp:coreProperties>
</file>