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B2565A" w:rsidTr="00EA15B3">
        <w:tc>
          <w:tcPr>
            <w:tcW w:w="9889" w:type="dxa"/>
            <w:gridSpan w:val="3"/>
            <w:shd w:val="clear" w:color="auto" w:fill="auto"/>
          </w:tcPr>
          <w:p w:rsidR="00EA15B3" w:rsidRPr="00B2565A" w:rsidRDefault="008E38B4" w:rsidP="00117282">
            <w:pPr>
              <w:spacing w:before="0"/>
              <w:jc w:val="left"/>
              <w:rPr>
                <w:rFonts w:cstheme="minorHAnsi"/>
                <w:b/>
                <w:bCs/>
                <w:color w:val="808080"/>
                <w:sz w:val="28"/>
                <w:szCs w:val="28"/>
              </w:rPr>
            </w:pPr>
            <w:r w:rsidRPr="00B2565A">
              <w:rPr>
                <w:rFonts w:cstheme="minorHAnsi"/>
                <w:b/>
                <w:bCs/>
                <w:color w:val="808080"/>
                <w:sz w:val="28"/>
                <w:szCs w:val="28"/>
              </w:rPr>
              <w:t xml:space="preserve">Radiocommunication </w:t>
            </w:r>
            <w:r w:rsidR="00AF70DA" w:rsidRPr="00B2565A">
              <w:rPr>
                <w:rFonts w:cstheme="minorHAnsi"/>
                <w:b/>
                <w:bCs/>
                <w:color w:val="808080"/>
                <w:sz w:val="28"/>
                <w:szCs w:val="28"/>
              </w:rPr>
              <w:t>Bureau (BR)</w:t>
            </w:r>
          </w:p>
          <w:p w:rsidR="008E38B4" w:rsidRPr="00B2565A" w:rsidRDefault="008E38B4" w:rsidP="00117282">
            <w:pPr>
              <w:spacing w:before="0"/>
              <w:jc w:val="left"/>
              <w:rPr>
                <w:rFonts w:cstheme="minorHAnsi"/>
                <w:b/>
                <w:bCs/>
                <w:color w:val="808080"/>
                <w:sz w:val="28"/>
                <w:szCs w:val="28"/>
              </w:rPr>
            </w:pPr>
          </w:p>
          <w:p w:rsidR="008E38B4" w:rsidRPr="00B2565A" w:rsidRDefault="008E38B4" w:rsidP="00117282">
            <w:pPr>
              <w:spacing w:before="0"/>
              <w:jc w:val="left"/>
              <w:rPr>
                <w:rFonts w:cs="Times New Roman Bold"/>
                <w:b/>
                <w:bCs/>
                <w:color w:val="808080"/>
                <w:sz w:val="28"/>
                <w:szCs w:val="28"/>
              </w:rPr>
            </w:pPr>
          </w:p>
        </w:tc>
      </w:tr>
      <w:tr w:rsidR="00651777" w:rsidRPr="00B2565A" w:rsidTr="00034340">
        <w:tc>
          <w:tcPr>
            <w:tcW w:w="7054" w:type="dxa"/>
            <w:gridSpan w:val="2"/>
            <w:shd w:val="clear" w:color="auto" w:fill="auto"/>
          </w:tcPr>
          <w:p w:rsidR="00C76D7F" w:rsidRPr="00B2565A" w:rsidRDefault="00D21694" w:rsidP="00E17344">
            <w:pPr>
              <w:spacing w:before="0"/>
              <w:jc w:val="left"/>
              <w:rPr>
                <w:sz w:val="24"/>
                <w:szCs w:val="24"/>
              </w:rPr>
            </w:pPr>
            <w:r w:rsidRPr="00B2565A">
              <w:rPr>
                <w:sz w:val="24"/>
                <w:szCs w:val="24"/>
              </w:rPr>
              <w:t xml:space="preserve">Administrative </w:t>
            </w:r>
            <w:r w:rsidR="008B35A3" w:rsidRPr="00B2565A">
              <w:rPr>
                <w:sz w:val="24"/>
                <w:szCs w:val="24"/>
              </w:rPr>
              <w:t>C</w:t>
            </w:r>
            <w:r w:rsidR="00C76D7F" w:rsidRPr="00B2565A">
              <w:rPr>
                <w:sz w:val="24"/>
                <w:szCs w:val="24"/>
              </w:rPr>
              <w:t>ircular</w:t>
            </w:r>
          </w:p>
          <w:p w:rsidR="00651777" w:rsidRPr="00B2565A" w:rsidRDefault="00E17344" w:rsidP="005B797D">
            <w:pPr>
              <w:spacing w:before="0"/>
              <w:jc w:val="left"/>
              <w:rPr>
                <w:b/>
                <w:bCs/>
                <w:sz w:val="24"/>
                <w:szCs w:val="24"/>
              </w:rPr>
            </w:pPr>
            <w:r w:rsidRPr="00B2565A">
              <w:rPr>
                <w:b/>
                <w:bCs/>
                <w:sz w:val="24"/>
                <w:szCs w:val="24"/>
              </w:rPr>
              <w:t>CA</w:t>
            </w:r>
            <w:r w:rsidR="004A7970" w:rsidRPr="00B2565A">
              <w:rPr>
                <w:b/>
                <w:bCs/>
                <w:sz w:val="24"/>
                <w:szCs w:val="24"/>
              </w:rPr>
              <w:t>CE</w:t>
            </w:r>
            <w:r w:rsidR="003836D4" w:rsidRPr="00B2565A">
              <w:rPr>
                <w:b/>
                <w:bCs/>
                <w:sz w:val="24"/>
                <w:szCs w:val="24"/>
              </w:rPr>
              <w:t>/</w:t>
            </w:r>
            <w:r w:rsidR="005B797D" w:rsidRPr="00B2565A">
              <w:rPr>
                <w:b/>
                <w:bCs/>
                <w:sz w:val="24"/>
                <w:szCs w:val="24"/>
              </w:rPr>
              <w:t>741</w:t>
            </w:r>
          </w:p>
        </w:tc>
        <w:tc>
          <w:tcPr>
            <w:tcW w:w="2835" w:type="dxa"/>
            <w:shd w:val="clear" w:color="auto" w:fill="auto"/>
          </w:tcPr>
          <w:p w:rsidR="00651777" w:rsidRPr="00B2565A" w:rsidRDefault="005B797D">
            <w:pPr>
              <w:spacing w:before="0"/>
              <w:jc w:val="right"/>
              <w:rPr>
                <w:sz w:val="24"/>
                <w:szCs w:val="24"/>
              </w:rPr>
            </w:pPr>
            <w:r w:rsidRPr="00B2565A">
              <w:rPr>
                <w:sz w:val="24"/>
                <w:szCs w:val="24"/>
              </w:rPr>
              <w:t>30 July 2015</w:t>
            </w:r>
          </w:p>
        </w:tc>
      </w:tr>
      <w:tr w:rsidR="0037309C" w:rsidRPr="00B2565A" w:rsidTr="004D02EC">
        <w:tc>
          <w:tcPr>
            <w:tcW w:w="9889" w:type="dxa"/>
            <w:gridSpan w:val="3"/>
            <w:shd w:val="clear" w:color="auto" w:fill="auto"/>
          </w:tcPr>
          <w:p w:rsidR="0037309C" w:rsidRPr="00B2565A" w:rsidRDefault="0037309C" w:rsidP="006047E5">
            <w:pPr>
              <w:spacing w:before="0"/>
              <w:jc w:val="left"/>
              <w:rPr>
                <w:rFonts w:cs="Arial"/>
                <w:sz w:val="24"/>
                <w:szCs w:val="24"/>
              </w:rPr>
            </w:pPr>
          </w:p>
        </w:tc>
      </w:tr>
      <w:tr w:rsidR="0037309C" w:rsidRPr="00B2565A" w:rsidTr="00D374CD">
        <w:tc>
          <w:tcPr>
            <w:tcW w:w="9889" w:type="dxa"/>
            <w:gridSpan w:val="3"/>
            <w:shd w:val="clear" w:color="auto" w:fill="auto"/>
          </w:tcPr>
          <w:p w:rsidR="0037309C" w:rsidRPr="00B2565A" w:rsidRDefault="0037309C" w:rsidP="00D374CD">
            <w:pPr>
              <w:spacing w:before="0"/>
              <w:jc w:val="left"/>
              <w:rPr>
                <w:sz w:val="24"/>
                <w:szCs w:val="24"/>
              </w:rPr>
            </w:pPr>
          </w:p>
        </w:tc>
      </w:tr>
      <w:tr w:rsidR="0037309C" w:rsidRPr="00B2565A" w:rsidTr="004D02EC">
        <w:tc>
          <w:tcPr>
            <w:tcW w:w="9889" w:type="dxa"/>
            <w:gridSpan w:val="3"/>
            <w:shd w:val="clear" w:color="auto" w:fill="auto"/>
          </w:tcPr>
          <w:p w:rsidR="00D21694" w:rsidRPr="00B2565A" w:rsidRDefault="004A7970">
            <w:pPr>
              <w:spacing w:before="0"/>
              <w:jc w:val="left"/>
              <w:rPr>
                <w:b/>
                <w:bCs/>
                <w:sz w:val="24"/>
                <w:szCs w:val="24"/>
              </w:rPr>
            </w:pPr>
            <w:r w:rsidRPr="00B2565A">
              <w:rPr>
                <w:b/>
                <w:bCs/>
                <w:sz w:val="24"/>
                <w:szCs w:val="24"/>
              </w:rPr>
              <w:t>To Administrations of Member States of the ITU, Radiocommunication Sector Members</w:t>
            </w:r>
            <w:r w:rsidR="00BF5F50" w:rsidRPr="00B2565A">
              <w:rPr>
                <w:b/>
                <w:bCs/>
                <w:sz w:val="24"/>
                <w:szCs w:val="24"/>
              </w:rPr>
              <w:t xml:space="preserve"> </w:t>
            </w:r>
            <w:r w:rsidR="00DA16A9" w:rsidRPr="00B2565A">
              <w:rPr>
                <w:b/>
                <w:bCs/>
                <w:sz w:val="24"/>
                <w:szCs w:val="24"/>
              </w:rPr>
              <w:t>and</w:t>
            </w:r>
            <w:r w:rsidRPr="00B2565A">
              <w:rPr>
                <w:b/>
                <w:bCs/>
                <w:sz w:val="24"/>
                <w:szCs w:val="24"/>
              </w:rPr>
              <w:br/>
              <w:t xml:space="preserve">ITU-R Associates participating in the work of Radiocommunication Study Group </w:t>
            </w:r>
            <w:r w:rsidR="00E83FBE" w:rsidRPr="00B2565A">
              <w:rPr>
                <w:b/>
                <w:bCs/>
                <w:sz w:val="24"/>
                <w:szCs w:val="24"/>
              </w:rPr>
              <w:t>5</w:t>
            </w:r>
          </w:p>
        </w:tc>
      </w:tr>
      <w:tr w:rsidR="0037309C" w:rsidRPr="00B2565A" w:rsidTr="004D02EC">
        <w:tc>
          <w:tcPr>
            <w:tcW w:w="9889" w:type="dxa"/>
            <w:gridSpan w:val="3"/>
            <w:shd w:val="clear" w:color="auto" w:fill="auto"/>
          </w:tcPr>
          <w:p w:rsidR="0037309C" w:rsidRPr="00B2565A" w:rsidRDefault="0037309C" w:rsidP="006047E5">
            <w:pPr>
              <w:spacing w:before="0"/>
              <w:jc w:val="left"/>
              <w:rPr>
                <w:sz w:val="24"/>
                <w:szCs w:val="24"/>
              </w:rPr>
            </w:pPr>
          </w:p>
        </w:tc>
      </w:tr>
      <w:tr w:rsidR="0037309C" w:rsidRPr="00B2565A" w:rsidTr="004D02EC">
        <w:tc>
          <w:tcPr>
            <w:tcW w:w="9889" w:type="dxa"/>
            <w:gridSpan w:val="3"/>
            <w:shd w:val="clear" w:color="auto" w:fill="auto"/>
          </w:tcPr>
          <w:p w:rsidR="0037309C" w:rsidRPr="00B2565A" w:rsidRDefault="0037309C" w:rsidP="006047E5">
            <w:pPr>
              <w:spacing w:before="0"/>
              <w:jc w:val="left"/>
              <w:rPr>
                <w:sz w:val="24"/>
                <w:szCs w:val="24"/>
              </w:rPr>
            </w:pPr>
          </w:p>
        </w:tc>
      </w:tr>
      <w:tr w:rsidR="00B4054B" w:rsidRPr="00B2565A" w:rsidTr="0037309C">
        <w:tc>
          <w:tcPr>
            <w:tcW w:w="1526" w:type="dxa"/>
            <w:shd w:val="clear" w:color="auto" w:fill="auto"/>
          </w:tcPr>
          <w:p w:rsidR="00B4054B" w:rsidRPr="00B2565A" w:rsidRDefault="00B4054B" w:rsidP="006A0053">
            <w:pPr>
              <w:spacing w:before="0"/>
              <w:jc w:val="left"/>
              <w:rPr>
                <w:sz w:val="24"/>
                <w:szCs w:val="24"/>
              </w:rPr>
            </w:pPr>
            <w:r w:rsidRPr="00B2565A">
              <w:rPr>
                <w:sz w:val="24"/>
                <w:szCs w:val="24"/>
              </w:rPr>
              <w:t>Subject:</w:t>
            </w:r>
          </w:p>
        </w:tc>
        <w:tc>
          <w:tcPr>
            <w:tcW w:w="8363" w:type="dxa"/>
            <w:gridSpan w:val="2"/>
            <w:vMerge w:val="restart"/>
            <w:shd w:val="clear" w:color="auto" w:fill="auto"/>
          </w:tcPr>
          <w:p w:rsidR="00B4054B" w:rsidRPr="00B2565A" w:rsidRDefault="004A7970" w:rsidP="00E27C4C">
            <w:pPr>
              <w:spacing w:before="0"/>
              <w:jc w:val="left"/>
              <w:rPr>
                <w:b/>
                <w:bCs/>
                <w:sz w:val="24"/>
                <w:szCs w:val="24"/>
              </w:rPr>
            </w:pPr>
            <w:r w:rsidRPr="00B2565A">
              <w:rPr>
                <w:b/>
                <w:bCs/>
                <w:sz w:val="24"/>
                <w:szCs w:val="24"/>
              </w:rPr>
              <w:t xml:space="preserve">Radiocommunication Study Group </w:t>
            </w:r>
            <w:r w:rsidR="00E27C4C" w:rsidRPr="00B2565A">
              <w:rPr>
                <w:b/>
                <w:bCs/>
                <w:sz w:val="24"/>
                <w:szCs w:val="24"/>
              </w:rPr>
              <w:t>5 (Terrestrial services)</w:t>
            </w:r>
          </w:p>
          <w:p w:rsidR="004A7970" w:rsidRPr="00B2565A" w:rsidRDefault="004A7970" w:rsidP="00B2565A">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B2565A">
              <w:rPr>
                <w:rFonts w:asciiTheme="minorHAnsi" w:hAnsiTheme="minorHAnsi" w:cstheme="minorHAnsi"/>
                <w:b/>
                <w:sz w:val="24"/>
                <w:szCs w:val="24"/>
              </w:rPr>
              <w:t xml:space="preserve">Proposed adoption of </w:t>
            </w:r>
            <w:r w:rsidR="00A31650" w:rsidRPr="00B2565A">
              <w:rPr>
                <w:rFonts w:asciiTheme="minorHAnsi" w:hAnsiTheme="minorHAnsi" w:cstheme="minorHAnsi"/>
                <w:b/>
                <w:sz w:val="24"/>
                <w:szCs w:val="24"/>
              </w:rPr>
              <w:t xml:space="preserve">3 </w:t>
            </w:r>
            <w:r w:rsidRPr="00B2565A">
              <w:rPr>
                <w:rFonts w:asciiTheme="minorHAnsi" w:hAnsiTheme="minorHAnsi" w:cstheme="minorHAnsi"/>
                <w:b/>
                <w:sz w:val="24"/>
                <w:szCs w:val="24"/>
              </w:rPr>
              <w:t>draft new ITU-R Recommendations and</w:t>
            </w:r>
            <w:r w:rsidR="00BF5F50" w:rsidRPr="00B2565A">
              <w:rPr>
                <w:rFonts w:asciiTheme="minorHAnsi" w:hAnsiTheme="minorHAnsi" w:cstheme="minorHAnsi"/>
                <w:b/>
                <w:sz w:val="24"/>
                <w:szCs w:val="24"/>
              </w:rPr>
              <w:t xml:space="preserve"> </w:t>
            </w:r>
            <w:r w:rsidR="00A31650" w:rsidRPr="00B2565A">
              <w:rPr>
                <w:rFonts w:asciiTheme="minorHAnsi" w:hAnsiTheme="minorHAnsi" w:cstheme="minorHAnsi"/>
                <w:b/>
                <w:sz w:val="24"/>
                <w:szCs w:val="24"/>
              </w:rPr>
              <w:t>8</w:t>
            </w:r>
            <w:r w:rsidRPr="00B2565A">
              <w:rPr>
                <w:rFonts w:asciiTheme="minorHAnsi" w:hAnsiTheme="minorHAnsi" w:cstheme="minorHAnsi"/>
                <w:b/>
                <w:sz w:val="24"/>
                <w:szCs w:val="24"/>
              </w:rPr>
              <w:t xml:space="preserve"> draft</w:t>
            </w:r>
            <w:r w:rsidR="00BF5F50" w:rsidRPr="00B2565A">
              <w:rPr>
                <w:rFonts w:asciiTheme="minorHAnsi" w:hAnsiTheme="minorHAnsi" w:cstheme="minorHAnsi"/>
                <w:b/>
                <w:sz w:val="24"/>
                <w:szCs w:val="24"/>
              </w:rPr>
              <w:br/>
            </w:r>
            <w:r w:rsidRPr="00B2565A">
              <w:rPr>
                <w:rFonts w:asciiTheme="minorHAnsi" w:hAnsiTheme="minorHAnsi" w:cstheme="minorHAnsi"/>
                <w:b/>
                <w:sz w:val="24"/>
                <w:szCs w:val="24"/>
              </w:rPr>
              <w:t>revised</w:t>
            </w:r>
            <w:r w:rsidR="00BF5F50" w:rsidRPr="00B2565A">
              <w:rPr>
                <w:rFonts w:asciiTheme="minorHAnsi" w:hAnsiTheme="minorHAnsi" w:cstheme="minorHAnsi"/>
                <w:b/>
                <w:sz w:val="24"/>
                <w:szCs w:val="24"/>
              </w:rPr>
              <w:t xml:space="preserve"> </w:t>
            </w:r>
            <w:r w:rsidRPr="00B2565A">
              <w:rPr>
                <w:rFonts w:asciiTheme="minorHAnsi" w:hAnsiTheme="minorHAnsi" w:cstheme="minorHAnsi"/>
                <w:b/>
                <w:sz w:val="24"/>
                <w:szCs w:val="24"/>
              </w:rPr>
              <w:t>ITU-R Recommendations and their simultaneous approval</w:t>
            </w:r>
            <w:r w:rsidR="00BF5F50" w:rsidRPr="00B2565A">
              <w:rPr>
                <w:rFonts w:asciiTheme="minorHAnsi" w:hAnsiTheme="minorHAnsi" w:cstheme="minorHAnsi"/>
                <w:b/>
                <w:sz w:val="24"/>
                <w:szCs w:val="24"/>
              </w:rPr>
              <w:br/>
            </w:r>
            <w:r w:rsidRPr="00B2565A">
              <w:rPr>
                <w:rFonts w:asciiTheme="minorHAnsi" w:hAnsiTheme="minorHAnsi" w:cstheme="minorHAnsi"/>
                <w:b/>
                <w:sz w:val="24"/>
                <w:szCs w:val="24"/>
              </w:rPr>
              <w:t>by correspondence</w:t>
            </w:r>
            <w:r w:rsidR="00A45D9A" w:rsidRPr="00B2565A">
              <w:rPr>
                <w:rFonts w:asciiTheme="minorHAnsi" w:hAnsiTheme="minorHAnsi" w:cstheme="minorHAnsi"/>
                <w:b/>
                <w:sz w:val="24"/>
                <w:szCs w:val="24"/>
              </w:rPr>
              <w:t xml:space="preserve"> </w:t>
            </w:r>
            <w:r w:rsidRPr="00B2565A">
              <w:rPr>
                <w:rFonts w:asciiTheme="minorHAnsi" w:hAnsiTheme="minorHAnsi" w:cstheme="minorHAnsi"/>
                <w:b/>
                <w:sz w:val="24"/>
                <w:szCs w:val="24"/>
              </w:rPr>
              <w:t>in accordance with § 10.3 of Resolution ITU</w:t>
            </w:r>
            <w:r w:rsidRPr="00B2565A">
              <w:rPr>
                <w:rFonts w:asciiTheme="minorHAnsi" w:hAnsiTheme="minorHAnsi" w:cstheme="minorHAnsi"/>
                <w:b/>
                <w:sz w:val="24"/>
                <w:szCs w:val="24"/>
              </w:rPr>
              <w:noBreakHyphen/>
              <w:t>R 1-6</w:t>
            </w:r>
            <w:r w:rsidR="00BF5F50" w:rsidRPr="00B2565A">
              <w:rPr>
                <w:rFonts w:asciiTheme="minorHAnsi" w:hAnsiTheme="minorHAnsi" w:cstheme="minorHAnsi"/>
                <w:b/>
                <w:sz w:val="24"/>
                <w:szCs w:val="24"/>
              </w:rPr>
              <w:br/>
            </w:r>
            <w:r w:rsidRPr="00B2565A">
              <w:rPr>
                <w:rFonts w:asciiTheme="minorHAnsi" w:hAnsiTheme="minorHAnsi" w:cstheme="minorHAnsi"/>
                <w:b/>
                <w:sz w:val="24"/>
                <w:szCs w:val="24"/>
              </w:rPr>
              <w:t>(Procedure for the simultaneous adoption and approval by correspondence)</w:t>
            </w:r>
          </w:p>
        </w:tc>
      </w:tr>
      <w:tr w:rsidR="00B4054B" w:rsidRPr="00B2565A" w:rsidTr="006A0053">
        <w:tc>
          <w:tcPr>
            <w:tcW w:w="1526" w:type="dxa"/>
            <w:shd w:val="clear" w:color="auto" w:fill="auto"/>
          </w:tcPr>
          <w:p w:rsidR="00B4054B" w:rsidRPr="00B2565A" w:rsidRDefault="00B4054B" w:rsidP="006A0053">
            <w:pPr>
              <w:spacing w:before="0"/>
              <w:jc w:val="left"/>
              <w:rPr>
                <w:b/>
                <w:bCs/>
                <w:sz w:val="24"/>
                <w:szCs w:val="24"/>
              </w:rPr>
            </w:pPr>
          </w:p>
        </w:tc>
        <w:tc>
          <w:tcPr>
            <w:tcW w:w="8363" w:type="dxa"/>
            <w:gridSpan w:val="2"/>
            <w:vMerge/>
            <w:shd w:val="clear" w:color="auto" w:fill="auto"/>
          </w:tcPr>
          <w:p w:rsidR="00B4054B" w:rsidRPr="00B2565A" w:rsidRDefault="00B4054B" w:rsidP="006A0053">
            <w:pPr>
              <w:spacing w:before="0"/>
              <w:rPr>
                <w:b/>
                <w:bCs/>
                <w:sz w:val="24"/>
                <w:szCs w:val="24"/>
              </w:rPr>
            </w:pPr>
          </w:p>
        </w:tc>
      </w:tr>
      <w:tr w:rsidR="00B4054B" w:rsidRPr="00B2565A" w:rsidTr="006A0053">
        <w:tc>
          <w:tcPr>
            <w:tcW w:w="1526" w:type="dxa"/>
            <w:shd w:val="clear" w:color="auto" w:fill="auto"/>
          </w:tcPr>
          <w:p w:rsidR="00B4054B" w:rsidRPr="00B2565A" w:rsidRDefault="00B4054B" w:rsidP="006A0053">
            <w:pPr>
              <w:spacing w:before="0"/>
              <w:jc w:val="left"/>
              <w:rPr>
                <w:b/>
                <w:bCs/>
                <w:sz w:val="24"/>
                <w:szCs w:val="24"/>
              </w:rPr>
            </w:pPr>
          </w:p>
        </w:tc>
        <w:tc>
          <w:tcPr>
            <w:tcW w:w="8363" w:type="dxa"/>
            <w:gridSpan w:val="2"/>
            <w:vMerge/>
            <w:shd w:val="clear" w:color="auto" w:fill="auto"/>
          </w:tcPr>
          <w:p w:rsidR="00B4054B" w:rsidRPr="00B2565A" w:rsidRDefault="00B4054B" w:rsidP="006A0053">
            <w:pPr>
              <w:spacing w:before="0"/>
              <w:rPr>
                <w:b/>
                <w:bCs/>
                <w:sz w:val="24"/>
                <w:szCs w:val="24"/>
              </w:rPr>
            </w:pPr>
          </w:p>
        </w:tc>
      </w:tr>
      <w:tr w:rsidR="00C51E92" w:rsidRPr="00B2565A" w:rsidTr="00F72DBF">
        <w:tc>
          <w:tcPr>
            <w:tcW w:w="9889" w:type="dxa"/>
            <w:gridSpan w:val="3"/>
            <w:shd w:val="clear" w:color="auto" w:fill="auto"/>
          </w:tcPr>
          <w:p w:rsidR="00C51E92" w:rsidRPr="00B2565A" w:rsidRDefault="00C51E92" w:rsidP="00F72DBF">
            <w:pPr>
              <w:spacing w:before="0"/>
              <w:jc w:val="left"/>
              <w:rPr>
                <w:b/>
                <w:bCs/>
                <w:sz w:val="24"/>
                <w:szCs w:val="24"/>
              </w:rPr>
            </w:pPr>
          </w:p>
        </w:tc>
      </w:tr>
      <w:tr w:rsidR="00C51E92" w:rsidRPr="00B2565A" w:rsidTr="00F72DBF">
        <w:tc>
          <w:tcPr>
            <w:tcW w:w="9889" w:type="dxa"/>
            <w:gridSpan w:val="3"/>
            <w:shd w:val="clear" w:color="auto" w:fill="auto"/>
          </w:tcPr>
          <w:p w:rsidR="00C51E92" w:rsidRPr="00B2565A" w:rsidRDefault="00C51E92" w:rsidP="00F72DBF">
            <w:pPr>
              <w:spacing w:before="0"/>
              <w:jc w:val="left"/>
              <w:rPr>
                <w:b/>
                <w:bCs/>
                <w:sz w:val="24"/>
                <w:szCs w:val="24"/>
              </w:rPr>
            </w:pPr>
          </w:p>
        </w:tc>
      </w:tr>
    </w:tbl>
    <w:p w:rsidR="004A7970" w:rsidRPr="00B2565A" w:rsidRDefault="004A7970" w:rsidP="00B2565A">
      <w:pPr>
        <w:pStyle w:val="Normalaftertitle"/>
        <w:spacing w:before="240"/>
        <w:rPr>
          <w:sz w:val="24"/>
          <w:szCs w:val="24"/>
        </w:rPr>
      </w:pPr>
      <w:r w:rsidRPr="00B2565A">
        <w:rPr>
          <w:sz w:val="24"/>
          <w:szCs w:val="24"/>
        </w:rPr>
        <w:t xml:space="preserve">At the meeting of Radiocommunication Study Group </w:t>
      </w:r>
      <w:r w:rsidR="00A31650" w:rsidRPr="00B2565A">
        <w:rPr>
          <w:sz w:val="24"/>
          <w:szCs w:val="24"/>
        </w:rPr>
        <w:t>5</w:t>
      </w:r>
      <w:r w:rsidRPr="00B2565A">
        <w:rPr>
          <w:sz w:val="24"/>
          <w:szCs w:val="24"/>
        </w:rPr>
        <w:t xml:space="preserve">, held from </w:t>
      </w:r>
      <w:r w:rsidR="00A31650" w:rsidRPr="00B2565A">
        <w:rPr>
          <w:sz w:val="24"/>
          <w:szCs w:val="24"/>
        </w:rPr>
        <w:t>20 to 21 July 2015</w:t>
      </w:r>
      <w:r w:rsidRPr="00B2565A">
        <w:rPr>
          <w:sz w:val="24"/>
          <w:szCs w:val="24"/>
        </w:rPr>
        <w:t xml:space="preserve">, the Study Group decided to seek adoption of </w:t>
      </w:r>
      <w:r w:rsidR="00A31650" w:rsidRPr="00B2565A">
        <w:rPr>
          <w:sz w:val="24"/>
          <w:szCs w:val="24"/>
        </w:rPr>
        <w:t xml:space="preserve">3 </w:t>
      </w:r>
      <w:r w:rsidRPr="00B2565A">
        <w:rPr>
          <w:sz w:val="24"/>
          <w:szCs w:val="24"/>
        </w:rPr>
        <w:t xml:space="preserve">draft new ITU-R Recommendations </w:t>
      </w:r>
      <w:r w:rsidRPr="00B2565A">
        <w:rPr>
          <w:bCs/>
          <w:sz w:val="24"/>
          <w:szCs w:val="24"/>
        </w:rPr>
        <w:t xml:space="preserve">and </w:t>
      </w:r>
      <w:r w:rsidR="00A31650" w:rsidRPr="00B2565A">
        <w:rPr>
          <w:bCs/>
          <w:sz w:val="24"/>
          <w:szCs w:val="24"/>
        </w:rPr>
        <w:t xml:space="preserve">8 </w:t>
      </w:r>
      <w:r w:rsidRPr="00B2565A">
        <w:rPr>
          <w:bCs/>
          <w:sz w:val="24"/>
          <w:szCs w:val="24"/>
        </w:rPr>
        <w:t>draft revised ITU-R Recommendations</w:t>
      </w:r>
      <w:r w:rsidRPr="00B2565A">
        <w:rPr>
          <w:sz w:val="24"/>
          <w:szCs w:val="24"/>
        </w:rPr>
        <w:t xml:space="preserve"> by correspondence (§ 10.2.3 of Resolution ITU-R 1-6) and further decided to apply the procedure for simultaneous adoption and approval by correspondence (PSAA), (§ 10.3 of Resolution ITU</w:t>
      </w:r>
      <w:r w:rsidRPr="00B2565A">
        <w:rPr>
          <w:sz w:val="24"/>
          <w:szCs w:val="24"/>
        </w:rPr>
        <w:noBreakHyphen/>
        <w:t>R 1</w:t>
      </w:r>
      <w:r w:rsidRPr="00B2565A">
        <w:rPr>
          <w:sz w:val="24"/>
          <w:szCs w:val="24"/>
        </w:rPr>
        <w:noBreakHyphen/>
        <w:t xml:space="preserve">6). The titles and summaries of the draft Recommendations are given in </w:t>
      </w:r>
      <w:r w:rsidR="00F802CD" w:rsidRPr="00B2565A">
        <w:rPr>
          <w:sz w:val="24"/>
          <w:szCs w:val="24"/>
        </w:rPr>
        <w:t>the Annex to this letter</w:t>
      </w:r>
      <w:r w:rsidRPr="00B2565A">
        <w:rPr>
          <w:sz w:val="24"/>
          <w:szCs w:val="24"/>
        </w:rPr>
        <w:t>.</w:t>
      </w:r>
    </w:p>
    <w:p w:rsidR="004A7970" w:rsidRPr="00B2565A" w:rsidRDefault="004A7970">
      <w:pPr>
        <w:rPr>
          <w:sz w:val="24"/>
          <w:szCs w:val="24"/>
        </w:rPr>
      </w:pPr>
      <w:r w:rsidRPr="00B2565A">
        <w:rPr>
          <w:sz w:val="24"/>
          <w:szCs w:val="24"/>
        </w:rPr>
        <w:t>The consideration period shall extend for 2 months ending on</w:t>
      </w:r>
      <w:r w:rsidR="00B2565A" w:rsidRPr="00B2565A">
        <w:rPr>
          <w:sz w:val="24"/>
          <w:szCs w:val="24"/>
        </w:rPr>
        <w:t xml:space="preserve"> </w:t>
      </w:r>
      <w:r w:rsidR="005B797D" w:rsidRPr="00B2565A">
        <w:rPr>
          <w:sz w:val="24"/>
          <w:szCs w:val="24"/>
          <w:u w:val="single"/>
        </w:rPr>
        <w:t>30 September 2015</w:t>
      </w:r>
      <w:r w:rsidRPr="00B2565A">
        <w:rPr>
          <w:sz w:val="24"/>
          <w:szCs w:val="24"/>
        </w:rPr>
        <w:t xml:space="preserve">. If within this period no objections are received from Member States, the draft Recommendations shall be considered to be adopted by Study Group </w:t>
      </w:r>
      <w:r w:rsidR="00A31650" w:rsidRPr="00B2565A">
        <w:rPr>
          <w:sz w:val="24"/>
          <w:szCs w:val="24"/>
        </w:rPr>
        <w:t>5</w:t>
      </w:r>
      <w:r w:rsidRPr="00B2565A">
        <w:rPr>
          <w:sz w:val="24"/>
          <w:szCs w:val="24"/>
        </w:rPr>
        <w:t xml:space="preserve">. Furthermore, since the PSAA procedure has been followed, the draft Recommendations shall also be considered as approved. </w:t>
      </w:r>
    </w:p>
    <w:p w:rsidR="004A7970" w:rsidRPr="00B2565A" w:rsidRDefault="004A7970" w:rsidP="00A31650">
      <w:pPr>
        <w:tabs>
          <w:tab w:val="left" w:pos="0"/>
          <w:tab w:val="left" w:pos="1134"/>
          <w:tab w:val="left" w:pos="3119"/>
        </w:tabs>
        <w:spacing w:after="240"/>
        <w:rPr>
          <w:sz w:val="24"/>
          <w:szCs w:val="24"/>
        </w:rPr>
      </w:pPr>
      <w:r w:rsidRPr="00B2565A">
        <w:rPr>
          <w:sz w:val="24"/>
          <w:szCs w:val="24"/>
        </w:rPr>
        <w:t>Any Member State who objects to the adoption of a draft is requested to inform the Director and the Chairman of the Study Group of the reasons for the objection.</w:t>
      </w:r>
    </w:p>
    <w:p w:rsidR="004A7970" w:rsidRPr="00B2565A" w:rsidRDefault="004A7970">
      <w:pPr>
        <w:rPr>
          <w:sz w:val="24"/>
          <w:szCs w:val="24"/>
        </w:rPr>
      </w:pPr>
      <w:r w:rsidRPr="00B2565A">
        <w:rPr>
          <w:sz w:val="24"/>
          <w:szCs w:val="24"/>
        </w:rPr>
        <w:t xml:space="preserve">After the above-mentioned deadline, the results of the PSAA procedure will be announced in an Administrative Circular and the approved Recommendations will be published as soon as practicable (see </w:t>
      </w:r>
      <w:hyperlink r:id="rId8" w:history="1">
        <w:r w:rsidRPr="00B2565A">
          <w:rPr>
            <w:rStyle w:val="Hyperlink"/>
            <w:sz w:val="24"/>
            <w:szCs w:val="24"/>
          </w:rPr>
          <w:t>http://www.itu.int/pub/R-REC</w:t>
        </w:r>
      </w:hyperlink>
      <w:r w:rsidRPr="00B2565A">
        <w:rPr>
          <w:sz w:val="24"/>
          <w:szCs w:val="24"/>
        </w:rPr>
        <w:t xml:space="preserve">). </w:t>
      </w:r>
    </w:p>
    <w:p w:rsidR="004A7970" w:rsidRPr="00B2565A" w:rsidRDefault="004A7970" w:rsidP="00BF5F50">
      <w:pPr>
        <w:rPr>
          <w:sz w:val="24"/>
          <w:szCs w:val="24"/>
        </w:rPr>
      </w:pPr>
      <w:r w:rsidRPr="00B2565A">
        <w:br w:type="page"/>
      </w:r>
      <w:r w:rsidRPr="00B2565A">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B2565A">
        <w:rPr>
          <w:sz w:val="24"/>
          <w:szCs w:val="24"/>
        </w:rPr>
        <w:noBreakHyphen/>
        <w:t>T/ITU</w:t>
      </w:r>
      <w:r w:rsidRPr="00B2565A">
        <w:rPr>
          <w:sz w:val="24"/>
          <w:szCs w:val="24"/>
        </w:rPr>
        <w:noBreakHyphen/>
        <w:t>R/ISO/IEC is available at</w:t>
      </w:r>
      <w:r w:rsidR="00B57F3C" w:rsidRPr="00B2565A">
        <w:rPr>
          <w:rStyle w:val="Hyperlink"/>
          <w:sz w:val="24"/>
          <w:szCs w:val="24"/>
        </w:rPr>
        <w:t xml:space="preserve"> </w:t>
      </w:r>
      <w:hyperlink r:id="rId9" w:history="1">
        <w:r w:rsidR="00B57F3C" w:rsidRPr="00B2565A">
          <w:rPr>
            <w:rStyle w:val="Hyperlink"/>
            <w:sz w:val="24"/>
            <w:szCs w:val="24"/>
          </w:rPr>
          <w:t>http://www.itu.int/en/ITU-T/ipr/Pages/policy.aspx</w:t>
        </w:r>
      </w:hyperlink>
      <w:r w:rsidRPr="00B2565A">
        <w:rPr>
          <w:sz w:val="24"/>
          <w:szCs w:val="24"/>
        </w:rPr>
        <w:t>.</w:t>
      </w:r>
    </w:p>
    <w:p w:rsidR="004A7970" w:rsidRPr="00B2565A" w:rsidRDefault="004A7970" w:rsidP="00B2565A">
      <w:pPr>
        <w:spacing w:before="1920" w:line="240" w:lineRule="auto"/>
        <w:jc w:val="left"/>
        <w:rPr>
          <w:rFonts w:asciiTheme="minorHAnsi" w:hAnsiTheme="minorHAnsi" w:cstheme="minorHAnsi"/>
          <w:sz w:val="24"/>
          <w:szCs w:val="24"/>
        </w:rPr>
      </w:pPr>
      <w:r w:rsidRPr="00B2565A">
        <w:rPr>
          <w:rFonts w:asciiTheme="minorHAnsi" w:hAnsiTheme="minorHAnsi" w:cstheme="minorHAnsi"/>
          <w:sz w:val="24"/>
          <w:szCs w:val="24"/>
        </w:rPr>
        <w:t>François Rancy</w:t>
      </w:r>
    </w:p>
    <w:p w:rsidR="004A7970" w:rsidRPr="00B2565A" w:rsidRDefault="004A7970" w:rsidP="004A7970">
      <w:pPr>
        <w:spacing w:before="0" w:line="240" w:lineRule="auto"/>
        <w:jc w:val="left"/>
        <w:rPr>
          <w:rFonts w:asciiTheme="minorHAnsi" w:hAnsiTheme="minorHAnsi" w:cstheme="minorHAnsi"/>
          <w:sz w:val="24"/>
          <w:szCs w:val="24"/>
        </w:rPr>
      </w:pPr>
      <w:r w:rsidRPr="00B2565A">
        <w:rPr>
          <w:rFonts w:asciiTheme="minorHAnsi" w:hAnsiTheme="minorHAnsi" w:cstheme="minorHAnsi"/>
          <w:sz w:val="24"/>
          <w:szCs w:val="24"/>
        </w:rPr>
        <w:t>Director</w:t>
      </w:r>
    </w:p>
    <w:p w:rsidR="004A7970" w:rsidRPr="00B2565A" w:rsidRDefault="004A7970" w:rsidP="00B2565A">
      <w:pPr>
        <w:spacing w:before="1320"/>
        <w:ind w:left="1191" w:hanging="1191"/>
        <w:rPr>
          <w:sz w:val="24"/>
          <w:szCs w:val="24"/>
        </w:rPr>
      </w:pPr>
      <w:r w:rsidRPr="00B2565A">
        <w:rPr>
          <w:b/>
          <w:bCs/>
          <w:sz w:val="24"/>
          <w:szCs w:val="24"/>
        </w:rPr>
        <w:t>Annex:</w:t>
      </w:r>
      <w:r w:rsidRPr="00B2565A">
        <w:rPr>
          <w:sz w:val="24"/>
          <w:szCs w:val="24"/>
        </w:rPr>
        <w:t xml:space="preserve"> </w:t>
      </w:r>
      <w:r w:rsidRPr="00B2565A">
        <w:rPr>
          <w:sz w:val="24"/>
          <w:szCs w:val="24"/>
        </w:rPr>
        <w:tab/>
        <w:t>Titles and summaries of the draft Recommendations</w:t>
      </w:r>
    </w:p>
    <w:p w:rsidR="004A7970" w:rsidRPr="00B2565A" w:rsidRDefault="004A7970" w:rsidP="0082129A">
      <w:pPr>
        <w:tabs>
          <w:tab w:val="clear" w:pos="1588"/>
          <w:tab w:val="left" w:pos="2552"/>
        </w:tabs>
        <w:spacing w:before="720"/>
        <w:ind w:left="1985" w:hanging="1985"/>
        <w:rPr>
          <w:sz w:val="24"/>
          <w:szCs w:val="24"/>
        </w:rPr>
      </w:pPr>
      <w:r w:rsidRPr="00B2565A">
        <w:rPr>
          <w:b/>
          <w:bCs/>
          <w:sz w:val="24"/>
          <w:szCs w:val="24"/>
        </w:rPr>
        <w:t>Documents:</w:t>
      </w:r>
      <w:r w:rsidRPr="00B2565A">
        <w:rPr>
          <w:sz w:val="24"/>
          <w:szCs w:val="24"/>
        </w:rPr>
        <w:tab/>
        <w:t>Document</w:t>
      </w:r>
      <w:r w:rsidR="0082129A">
        <w:rPr>
          <w:sz w:val="24"/>
          <w:szCs w:val="24"/>
        </w:rPr>
        <w:t>s</w:t>
      </w:r>
      <w:r w:rsidRPr="00B2565A">
        <w:rPr>
          <w:sz w:val="24"/>
          <w:szCs w:val="24"/>
        </w:rPr>
        <w:t xml:space="preserve"> </w:t>
      </w:r>
      <w:r w:rsidR="00A31650" w:rsidRPr="00B2565A">
        <w:rPr>
          <w:sz w:val="24"/>
          <w:szCs w:val="24"/>
        </w:rPr>
        <w:t>5/221(Rev.1)</w:t>
      </w:r>
      <w:r w:rsidR="00C773B2">
        <w:rPr>
          <w:sz w:val="24"/>
          <w:szCs w:val="24"/>
        </w:rPr>
        <w:t>,</w:t>
      </w:r>
      <w:r w:rsidR="00A31650" w:rsidRPr="00B2565A">
        <w:rPr>
          <w:sz w:val="24"/>
          <w:szCs w:val="24"/>
        </w:rPr>
        <w:t xml:space="preserve"> </w:t>
      </w:r>
      <w:r w:rsidR="00C773B2">
        <w:rPr>
          <w:sz w:val="24"/>
          <w:szCs w:val="24"/>
        </w:rPr>
        <w:t>5/</w:t>
      </w:r>
      <w:r w:rsidR="00A31650" w:rsidRPr="00B2565A">
        <w:rPr>
          <w:sz w:val="24"/>
          <w:szCs w:val="24"/>
        </w:rPr>
        <w:t>222</w:t>
      </w:r>
      <w:r w:rsidRPr="00B2565A">
        <w:rPr>
          <w:sz w:val="24"/>
          <w:szCs w:val="24"/>
        </w:rPr>
        <w:t>(Rev.1)</w:t>
      </w:r>
      <w:r w:rsidR="000A504A">
        <w:rPr>
          <w:sz w:val="24"/>
          <w:szCs w:val="24"/>
        </w:rPr>
        <w:t>, 5/226(Rev.1), 5/227(Rev.2</w:t>
      </w:r>
      <w:r w:rsidR="00A31650" w:rsidRPr="00B2565A">
        <w:rPr>
          <w:sz w:val="24"/>
          <w:szCs w:val="24"/>
        </w:rPr>
        <w:t>), 5/228(Rev.</w:t>
      </w:r>
      <w:r w:rsidR="000A504A">
        <w:rPr>
          <w:sz w:val="24"/>
          <w:szCs w:val="24"/>
        </w:rPr>
        <w:t>2</w:t>
      </w:r>
      <w:r w:rsidR="00A31650" w:rsidRPr="00B2565A">
        <w:rPr>
          <w:sz w:val="24"/>
          <w:szCs w:val="24"/>
        </w:rPr>
        <w:t>), 5/229(Rev.</w:t>
      </w:r>
      <w:r w:rsidR="000A504A">
        <w:rPr>
          <w:sz w:val="24"/>
          <w:szCs w:val="24"/>
        </w:rPr>
        <w:t>2</w:t>
      </w:r>
      <w:r w:rsidR="00A31650" w:rsidRPr="00B2565A">
        <w:rPr>
          <w:sz w:val="24"/>
          <w:szCs w:val="24"/>
        </w:rPr>
        <w:t>), 5/238(Rev.1), 5/255(Rev.1), 5/257(Rev.1), 5/259(Rev.1), 5/266(Rev.1)</w:t>
      </w:r>
    </w:p>
    <w:p w:rsidR="004A7970" w:rsidRPr="00B2565A" w:rsidRDefault="004A7970" w:rsidP="00A31650">
      <w:pPr>
        <w:tabs>
          <w:tab w:val="clear" w:pos="1588"/>
          <w:tab w:val="left" w:pos="2552"/>
        </w:tabs>
        <w:rPr>
          <w:sz w:val="24"/>
          <w:szCs w:val="24"/>
        </w:rPr>
      </w:pPr>
      <w:r w:rsidRPr="00B2565A">
        <w:rPr>
          <w:sz w:val="24"/>
          <w:szCs w:val="24"/>
        </w:rPr>
        <w:t xml:space="preserve">These documents are available in electronic format at: </w:t>
      </w:r>
      <w:hyperlink r:id="rId10" w:history="1">
        <w:r w:rsidR="00A31650" w:rsidRPr="00B2565A">
          <w:rPr>
            <w:rStyle w:val="Hyperlink"/>
            <w:sz w:val="24"/>
            <w:szCs w:val="24"/>
          </w:rPr>
          <w:t>http://www.itu.int/md/R12-sg05-c/</w:t>
        </w:r>
      </w:hyperlink>
      <w:r w:rsidR="00A31650" w:rsidRPr="00B2565A">
        <w:rPr>
          <w:sz w:val="24"/>
          <w:szCs w:val="24"/>
        </w:rPr>
        <w:t xml:space="preserve"> </w:t>
      </w:r>
    </w:p>
    <w:p w:rsidR="004A7970" w:rsidRPr="00B2565A" w:rsidRDefault="004A7970" w:rsidP="00B2565A">
      <w:pPr>
        <w:tabs>
          <w:tab w:val="left" w:pos="284"/>
          <w:tab w:val="left" w:pos="568"/>
        </w:tabs>
        <w:spacing w:before="4560" w:after="60"/>
        <w:rPr>
          <w:b/>
          <w:bCs/>
          <w:sz w:val="18"/>
          <w:szCs w:val="18"/>
        </w:rPr>
      </w:pPr>
      <w:r w:rsidRPr="00B2565A">
        <w:rPr>
          <w:b/>
          <w:bCs/>
          <w:sz w:val="18"/>
          <w:szCs w:val="18"/>
        </w:rPr>
        <w:t>Distribution:</w:t>
      </w:r>
    </w:p>
    <w:p w:rsidR="004A7970" w:rsidRPr="00B2565A" w:rsidRDefault="004A7970" w:rsidP="00B2565A">
      <w:pPr>
        <w:tabs>
          <w:tab w:val="left" w:pos="567"/>
          <w:tab w:val="left" w:pos="6237"/>
        </w:tabs>
        <w:spacing w:before="0" w:line="240" w:lineRule="auto"/>
        <w:ind w:left="567" w:hanging="567"/>
        <w:jc w:val="left"/>
        <w:rPr>
          <w:rFonts w:asciiTheme="minorHAnsi" w:hAnsiTheme="minorHAnsi" w:cstheme="minorHAnsi"/>
          <w:sz w:val="18"/>
          <w:szCs w:val="18"/>
        </w:rPr>
      </w:pPr>
      <w:r w:rsidRPr="00B2565A">
        <w:rPr>
          <w:rFonts w:asciiTheme="minorHAnsi" w:hAnsiTheme="minorHAnsi" w:cstheme="minorHAnsi"/>
          <w:sz w:val="18"/>
          <w:szCs w:val="18"/>
        </w:rPr>
        <w:t>–</w:t>
      </w:r>
      <w:r w:rsidRPr="00B2565A">
        <w:rPr>
          <w:rFonts w:asciiTheme="minorHAnsi" w:hAnsiTheme="minorHAnsi" w:cstheme="minorHAnsi"/>
          <w:sz w:val="18"/>
          <w:szCs w:val="18"/>
        </w:rPr>
        <w:tab/>
        <w:t>Administrations of Member States of the ITU and Radiocommunication Sector Members</w:t>
      </w:r>
      <w:r w:rsidR="00B2565A">
        <w:rPr>
          <w:rFonts w:asciiTheme="minorHAnsi" w:hAnsiTheme="minorHAnsi" w:cstheme="minorHAnsi"/>
          <w:sz w:val="18"/>
          <w:szCs w:val="18"/>
        </w:rPr>
        <w:t xml:space="preserve"> </w:t>
      </w:r>
      <w:r w:rsidR="00B2565A">
        <w:rPr>
          <w:rFonts w:asciiTheme="minorHAnsi" w:hAnsiTheme="minorHAnsi" w:cstheme="minorHAnsi"/>
          <w:sz w:val="18"/>
          <w:szCs w:val="18"/>
        </w:rPr>
        <w:br/>
      </w:r>
      <w:r w:rsidRPr="00B2565A">
        <w:rPr>
          <w:rFonts w:asciiTheme="minorHAnsi" w:hAnsiTheme="minorHAnsi" w:cstheme="minorHAnsi"/>
          <w:sz w:val="18"/>
          <w:szCs w:val="18"/>
        </w:rPr>
        <w:t>participating</w:t>
      </w:r>
      <w:r w:rsidR="0077406E" w:rsidRPr="00B2565A">
        <w:rPr>
          <w:rFonts w:asciiTheme="minorHAnsi" w:hAnsiTheme="minorHAnsi" w:cstheme="minorHAnsi"/>
          <w:sz w:val="18"/>
          <w:szCs w:val="18"/>
        </w:rPr>
        <w:t xml:space="preserve"> </w:t>
      </w:r>
      <w:r w:rsidRPr="00B2565A">
        <w:rPr>
          <w:rFonts w:asciiTheme="minorHAnsi" w:hAnsiTheme="minorHAnsi" w:cstheme="minorHAnsi"/>
          <w:sz w:val="18"/>
          <w:szCs w:val="18"/>
        </w:rPr>
        <w:t>in the work of</w:t>
      </w:r>
      <w:r w:rsidR="0077406E" w:rsidRPr="00B2565A">
        <w:rPr>
          <w:rFonts w:asciiTheme="minorHAnsi" w:hAnsiTheme="minorHAnsi" w:cstheme="minorHAnsi"/>
          <w:sz w:val="18"/>
          <w:szCs w:val="18"/>
        </w:rPr>
        <w:t xml:space="preserve"> </w:t>
      </w:r>
      <w:r w:rsidRPr="00B2565A">
        <w:rPr>
          <w:rFonts w:asciiTheme="minorHAnsi" w:hAnsiTheme="minorHAnsi" w:cstheme="minorHAnsi"/>
          <w:sz w:val="18"/>
          <w:szCs w:val="18"/>
        </w:rPr>
        <w:t xml:space="preserve">Radiocommunication Study Group </w:t>
      </w:r>
      <w:r w:rsidR="00E83FBE" w:rsidRPr="00B2565A">
        <w:rPr>
          <w:rFonts w:asciiTheme="minorHAnsi" w:hAnsiTheme="minorHAnsi" w:cstheme="minorHAnsi"/>
          <w:sz w:val="18"/>
          <w:szCs w:val="18"/>
        </w:rPr>
        <w:t>5</w:t>
      </w:r>
    </w:p>
    <w:p w:rsidR="004A7970" w:rsidRPr="00B2565A" w:rsidRDefault="004A7970" w:rsidP="00B2565A">
      <w:pPr>
        <w:tabs>
          <w:tab w:val="left" w:pos="567"/>
          <w:tab w:val="left" w:pos="6237"/>
        </w:tabs>
        <w:spacing w:before="0" w:line="240" w:lineRule="auto"/>
        <w:jc w:val="left"/>
        <w:rPr>
          <w:rFonts w:asciiTheme="minorHAnsi" w:hAnsiTheme="minorHAnsi" w:cstheme="minorHAnsi"/>
          <w:sz w:val="18"/>
          <w:szCs w:val="18"/>
        </w:rPr>
      </w:pPr>
      <w:r w:rsidRPr="00B2565A">
        <w:rPr>
          <w:rFonts w:asciiTheme="minorHAnsi" w:hAnsiTheme="minorHAnsi" w:cstheme="minorHAnsi"/>
          <w:sz w:val="18"/>
          <w:szCs w:val="18"/>
        </w:rPr>
        <w:t>–</w:t>
      </w:r>
      <w:r w:rsidRPr="00B2565A">
        <w:rPr>
          <w:rFonts w:asciiTheme="minorHAnsi" w:hAnsiTheme="minorHAnsi" w:cstheme="minorHAnsi"/>
          <w:sz w:val="18"/>
          <w:szCs w:val="18"/>
        </w:rPr>
        <w:tab/>
        <w:t xml:space="preserve">ITU-R Associates participating in the work of Radiocommunication Study Group </w:t>
      </w:r>
      <w:r w:rsidR="00E83FBE" w:rsidRPr="00B2565A">
        <w:rPr>
          <w:rFonts w:asciiTheme="minorHAnsi" w:hAnsiTheme="minorHAnsi" w:cstheme="minorHAnsi"/>
          <w:sz w:val="18"/>
          <w:szCs w:val="18"/>
        </w:rPr>
        <w:t>5</w:t>
      </w:r>
    </w:p>
    <w:p w:rsidR="004A7970" w:rsidRPr="00B2565A" w:rsidRDefault="004A7970" w:rsidP="00B2565A">
      <w:pPr>
        <w:tabs>
          <w:tab w:val="left" w:pos="567"/>
          <w:tab w:val="left" w:pos="6237"/>
        </w:tabs>
        <w:spacing w:before="0" w:line="240" w:lineRule="auto"/>
        <w:ind w:left="567" w:hanging="567"/>
        <w:jc w:val="left"/>
        <w:rPr>
          <w:rFonts w:asciiTheme="minorHAnsi" w:hAnsiTheme="minorHAnsi" w:cstheme="minorHAnsi"/>
          <w:sz w:val="18"/>
          <w:szCs w:val="18"/>
        </w:rPr>
      </w:pPr>
      <w:r w:rsidRPr="00B2565A">
        <w:rPr>
          <w:rFonts w:asciiTheme="minorHAnsi" w:hAnsiTheme="minorHAnsi" w:cstheme="minorHAnsi"/>
          <w:sz w:val="18"/>
          <w:szCs w:val="18"/>
        </w:rPr>
        <w:t>–</w:t>
      </w:r>
      <w:r w:rsidRPr="00B2565A">
        <w:rPr>
          <w:rFonts w:asciiTheme="minorHAnsi" w:hAnsiTheme="minorHAnsi" w:cstheme="minorHAnsi"/>
          <w:sz w:val="18"/>
          <w:szCs w:val="18"/>
        </w:rPr>
        <w:tab/>
        <w:t>Chairmen and Vice-Chairmen of Radiocommunication Study Groups and the Special Committee</w:t>
      </w:r>
      <w:r w:rsidR="00B2565A">
        <w:rPr>
          <w:rFonts w:asciiTheme="minorHAnsi" w:hAnsiTheme="minorHAnsi" w:cstheme="minorHAnsi"/>
          <w:sz w:val="18"/>
          <w:szCs w:val="18"/>
        </w:rPr>
        <w:t xml:space="preserve"> </w:t>
      </w:r>
      <w:r w:rsidR="00B2565A">
        <w:rPr>
          <w:rFonts w:asciiTheme="minorHAnsi" w:hAnsiTheme="minorHAnsi" w:cstheme="minorHAnsi"/>
          <w:sz w:val="18"/>
          <w:szCs w:val="18"/>
        </w:rPr>
        <w:br/>
      </w:r>
      <w:r w:rsidRPr="00B2565A">
        <w:rPr>
          <w:rFonts w:asciiTheme="minorHAnsi" w:hAnsiTheme="minorHAnsi" w:cstheme="minorHAnsi"/>
          <w:sz w:val="18"/>
          <w:szCs w:val="18"/>
        </w:rPr>
        <w:t>on Regulatory/Procedural Matters</w:t>
      </w:r>
    </w:p>
    <w:p w:rsidR="004A7970" w:rsidRPr="00B2565A" w:rsidRDefault="004A7970" w:rsidP="00B2565A">
      <w:pPr>
        <w:tabs>
          <w:tab w:val="left" w:pos="567"/>
          <w:tab w:val="left" w:pos="6237"/>
        </w:tabs>
        <w:spacing w:before="0" w:line="240" w:lineRule="auto"/>
        <w:jc w:val="left"/>
        <w:rPr>
          <w:rFonts w:asciiTheme="minorHAnsi" w:hAnsiTheme="minorHAnsi" w:cstheme="minorHAnsi"/>
          <w:sz w:val="18"/>
          <w:szCs w:val="18"/>
        </w:rPr>
      </w:pPr>
      <w:r w:rsidRPr="00B2565A">
        <w:rPr>
          <w:rFonts w:asciiTheme="minorHAnsi" w:hAnsiTheme="minorHAnsi" w:cstheme="minorHAnsi"/>
          <w:sz w:val="18"/>
          <w:szCs w:val="18"/>
        </w:rPr>
        <w:t>–</w:t>
      </w:r>
      <w:r w:rsidRPr="00B2565A">
        <w:rPr>
          <w:rFonts w:asciiTheme="minorHAnsi" w:hAnsiTheme="minorHAnsi" w:cstheme="minorHAnsi"/>
          <w:sz w:val="18"/>
          <w:szCs w:val="18"/>
        </w:rPr>
        <w:tab/>
        <w:t>Chairman and Vice-Chairmen of the Conference Preparatory Meeting</w:t>
      </w:r>
    </w:p>
    <w:p w:rsidR="004A7970" w:rsidRPr="00B2565A" w:rsidRDefault="004A7970" w:rsidP="00B2565A">
      <w:pPr>
        <w:tabs>
          <w:tab w:val="left" w:pos="567"/>
          <w:tab w:val="left" w:pos="6237"/>
        </w:tabs>
        <w:spacing w:before="0" w:line="240" w:lineRule="auto"/>
        <w:jc w:val="left"/>
        <w:rPr>
          <w:rFonts w:asciiTheme="minorHAnsi" w:hAnsiTheme="minorHAnsi" w:cstheme="minorHAnsi"/>
          <w:sz w:val="18"/>
          <w:szCs w:val="18"/>
        </w:rPr>
      </w:pPr>
      <w:r w:rsidRPr="00B2565A">
        <w:rPr>
          <w:rFonts w:asciiTheme="minorHAnsi" w:hAnsiTheme="minorHAnsi" w:cstheme="minorHAnsi"/>
          <w:sz w:val="18"/>
          <w:szCs w:val="18"/>
        </w:rPr>
        <w:t>–</w:t>
      </w:r>
      <w:r w:rsidRPr="00B2565A">
        <w:rPr>
          <w:rFonts w:asciiTheme="minorHAnsi" w:hAnsiTheme="minorHAnsi" w:cstheme="minorHAnsi"/>
          <w:sz w:val="18"/>
          <w:szCs w:val="18"/>
        </w:rPr>
        <w:tab/>
        <w:t>Members of the Radio Regulations Board</w:t>
      </w:r>
    </w:p>
    <w:p w:rsidR="004A7970" w:rsidRPr="00B2565A" w:rsidRDefault="004A7970" w:rsidP="00B2565A">
      <w:pPr>
        <w:pStyle w:val="BodyTextIndent"/>
        <w:rPr>
          <w:rFonts w:asciiTheme="minorHAnsi" w:hAnsiTheme="minorHAnsi" w:cstheme="minorHAnsi"/>
          <w:sz w:val="18"/>
          <w:szCs w:val="18"/>
          <w:lang w:val="en-US"/>
        </w:rPr>
      </w:pPr>
      <w:r w:rsidRPr="00B2565A">
        <w:rPr>
          <w:rFonts w:asciiTheme="minorHAnsi" w:hAnsiTheme="minorHAnsi" w:cstheme="minorHAnsi"/>
          <w:sz w:val="18"/>
          <w:szCs w:val="18"/>
          <w:lang w:val="en-US"/>
        </w:rPr>
        <w:t>–</w:t>
      </w:r>
      <w:r w:rsidRPr="00B2565A">
        <w:rPr>
          <w:rFonts w:asciiTheme="minorHAnsi" w:hAnsiTheme="minorHAnsi" w:cstheme="minorHAnsi"/>
          <w:sz w:val="18"/>
          <w:szCs w:val="18"/>
          <w:lang w:val="en-US"/>
        </w:rPr>
        <w:tab/>
        <w:t xml:space="preserve">Secretary-General of the ITU, Director of the Telecommunication Standardization Bureau, </w:t>
      </w:r>
      <w:r w:rsidR="00B2565A">
        <w:rPr>
          <w:rFonts w:asciiTheme="minorHAnsi" w:hAnsiTheme="minorHAnsi" w:cstheme="minorHAnsi"/>
          <w:sz w:val="18"/>
          <w:szCs w:val="18"/>
          <w:lang w:val="en-US"/>
        </w:rPr>
        <w:br/>
      </w:r>
      <w:r w:rsidRPr="00B2565A">
        <w:rPr>
          <w:rFonts w:asciiTheme="minorHAnsi" w:hAnsiTheme="minorHAnsi" w:cstheme="minorHAnsi"/>
          <w:sz w:val="18"/>
          <w:szCs w:val="18"/>
          <w:lang w:val="en-US"/>
        </w:rPr>
        <w:t>Director of the Telecommunication</w:t>
      </w:r>
      <w:r w:rsidR="00BF5F50" w:rsidRPr="00B2565A">
        <w:rPr>
          <w:rFonts w:asciiTheme="minorHAnsi" w:hAnsiTheme="minorHAnsi" w:cstheme="minorHAnsi"/>
          <w:sz w:val="18"/>
          <w:szCs w:val="18"/>
          <w:lang w:val="en-US"/>
        </w:rPr>
        <w:t xml:space="preserve"> </w:t>
      </w:r>
      <w:r w:rsidRPr="00B2565A">
        <w:rPr>
          <w:rFonts w:asciiTheme="minorHAnsi" w:hAnsiTheme="minorHAnsi" w:cstheme="minorHAnsi"/>
          <w:sz w:val="18"/>
          <w:szCs w:val="18"/>
          <w:lang w:val="en-US"/>
        </w:rPr>
        <w:t>Development Bureau</w:t>
      </w:r>
    </w:p>
    <w:p w:rsidR="004A7970" w:rsidRPr="00B2565A" w:rsidRDefault="004A7970" w:rsidP="00141998">
      <w:pPr>
        <w:pStyle w:val="AnnexNotitle0"/>
        <w:rPr>
          <w:rFonts w:asciiTheme="minorHAnsi" w:hAnsiTheme="minorHAnsi" w:cstheme="minorHAnsi"/>
          <w:szCs w:val="28"/>
          <w:lang w:val="en-US"/>
        </w:rPr>
      </w:pPr>
      <w:r w:rsidRPr="00B2565A">
        <w:rPr>
          <w:lang w:val="en-US"/>
        </w:rPr>
        <w:br w:type="page"/>
      </w:r>
      <w:r w:rsidRPr="00B2565A">
        <w:rPr>
          <w:rFonts w:asciiTheme="minorHAnsi" w:hAnsiTheme="minorHAnsi" w:cstheme="minorHAnsi"/>
          <w:szCs w:val="28"/>
          <w:lang w:val="en-US"/>
        </w:rPr>
        <w:lastRenderedPageBreak/>
        <w:t>Annex</w:t>
      </w:r>
      <w:r w:rsidR="00141998">
        <w:rPr>
          <w:rFonts w:asciiTheme="minorHAnsi" w:hAnsiTheme="minorHAnsi" w:cstheme="minorHAnsi"/>
          <w:szCs w:val="28"/>
          <w:lang w:val="en-US"/>
        </w:rPr>
        <w:br/>
      </w:r>
      <w:r w:rsidR="00141998">
        <w:rPr>
          <w:rFonts w:asciiTheme="minorHAnsi" w:hAnsiTheme="minorHAnsi" w:cstheme="minorHAnsi"/>
          <w:szCs w:val="28"/>
          <w:lang w:val="en-US"/>
        </w:rPr>
        <w:br/>
      </w:r>
      <w:r w:rsidRPr="00B2565A">
        <w:rPr>
          <w:rFonts w:asciiTheme="minorHAnsi" w:hAnsiTheme="minorHAnsi" w:cstheme="minorHAnsi"/>
          <w:szCs w:val="28"/>
          <w:lang w:val="en-US"/>
        </w:rPr>
        <w:t>Titles and summaries of the draft Recommendations</w:t>
      </w:r>
    </w:p>
    <w:p w:rsidR="004A7970" w:rsidRPr="00B2565A" w:rsidRDefault="004A7970" w:rsidP="00B2565A">
      <w:pPr>
        <w:tabs>
          <w:tab w:val="right" w:pos="9639"/>
        </w:tabs>
        <w:spacing w:before="240"/>
        <w:rPr>
          <w:rFonts w:asciiTheme="minorHAnsi" w:hAnsiTheme="minorHAnsi" w:cstheme="minorHAnsi"/>
          <w:sz w:val="24"/>
          <w:szCs w:val="24"/>
        </w:rPr>
      </w:pPr>
      <w:r w:rsidRPr="00B2565A">
        <w:rPr>
          <w:rFonts w:asciiTheme="minorHAnsi" w:hAnsiTheme="minorHAnsi" w:cstheme="minorHAnsi"/>
          <w:sz w:val="24"/>
          <w:szCs w:val="24"/>
          <w:u w:val="single"/>
        </w:rPr>
        <w:t xml:space="preserve">Draft new Recommendation ITU-R </w:t>
      </w:r>
      <w:r w:rsidR="005B797D" w:rsidRPr="00B2565A">
        <w:rPr>
          <w:rFonts w:asciiTheme="minorHAnsi" w:hAnsiTheme="minorHAnsi" w:cstheme="minorHAnsi"/>
          <w:sz w:val="24"/>
          <w:szCs w:val="24"/>
          <w:u w:val="single"/>
        </w:rPr>
        <w:t>M.[V2X]</w:t>
      </w:r>
      <w:r w:rsidRPr="00B2565A">
        <w:rPr>
          <w:rFonts w:asciiTheme="minorHAnsi" w:hAnsiTheme="minorHAnsi" w:cstheme="minorHAnsi"/>
          <w:sz w:val="24"/>
          <w:szCs w:val="24"/>
        </w:rPr>
        <w:tab/>
        <w:t xml:space="preserve">Doc. </w:t>
      </w:r>
      <w:r w:rsidR="005B797D" w:rsidRPr="00B2565A">
        <w:rPr>
          <w:rFonts w:asciiTheme="minorHAnsi" w:hAnsiTheme="minorHAnsi" w:cstheme="minorHAnsi"/>
          <w:sz w:val="24"/>
          <w:szCs w:val="24"/>
        </w:rPr>
        <w:t>5</w:t>
      </w:r>
      <w:r w:rsidRPr="00B2565A">
        <w:rPr>
          <w:rFonts w:asciiTheme="minorHAnsi" w:hAnsiTheme="minorHAnsi" w:cstheme="minorHAnsi"/>
          <w:sz w:val="24"/>
          <w:szCs w:val="24"/>
        </w:rPr>
        <w:t>/</w:t>
      </w:r>
      <w:r w:rsidR="005B797D" w:rsidRPr="00B2565A">
        <w:rPr>
          <w:rFonts w:asciiTheme="minorHAnsi" w:hAnsiTheme="minorHAnsi" w:cstheme="minorHAnsi"/>
          <w:sz w:val="24"/>
          <w:szCs w:val="24"/>
        </w:rPr>
        <w:t>222</w:t>
      </w:r>
      <w:r w:rsidRPr="00B2565A">
        <w:rPr>
          <w:rFonts w:asciiTheme="minorHAnsi" w:hAnsiTheme="minorHAnsi" w:cstheme="minorHAnsi"/>
          <w:sz w:val="24"/>
          <w:szCs w:val="24"/>
        </w:rPr>
        <w:t>(Rev.1)</w:t>
      </w:r>
    </w:p>
    <w:p w:rsidR="004A7970" w:rsidRPr="00B2565A" w:rsidRDefault="005B797D" w:rsidP="00141998">
      <w:pPr>
        <w:tabs>
          <w:tab w:val="right" w:pos="9639"/>
        </w:tabs>
        <w:spacing w:before="240"/>
        <w:jc w:val="center"/>
        <w:rPr>
          <w:rStyle w:val="RectitleChar"/>
          <w:rFonts w:asciiTheme="minorHAnsi" w:eastAsia="MS Mincho" w:hAnsiTheme="minorHAnsi" w:cstheme="minorHAnsi"/>
          <w:bCs/>
          <w:szCs w:val="28"/>
        </w:rPr>
      </w:pPr>
      <w:r w:rsidRPr="00B2565A">
        <w:rPr>
          <w:b/>
          <w:bCs/>
          <w:sz w:val="28"/>
          <w:szCs w:val="28"/>
        </w:rPr>
        <w:t>Radio interface standards</w:t>
      </w:r>
      <w:r w:rsidRPr="00B2565A">
        <w:rPr>
          <w:b/>
          <w:bCs/>
          <w:sz w:val="28"/>
          <w:szCs w:val="28"/>
          <w:lang w:eastAsia="ja-JP"/>
        </w:rPr>
        <w:t xml:space="preserve"> of</w:t>
      </w:r>
      <w:r w:rsidRPr="00B2565A">
        <w:rPr>
          <w:b/>
          <w:bCs/>
          <w:sz w:val="28"/>
          <w:szCs w:val="28"/>
        </w:rPr>
        <w:t xml:space="preserve"> </w:t>
      </w:r>
      <w:r w:rsidRPr="00B2565A">
        <w:rPr>
          <w:b/>
          <w:bCs/>
          <w:sz w:val="28"/>
          <w:szCs w:val="28"/>
          <w:lang w:eastAsia="ja-JP"/>
        </w:rPr>
        <w:t>vehicle-to-vehicle and vehicle-to-infrastructure communications</w:t>
      </w:r>
      <w:r w:rsidRPr="00B2565A">
        <w:rPr>
          <w:b/>
          <w:bCs/>
          <w:sz w:val="28"/>
          <w:szCs w:val="28"/>
        </w:rPr>
        <w:t xml:space="preserve"> for </w:t>
      </w:r>
      <w:r w:rsidRPr="00B2565A">
        <w:rPr>
          <w:b/>
          <w:bCs/>
          <w:sz w:val="28"/>
          <w:szCs w:val="28"/>
          <w:lang w:eastAsia="ja-JP"/>
        </w:rPr>
        <w:t>Intelligent Transport System</w:t>
      </w:r>
      <w:r w:rsidRPr="00B2565A">
        <w:rPr>
          <w:b/>
          <w:bCs/>
          <w:sz w:val="28"/>
          <w:szCs w:val="28"/>
        </w:rPr>
        <w:t xml:space="preserve"> applications</w:t>
      </w:r>
    </w:p>
    <w:p w:rsidR="005B797D" w:rsidRPr="00B2565A" w:rsidRDefault="005B797D" w:rsidP="008745C6">
      <w:pPr>
        <w:rPr>
          <w:rFonts w:asciiTheme="minorHAnsi" w:hAnsiTheme="minorHAnsi" w:cstheme="majorBidi"/>
          <w:sz w:val="24"/>
          <w:szCs w:val="24"/>
          <w:lang w:eastAsia="ja-JP"/>
        </w:rPr>
      </w:pPr>
      <w:r w:rsidRPr="00B2565A">
        <w:rPr>
          <w:rFonts w:asciiTheme="minorHAnsi" w:hAnsiTheme="minorHAnsi" w:cstheme="majorBidi"/>
          <w:sz w:val="24"/>
          <w:szCs w:val="24"/>
        </w:rPr>
        <w:t xml:space="preserve">This Recommendation identifies specific radio interface standards </w:t>
      </w:r>
      <w:r w:rsidRPr="00B2565A">
        <w:rPr>
          <w:rFonts w:asciiTheme="minorHAnsi" w:hAnsiTheme="minorHAnsi" w:cstheme="majorBidi"/>
          <w:sz w:val="24"/>
          <w:szCs w:val="24"/>
          <w:lang w:eastAsia="ja-JP"/>
        </w:rPr>
        <w:t xml:space="preserve">of vehicle-to-vehicle and vehicle-to-infrastructure communications </w:t>
      </w:r>
      <w:r w:rsidRPr="00B2565A">
        <w:rPr>
          <w:rFonts w:asciiTheme="minorHAnsi" w:hAnsiTheme="minorHAnsi" w:cstheme="majorBidi"/>
          <w:sz w:val="24"/>
          <w:szCs w:val="24"/>
        </w:rPr>
        <w:t>for</w:t>
      </w:r>
      <w:r w:rsidRPr="00B2565A">
        <w:rPr>
          <w:rFonts w:asciiTheme="minorHAnsi" w:hAnsiTheme="minorHAnsi" w:cstheme="majorBidi"/>
          <w:sz w:val="24"/>
          <w:szCs w:val="24"/>
          <w:lang w:eastAsia="ja-JP"/>
        </w:rPr>
        <w:t xml:space="preserve"> Intelligent Transport System</w:t>
      </w:r>
      <w:r w:rsidRPr="00B2565A">
        <w:rPr>
          <w:rFonts w:asciiTheme="minorHAnsi" w:hAnsiTheme="minorHAnsi" w:cstheme="majorBidi"/>
          <w:sz w:val="24"/>
          <w:szCs w:val="24"/>
        </w:rPr>
        <w:t xml:space="preserve"> </w:t>
      </w:r>
      <w:r w:rsidRPr="00B2565A">
        <w:rPr>
          <w:rFonts w:asciiTheme="minorHAnsi" w:hAnsiTheme="minorHAnsi" w:cstheme="majorBidi"/>
          <w:sz w:val="24"/>
          <w:szCs w:val="24"/>
          <w:lang w:eastAsia="ja-JP"/>
        </w:rPr>
        <w:t>applications</w:t>
      </w:r>
      <w:r w:rsidRPr="00B2565A">
        <w:rPr>
          <w:rFonts w:asciiTheme="minorHAnsi" w:hAnsiTheme="minorHAnsi" w:cstheme="majorBidi"/>
          <w:sz w:val="24"/>
          <w:szCs w:val="24"/>
        </w:rPr>
        <w:t xml:space="preserve">. The technical and operational characteristics described in this Recommendation are based on current and existing frequency bands already in use for </w:t>
      </w:r>
      <w:r w:rsidRPr="00B2565A">
        <w:rPr>
          <w:rFonts w:asciiTheme="minorHAnsi" w:hAnsiTheme="minorHAnsi" w:cstheme="majorBidi"/>
          <w:sz w:val="24"/>
          <w:szCs w:val="24"/>
          <w:lang w:eastAsia="ja-JP"/>
        </w:rPr>
        <w:t>Intelligent Transport Systems</w:t>
      </w:r>
      <w:r w:rsidRPr="00B2565A">
        <w:rPr>
          <w:rFonts w:asciiTheme="minorHAnsi" w:hAnsiTheme="minorHAnsi" w:cstheme="majorBidi"/>
          <w:sz w:val="24"/>
          <w:szCs w:val="24"/>
        </w:rPr>
        <w:t xml:space="preserve"> and </w:t>
      </w:r>
      <w:r w:rsidRPr="00B2565A">
        <w:rPr>
          <w:rFonts w:asciiTheme="minorHAnsi" w:hAnsiTheme="minorHAnsi" w:cstheme="majorBidi"/>
          <w:sz w:val="24"/>
          <w:szCs w:val="24"/>
          <w:lang w:eastAsia="ja-JP"/>
        </w:rPr>
        <w:t xml:space="preserve">the </w:t>
      </w:r>
      <w:r w:rsidRPr="00B2565A">
        <w:rPr>
          <w:rFonts w:asciiTheme="minorHAnsi" w:hAnsiTheme="minorHAnsi" w:cstheme="majorBidi"/>
          <w:sz w:val="24"/>
          <w:szCs w:val="24"/>
        </w:rPr>
        <w:t>applications in the mobile service.</w:t>
      </w:r>
    </w:p>
    <w:p w:rsidR="005B797D" w:rsidRPr="00B2565A" w:rsidRDefault="005B797D" w:rsidP="00141998">
      <w:pPr>
        <w:tabs>
          <w:tab w:val="right" w:pos="9639"/>
        </w:tabs>
        <w:spacing w:before="480"/>
        <w:rPr>
          <w:rFonts w:asciiTheme="minorHAnsi" w:hAnsiTheme="minorHAnsi" w:cstheme="minorHAnsi"/>
          <w:sz w:val="24"/>
          <w:szCs w:val="24"/>
        </w:rPr>
      </w:pPr>
      <w:r w:rsidRPr="00B2565A">
        <w:rPr>
          <w:rFonts w:asciiTheme="minorHAnsi" w:hAnsiTheme="minorHAnsi" w:cstheme="minorHAnsi"/>
          <w:sz w:val="24"/>
          <w:szCs w:val="24"/>
          <w:u w:val="single"/>
        </w:rPr>
        <w:t>Draft new Recommendation ITU-R M.[WAIC_CONDITIONS]</w:t>
      </w:r>
      <w:r w:rsidRPr="00B2565A">
        <w:rPr>
          <w:rFonts w:asciiTheme="minorHAnsi" w:hAnsiTheme="minorHAnsi" w:cstheme="minorHAnsi"/>
          <w:sz w:val="24"/>
          <w:szCs w:val="24"/>
        </w:rPr>
        <w:tab/>
        <w:t>Doc. 5/226(Rev.1)</w:t>
      </w:r>
    </w:p>
    <w:p w:rsidR="005B797D" w:rsidRPr="00B2565A" w:rsidRDefault="005B797D" w:rsidP="005B797D">
      <w:pPr>
        <w:spacing w:before="240"/>
        <w:jc w:val="center"/>
        <w:rPr>
          <w:rStyle w:val="RectitleChar"/>
          <w:rFonts w:asciiTheme="minorHAnsi" w:hAnsiTheme="minorHAnsi" w:cstheme="minorHAnsi"/>
          <w:b w:val="0"/>
          <w:bCs/>
          <w:szCs w:val="28"/>
        </w:rPr>
      </w:pPr>
      <w:r w:rsidRPr="00B2565A">
        <w:rPr>
          <w:b/>
          <w:bCs/>
          <w:sz w:val="28"/>
          <w:szCs w:val="28"/>
        </w:rPr>
        <w:t>Technical conditions for the use of wireless avionics intra-communication</w:t>
      </w:r>
      <w:r w:rsidRPr="00B2565A">
        <w:rPr>
          <w:b/>
          <w:bCs/>
          <w:sz w:val="28"/>
          <w:szCs w:val="28"/>
        </w:rPr>
        <w:br/>
        <w:t>systems operating in the aeronautical mobile (R) service in</w:t>
      </w:r>
      <w:r w:rsidRPr="00B2565A">
        <w:rPr>
          <w:b/>
          <w:bCs/>
          <w:sz w:val="28"/>
          <w:szCs w:val="28"/>
        </w:rPr>
        <w:br/>
        <w:t>the frequency band 4 200- 4 400 MHz</w:t>
      </w:r>
    </w:p>
    <w:p w:rsidR="005B797D" w:rsidRPr="00B2565A" w:rsidRDefault="005B797D" w:rsidP="008745C6">
      <w:pPr>
        <w:rPr>
          <w:sz w:val="24"/>
          <w:szCs w:val="24"/>
        </w:rPr>
      </w:pPr>
      <w:r w:rsidRPr="00B2565A">
        <w:rPr>
          <w:sz w:val="24"/>
          <w:szCs w:val="24"/>
        </w:rPr>
        <w:t>This Recommendation provides technical conditions for the use of the aeronautical mobile (R) service reserved exclusively for wireless avionics intra-communication systems in the frequency band 4 200</w:t>
      </w:r>
      <w:r w:rsidRPr="00B2565A">
        <w:rPr>
          <w:sz w:val="24"/>
          <w:szCs w:val="24"/>
        </w:rPr>
        <w:noBreakHyphen/>
        <w:t>4 400</w:t>
      </w:r>
      <w:r w:rsidR="00141998">
        <w:rPr>
          <w:sz w:val="24"/>
          <w:szCs w:val="24"/>
        </w:rPr>
        <w:t> </w:t>
      </w:r>
      <w:r w:rsidRPr="00B2565A">
        <w:rPr>
          <w:sz w:val="24"/>
          <w:szCs w:val="24"/>
        </w:rPr>
        <w:t>MHz.</w:t>
      </w:r>
    </w:p>
    <w:p w:rsidR="005B797D" w:rsidRPr="00B2565A" w:rsidRDefault="005B797D" w:rsidP="00141998">
      <w:pPr>
        <w:tabs>
          <w:tab w:val="right" w:pos="9639"/>
        </w:tabs>
        <w:spacing w:before="480"/>
        <w:rPr>
          <w:rFonts w:asciiTheme="minorHAnsi" w:hAnsiTheme="minorHAnsi" w:cstheme="minorHAnsi"/>
          <w:sz w:val="24"/>
          <w:szCs w:val="24"/>
        </w:rPr>
      </w:pPr>
      <w:r w:rsidRPr="00B2565A">
        <w:rPr>
          <w:rFonts w:asciiTheme="minorHAnsi" w:hAnsiTheme="minorHAnsi" w:cstheme="minorHAnsi"/>
          <w:sz w:val="24"/>
          <w:szCs w:val="24"/>
          <w:u w:val="single"/>
        </w:rPr>
        <w:t>Draft new Recommendation ITU-R F.[FS DEPLOY]</w:t>
      </w:r>
      <w:r w:rsidRPr="00B2565A">
        <w:rPr>
          <w:rFonts w:asciiTheme="minorHAnsi" w:hAnsiTheme="minorHAnsi" w:cstheme="minorHAnsi"/>
          <w:sz w:val="24"/>
          <w:szCs w:val="24"/>
        </w:rPr>
        <w:tab/>
        <w:t>Doc. 5/2</w:t>
      </w:r>
      <w:r w:rsidR="00C76659" w:rsidRPr="00B2565A">
        <w:rPr>
          <w:rFonts w:asciiTheme="minorHAnsi" w:hAnsiTheme="minorHAnsi" w:cstheme="minorHAnsi"/>
          <w:sz w:val="24"/>
          <w:szCs w:val="24"/>
        </w:rPr>
        <w:t>55</w:t>
      </w:r>
      <w:r w:rsidRPr="00B2565A">
        <w:rPr>
          <w:rFonts w:asciiTheme="minorHAnsi" w:hAnsiTheme="minorHAnsi" w:cstheme="minorHAnsi"/>
          <w:sz w:val="24"/>
          <w:szCs w:val="24"/>
        </w:rPr>
        <w:t>(Rev.1)</w:t>
      </w:r>
    </w:p>
    <w:p w:rsidR="004A7970" w:rsidRPr="00B2565A" w:rsidRDefault="005B797D" w:rsidP="00141998">
      <w:pPr>
        <w:spacing w:before="240"/>
        <w:jc w:val="center"/>
        <w:rPr>
          <w:b/>
          <w:bCs/>
          <w:sz w:val="28"/>
          <w:szCs w:val="28"/>
        </w:rPr>
      </w:pPr>
      <w:r w:rsidRPr="00B2565A">
        <w:rPr>
          <w:b/>
          <w:bCs/>
          <w:sz w:val="28"/>
          <w:szCs w:val="28"/>
        </w:rPr>
        <w:t>Deployment scenarios for point-to-point systems in the fixed service</w:t>
      </w:r>
    </w:p>
    <w:p w:rsidR="005B797D" w:rsidRPr="00B2565A" w:rsidRDefault="005B797D" w:rsidP="00141998">
      <w:pPr>
        <w:pStyle w:val="Summary"/>
        <w:spacing w:before="160" w:after="0"/>
        <w:jc w:val="left"/>
        <w:rPr>
          <w:rFonts w:asciiTheme="minorHAnsi" w:hAnsiTheme="minorHAnsi"/>
          <w:sz w:val="24"/>
          <w:szCs w:val="24"/>
          <w:lang w:val="en-US"/>
        </w:rPr>
      </w:pPr>
      <w:r w:rsidRPr="00B2565A">
        <w:rPr>
          <w:rFonts w:asciiTheme="minorHAnsi" w:hAnsiTheme="minorHAnsi"/>
          <w:sz w:val="24"/>
          <w:szCs w:val="24"/>
          <w:lang w:val="en-US"/>
        </w:rPr>
        <w:t xml:space="preserve">This Recommendation contains information on deployment scenarios and related statistics for </w:t>
      </w:r>
      <w:r w:rsidRPr="00B2565A">
        <w:rPr>
          <w:rFonts w:asciiTheme="minorHAnsi" w:hAnsiTheme="minorHAnsi"/>
          <w:sz w:val="24"/>
          <w:szCs w:val="24"/>
          <w:lang w:val="en-US" w:eastAsia="ja-JP"/>
        </w:rPr>
        <w:t xml:space="preserve">some </w:t>
      </w:r>
      <w:r w:rsidRPr="00B2565A">
        <w:rPr>
          <w:rFonts w:asciiTheme="minorHAnsi" w:hAnsiTheme="minorHAnsi"/>
          <w:sz w:val="24"/>
          <w:szCs w:val="24"/>
          <w:lang w:val="en-US"/>
        </w:rPr>
        <w:t>point</w:t>
      </w:r>
      <w:r w:rsidRPr="00B2565A">
        <w:rPr>
          <w:rFonts w:asciiTheme="minorHAnsi" w:hAnsiTheme="minorHAnsi"/>
          <w:sz w:val="24"/>
          <w:szCs w:val="24"/>
          <w:lang w:val="en-US"/>
        </w:rPr>
        <w:noBreakHyphen/>
        <w:t>to</w:t>
      </w:r>
      <w:r w:rsidRPr="00B2565A">
        <w:rPr>
          <w:rFonts w:asciiTheme="minorHAnsi" w:hAnsiTheme="minorHAnsi"/>
          <w:sz w:val="24"/>
          <w:szCs w:val="24"/>
          <w:lang w:val="en-US"/>
        </w:rPr>
        <w:noBreakHyphen/>
        <w:t xml:space="preserve">point </w:t>
      </w:r>
      <w:r w:rsidRPr="00B2565A">
        <w:rPr>
          <w:rFonts w:asciiTheme="minorHAnsi" w:hAnsiTheme="minorHAnsi"/>
          <w:sz w:val="24"/>
          <w:szCs w:val="24"/>
          <w:lang w:val="en-US" w:eastAsia="ja-JP"/>
        </w:rPr>
        <w:t>fixed wireless</w:t>
      </w:r>
      <w:r w:rsidRPr="00B2565A">
        <w:rPr>
          <w:rFonts w:asciiTheme="minorHAnsi" w:hAnsiTheme="minorHAnsi"/>
          <w:sz w:val="24"/>
          <w:szCs w:val="24"/>
          <w:lang w:val="en-US"/>
        </w:rPr>
        <w:t xml:space="preserve"> systems in the fixed service</w:t>
      </w:r>
      <w:r w:rsidRPr="00B2565A">
        <w:rPr>
          <w:rFonts w:asciiTheme="minorHAnsi" w:hAnsiTheme="minorHAnsi"/>
          <w:sz w:val="24"/>
          <w:szCs w:val="24"/>
          <w:lang w:val="en-US" w:eastAsia="ja-JP"/>
        </w:rPr>
        <w:t xml:space="preserve"> operating in the frequency range 1.4-86 GHz</w:t>
      </w:r>
      <w:r w:rsidRPr="00B2565A">
        <w:rPr>
          <w:rFonts w:asciiTheme="minorHAnsi" w:hAnsiTheme="minorHAnsi"/>
          <w:sz w:val="24"/>
          <w:szCs w:val="24"/>
          <w:lang w:val="en-US"/>
        </w:rPr>
        <w:t xml:space="preserve">. This information can be used in sharing and interference studies between </w:t>
      </w:r>
      <w:r w:rsidRPr="00B2565A">
        <w:rPr>
          <w:rFonts w:asciiTheme="minorHAnsi" w:hAnsiTheme="minorHAnsi"/>
          <w:sz w:val="24"/>
          <w:szCs w:val="24"/>
          <w:lang w:val="en-US" w:eastAsia="ja-JP"/>
        </w:rPr>
        <w:t xml:space="preserve">these </w:t>
      </w:r>
      <w:r w:rsidRPr="00B2565A">
        <w:rPr>
          <w:rFonts w:asciiTheme="minorHAnsi" w:hAnsiTheme="minorHAnsi"/>
          <w:sz w:val="24"/>
          <w:szCs w:val="24"/>
          <w:lang w:val="en-US"/>
        </w:rPr>
        <w:t>systems in the fixed service and systems in other services. This Recommendation is intended to be used in conjunction with Recommendation ITU-R F.758.</w:t>
      </w:r>
    </w:p>
    <w:p w:rsidR="005B797D" w:rsidRPr="00B2565A" w:rsidRDefault="00C76659" w:rsidP="00141998">
      <w:pPr>
        <w:tabs>
          <w:tab w:val="right" w:pos="9639"/>
        </w:tabs>
        <w:spacing w:before="480"/>
        <w:rPr>
          <w:sz w:val="24"/>
          <w:szCs w:val="24"/>
        </w:rPr>
      </w:pPr>
      <w:r w:rsidRPr="00B2565A">
        <w:rPr>
          <w:sz w:val="24"/>
          <w:szCs w:val="24"/>
          <w:u w:val="single"/>
        </w:rPr>
        <w:t>Draft revision of Recommendation ITU-R M.1544-0</w:t>
      </w:r>
      <w:r w:rsidRPr="00B2565A">
        <w:rPr>
          <w:sz w:val="24"/>
          <w:szCs w:val="24"/>
        </w:rPr>
        <w:tab/>
        <w:t>Doc. 5/221(Rev.1)</w:t>
      </w:r>
    </w:p>
    <w:p w:rsidR="00C76659" w:rsidRPr="00B2565A" w:rsidRDefault="00C76659" w:rsidP="00141998">
      <w:pPr>
        <w:tabs>
          <w:tab w:val="right" w:pos="9639"/>
        </w:tabs>
        <w:spacing w:before="240"/>
        <w:jc w:val="center"/>
        <w:rPr>
          <w:b/>
          <w:bCs/>
          <w:sz w:val="28"/>
          <w:szCs w:val="28"/>
        </w:rPr>
      </w:pPr>
      <w:r w:rsidRPr="00B2565A">
        <w:rPr>
          <w:b/>
          <w:bCs/>
          <w:sz w:val="28"/>
          <w:szCs w:val="28"/>
        </w:rPr>
        <w:t>Minimum qualifications of radio amateurs</w:t>
      </w:r>
    </w:p>
    <w:p w:rsidR="00C76659" w:rsidRPr="00B2565A" w:rsidRDefault="00E83FBE" w:rsidP="00B570DC">
      <w:pPr>
        <w:rPr>
          <w:sz w:val="24"/>
          <w:szCs w:val="24"/>
        </w:rPr>
      </w:pPr>
      <w:r w:rsidRPr="00B2565A">
        <w:rPr>
          <w:sz w:val="24"/>
          <w:szCs w:val="24"/>
        </w:rPr>
        <w:t>This revision provides the a</w:t>
      </w:r>
      <w:r w:rsidR="00C76659" w:rsidRPr="00B2565A">
        <w:rPr>
          <w:sz w:val="24"/>
          <w:szCs w:val="24"/>
        </w:rPr>
        <w:t xml:space="preserve">ddition of </w:t>
      </w:r>
      <w:r w:rsidR="00C76659" w:rsidRPr="00B2565A">
        <w:rPr>
          <w:i/>
          <w:sz w:val="24"/>
          <w:szCs w:val="24"/>
        </w:rPr>
        <w:t>considering c),</w:t>
      </w:r>
      <w:r w:rsidR="00C76659" w:rsidRPr="00B2565A">
        <w:rPr>
          <w:sz w:val="24"/>
          <w:szCs w:val="24"/>
        </w:rPr>
        <w:t xml:space="preserve"> addition of operating procedures under </w:t>
      </w:r>
      <w:r w:rsidR="00C76659" w:rsidRPr="00B2565A">
        <w:rPr>
          <w:i/>
          <w:sz w:val="24"/>
          <w:szCs w:val="24"/>
        </w:rPr>
        <w:t xml:space="preserve">recommends </w:t>
      </w:r>
      <w:r w:rsidR="00C76659" w:rsidRPr="00B570DC">
        <w:rPr>
          <w:iCs/>
          <w:sz w:val="24"/>
          <w:szCs w:val="24"/>
        </w:rPr>
        <w:t>2</w:t>
      </w:r>
      <w:r w:rsidR="00C76659" w:rsidRPr="00B2565A">
        <w:rPr>
          <w:i/>
          <w:sz w:val="24"/>
          <w:szCs w:val="24"/>
        </w:rPr>
        <w:t xml:space="preserve"> </w:t>
      </w:r>
      <w:r w:rsidR="00C76659" w:rsidRPr="00B2565A">
        <w:rPr>
          <w:sz w:val="24"/>
          <w:szCs w:val="24"/>
        </w:rPr>
        <w:t>and</w:t>
      </w:r>
      <w:r w:rsidR="00C76659" w:rsidRPr="00B2565A">
        <w:rPr>
          <w:i/>
          <w:sz w:val="24"/>
          <w:szCs w:val="24"/>
        </w:rPr>
        <w:t xml:space="preserve"> </w:t>
      </w:r>
      <w:r w:rsidR="00C76659" w:rsidRPr="00B2565A">
        <w:rPr>
          <w:sz w:val="24"/>
          <w:szCs w:val="24"/>
        </w:rPr>
        <w:t xml:space="preserve">addition of </w:t>
      </w:r>
      <w:r w:rsidR="00C76659" w:rsidRPr="00B2565A">
        <w:rPr>
          <w:i/>
          <w:sz w:val="24"/>
          <w:szCs w:val="24"/>
        </w:rPr>
        <w:t xml:space="preserve">footnote </w:t>
      </w:r>
      <w:bookmarkStart w:id="0" w:name="_GoBack"/>
      <w:r w:rsidR="00C76659" w:rsidRPr="00B570DC">
        <w:rPr>
          <w:iCs/>
          <w:sz w:val="24"/>
          <w:szCs w:val="24"/>
        </w:rPr>
        <w:t>1</w:t>
      </w:r>
      <w:bookmarkEnd w:id="0"/>
      <w:r w:rsidR="00C76659" w:rsidRPr="00B2565A">
        <w:rPr>
          <w:sz w:val="24"/>
          <w:szCs w:val="24"/>
        </w:rPr>
        <w:t>.</w:t>
      </w:r>
    </w:p>
    <w:p w:rsidR="00E83FBE" w:rsidRPr="00B2565A" w:rsidRDefault="00E83FBE">
      <w:pPr>
        <w:tabs>
          <w:tab w:val="clear" w:pos="794"/>
          <w:tab w:val="clear" w:pos="1191"/>
          <w:tab w:val="clear" w:pos="1588"/>
          <w:tab w:val="clear" w:pos="1985"/>
        </w:tabs>
        <w:overflowPunct/>
        <w:autoSpaceDE/>
        <w:autoSpaceDN/>
        <w:adjustRightInd/>
        <w:spacing w:before="0" w:line="240" w:lineRule="auto"/>
        <w:jc w:val="left"/>
        <w:textAlignment w:val="auto"/>
        <w:rPr>
          <w:u w:val="single"/>
        </w:rPr>
      </w:pPr>
      <w:r w:rsidRPr="00B2565A">
        <w:rPr>
          <w:u w:val="single"/>
        </w:rPr>
        <w:br w:type="page"/>
      </w:r>
    </w:p>
    <w:p w:rsidR="00C76659" w:rsidRPr="00B2565A" w:rsidRDefault="00C76659" w:rsidP="00141998">
      <w:pPr>
        <w:tabs>
          <w:tab w:val="right" w:pos="9639"/>
        </w:tabs>
        <w:spacing w:before="480"/>
        <w:rPr>
          <w:sz w:val="24"/>
          <w:szCs w:val="24"/>
        </w:rPr>
      </w:pPr>
      <w:r w:rsidRPr="00B2565A">
        <w:rPr>
          <w:sz w:val="24"/>
          <w:szCs w:val="24"/>
          <w:u w:val="single"/>
        </w:rPr>
        <w:lastRenderedPageBreak/>
        <w:t>Draft revision of Recommendation ITU-R F.1247-3</w:t>
      </w:r>
      <w:r w:rsidRPr="00B2565A">
        <w:rPr>
          <w:sz w:val="24"/>
          <w:szCs w:val="24"/>
        </w:rPr>
        <w:tab/>
        <w:t>Doc. 5/227(Rev.2)</w:t>
      </w:r>
    </w:p>
    <w:p w:rsidR="00C76659" w:rsidRPr="00B2565A" w:rsidRDefault="00C76659" w:rsidP="00141998">
      <w:pPr>
        <w:spacing w:before="240"/>
        <w:jc w:val="center"/>
        <w:rPr>
          <w:b/>
          <w:bCs/>
          <w:sz w:val="28"/>
          <w:szCs w:val="28"/>
        </w:rPr>
      </w:pPr>
      <w:r w:rsidRPr="00B2565A">
        <w:rPr>
          <w:b/>
          <w:bCs/>
          <w:sz w:val="28"/>
          <w:szCs w:val="28"/>
        </w:rPr>
        <w:t>Technical and operational characteristics of systems in the fixed service</w:t>
      </w:r>
      <w:r w:rsidRPr="00B2565A">
        <w:rPr>
          <w:b/>
          <w:bCs/>
          <w:sz w:val="28"/>
          <w:szCs w:val="28"/>
        </w:rPr>
        <w:br/>
        <w:t>to facilitate sharing with the space research, space operation</w:t>
      </w:r>
      <w:r w:rsidRPr="00B2565A">
        <w:rPr>
          <w:b/>
          <w:bCs/>
          <w:sz w:val="28"/>
          <w:szCs w:val="28"/>
        </w:rPr>
        <w:br/>
        <w:t>and Earth exploration-satellite services operating in the</w:t>
      </w:r>
      <w:r w:rsidRPr="00B2565A">
        <w:rPr>
          <w:b/>
          <w:bCs/>
          <w:sz w:val="28"/>
          <w:szCs w:val="28"/>
        </w:rPr>
        <w:br/>
        <w:t>bands 2</w:t>
      </w:r>
      <w:r w:rsidRPr="00B2565A">
        <w:rPr>
          <w:rFonts w:ascii="Tms Rmn" w:hAnsi="Tms Rmn"/>
          <w:b/>
          <w:bCs/>
          <w:sz w:val="28"/>
          <w:szCs w:val="28"/>
        </w:rPr>
        <w:t> </w:t>
      </w:r>
      <w:r w:rsidRPr="00B2565A">
        <w:rPr>
          <w:b/>
          <w:bCs/>
          <w:sz w:val="28"/>
          <w:szCs w:val="28"/>
        </w:rPr>
        <w:t>025-2</w:t>
      </w:r>
      <w:r w:rsidRPr="00B2565A">
        <w:rPr>
          <w:rFonts w:ascii="Tms Rmn" w:hAnsi="Tms Rmn"/>
          <w:b/>
          <w:bCs/>
          <w:sz w:val="28"/>
          <w:szCs w:val="28"/>
        </w:rPr>
        <w:t> </w:t>
      </w:r>
      <w:r w:rsidRPr="00B2565A">
        <w:rPr>
          <w:b/>
          <w:bCs/>
          <w:sz w:val="28"/>
          <w:szCs w:val="28"/>
        </w:rPr>
        <w:t>110 MHz and 2</w:t>
      </w:r>
      <w:r w:rsidRPr="00B2565A">
        <w:rPr>
          <w:rFonts w:ascii="Tms Rmn" w:hAnsi="Tms Rmn"/>
          <w:b/>
          <w:bCs/>
          <w:sz w:val="28"/>
          <w:szCs w:val="28"/>
        </w:rPr>
        <w:t> </w:t>
      </w:r>
      <w:r w:rsidRPr="00B2565A">
        <w:rPr>
          <w:b/>
          <w:bCs/>
          <w:sz w:val="28"/>
          <w:szCs w:val="28"/>
        </w:rPr>
        <w:t>200-2</w:t>
      </w:r>
      <w:r w:rsidRPr="00B2565A">
        <w:rPr>
          <w:rFonts w:ascii="Tms Rmn" w:hAnsi="Tms Rmn"/>
          <w:b/>
          <w:bCs/>
          <w:sz w:val="28"/>
          <w:szCs w:val="28"/>
        </w:rPr>
        <w:t> </w:t>
      </w:r>
      <w:r w:rsidRPr="00B2565A">
        <w:rPr>
          <w:b/>
          <w:bCs/>
          <w:sz w:val="28"/>
          <w:szCs w:val="28"/>
        </w:rPr>
        <w:t>290 MHz</w:t>
      </w:r>
    </w:p>
    <w:p w:rsidR="00C76659" w:rsidRPr="00B2565A" w:rsidRDefault="00C76659" w:rsidP="00C76659">
      <w:pPr>
        <w:rPr>
          <w:sz w:val="24"/>
          <w:szCs w:val="24"/>
          <w:lang w:eastAsia="ja-JP"/>
        </w:rPr>
      </w:pPr>
      <w:r w:rsidRPr="00B2565A">
        <w:rPr>
          <w:sz w:val="24"/>
          <w:szCs w:val="24"/>
          <w:lang w:eastAsia="ja-JP"/>
        </w:rPr>
        <w:t xml:space="preserve">This revision proposes to add new orbital locations to be taken into account in accordance with a revision on Recommendation ITU-R SA.1275 to facilitate sharing of orbital positions in the band </w:t>
      </w:r>
      <w:r w:rsidRPr="00B2565A">
        <w:rPr>
          <w:rStyle w:val="st"/>
          <w:sz w:val="24"/>
          <w:szCs w:val="24"/>
        </w:rPr>
        <w:t>2 200-2 290 MHz</w:t>
      </w:r>
      <w:r w:rsidRPr="00B2565A">
        <w:rPr>
          <w:sz w:val="24"/>
          <w:szCs w:val="24"/>
          <w:lang w:eastAsia="ja-JP"/>
        </w:rPr>
        <w:t>.</w:t>
      </w:r>
    </w:p>
    <w:p w:rsidR="00C76659" w:rsidRPr="00B2565A" w:rsidRDefault="00C76659" w:rsidP="00141998">
      <w:pPr>
        <w:tabs>
          <w:tab w:val="right" w:pos="9639"/>
        </w:tabs>
        <w:spacing w:before="480"/>
        <w:rPr>
          <w:sz w:val="24"/>
          <w:szCs w:val="24"/>
        </w:rPr>
      </w:pPr>
      <w:r w:rsidRPr="00B2565A">
        <w:rPr>
          <w:sz w:val="24"/>
          <w:szCs w:val="24"/>
          <w:u w:val="single"/>
        </w:rPr>
        <w:t>Draft revision of Recommendation ITU-R F.1509-2</w:t>
      </w:r>
      <w:r w:rsidRPr="00B2565A">
        <w:rPr>
          <w:sz w:val="24"/>
          <w:szCs w:val="24"/>
        </w:rPr>
        <w:tab/>
        <w:t>Doc. 5/228(Rev.2)</w:t>
      </w:r>
    </w:p>
    <w:p w:rsidR="00C76659" w:rsidRPr="00B2565A" w:rsidRDefault="00C76659" w:rsidP="00141998">
      <w:pPr>
        <w:spacing w:before="240"/>
        <w:jc w:val="center"/>
        <w:rPr>
          <w:b/>
          <w:bCs/>
          <w:sz w:val="28"/>
          <w:szCs w:val="28"/>
        </w:rPr>
      </w:pPr>
      <w:bookmarkStart w:id="1" w:name="Pre_title"/>
      <w:r w:rsidRPr="00B2565A">
        <w:rPr>
          <w:b/>
          <w:bCs/>
          <w:sz w:val="28"/>
          <w:szCs w:val="28"/>
        </w:rPr>
        <w:t>Technical and operational requirements that facilitate sharing</w:t>
      </w:r>
      <w:r w:rsidRPr="00B2565A">
        <w:rPr>
          <w:b/>
          <w:bCs/>
          <w:sz w:val="28"/>
          <w:szCs w:val="28"/>
        </w:rPr>
        <w:br/>
        <w:t>between point-to-multipoint systems in the fixed service and</w:t>
      </w:r>
      <w:r w:rsidRPr="00B2565A">
        <w:rPr>
          <w:b/>
          <w:bCs/>
          <w:sz w:val="28"/>
          <w:szCs w:val="28"/>
        </w:rPr>
        <w:br/>
        <w:t>the inter-satellite service in the band 25.25-27.5 GHz</w:t>
      </w:r>
      <w:bookmarkEnd w:id="1"/>
    </w:p>
    <w:p w:rsidR="00C76659" w:rsidRPr="00B2565A" w:rsidRDefault="00C76659" w:rsidP="000A504A">
      <w:pPr>
        <w:rPr>
          <w:sz w:val="24"/>
          <w:szCs w:val="24"/>
          <w:lang w:eastAsia="ja-JP"/>
        </w:rPr>
      </w:pPr>
      <w:r w:rsidRPr="00B2565A">
        <w:rPr>
          <w:sz w:val="24"/>
          <w:szCs w:val="24"/>
          <w:lang w:eastAsia="ja-JP"/>
        </w:rPr>
        <w:t>This revision proposes to add new orbital locations to be taken into account in accordance with a</w:t>
      </w:r>
      <w:r w:rsidR="000A504A">
        <w:rPr>
          <w:sz w:val="24"/>
          <w:szCs w:val="24"/>
          <w:lang w:eastAsia="ja-JP"/>
        </w:rPr>
        <w:t> </w:t>
      </w:r>
      <w:r w:rsidRPr="00B2565A">
        <w:rPr>
          <w:sz w:val="24"/>
          <w:szCs w:val="24"/>
          <w:lang w:eastAsia="ja-JP"/>
        </w:rPr>
        <w:t>revision on Recommendation ITU-R SA.1276 to facilitate sharing of orbital positions in the band 25.25-27.5 GHz.</w:t>
      </w:r>
    </w:p>
    <w:p w:rsidR="00C76659" w:rsidRPr="00B2565A" w:rsidRDefault="00C76659" w:rsidP="00141998">
      <w:pPr>
        <w:tabs>
          <w:tab w:val="right" w:pos="9639"/>
        </w:tabs>
        <w:spacing w:before="480"/>
        <w:rPr>
          <w:sz w:val="24"/>
          <w:szCs w:val="24"/>
        </w:rPr>
      </w:pPr>
      <w:r w:rsidRPr="00B2565A">
        <w:rPr>
          <w:sz w:val="24"/>
          <w:szCs w:val="24"/>
          <w:u w:val="single"/>
        </w:rPr>
        <w:t>Draft revision of Recommendation ITU-R F.</w:t>
      </w:r>
      <w:r w:rsidR="00806F15" w:rsidRPr="00B2565A">
        <w:rPr>
          <w:sz w:val="24"/>
          <w:szCs w:val="24"/>
          <w:u w:val="single"/>
        </w:rPr>
        <w:t>124</w:t>
      </w:r>
      <w:r w:rsidRPr="00B2565A">
        <w:rPr>
          <w:sz w:val="24"/>
          <w:szCs w:val="24"/>
          <w:u w:val="single"/>
        </w:rPr>
        <w:t>9-</w:t>
      </w:r>
      <w:r w:rsidR="00806F15" w:rsidRPr="00B2565A">
        <w:rPr>
          <w:sz w:val="24"/>
          <w:szCs w:val="24"/>
          <w:u w:val="single"/>
        </w:rPr>
        <w:t>3</w:t>
      </w:r>
      <w:r w:rsidRPr="00B2565A">
        <w:rPr>
          <w:sz w:val="24"/>
          <w:szCs w:val="24"/>
        </w:rPr>
        <w:tab/>
        <w:t>Doc. 5/22</w:t>
      </w:r>
      <w:r w:rsidR="00806F15" w:rsidRPr="00B2565A">
        <w:rPr>
          <w:sz w:val="24"/>
          <w:szCs w:val="24"/>
        </w:rPr>
        <w:t>9</w:t>
      </w:r>
      <w:r w:rsidRPr="00B2565A">
        <w:rPr>
          <w:sz w:val="24"/>
          <w:szCs w:val="24"/>
        </w:rPr>
        <w:t>(Rev.2)</w:t>
      </w:r>
    </w:p>
    <w:p w:rsidR="00C76659" w:rsidRPr="00B2565A" w:rsidRDefault="00806F15" w:rsidP="00141998">
      <w:pPr>
        <w:spacing w:before="240"/>
        <w:jc w:val="center"/>
        <w:rPr>
          <w:b/>
          <w:bCs/>
          <w:sz w:val="28"/>
          <w:szCs w:val="28"/>
        </w:rPr>
      </w:pPr>
      <w:r w:rsidRPr="00B2565A">
        <w:rPr>
          <w:b/>
          <w:bCs/>
          <w:sz w:val="28"/>
          <w:szCs w:val="28"/>
        </w:rPr>
        <w:t>Technical and operational requirements that facilitate sharing</w:t>
      </w:r>
      <w:r w:rsidRPr="00B2565A">
        <w:rPr>
          <w:b/>
          <w:bCs/>
          <w:sz w:val="28"/>
          <w:szCs w:val="28"/>
        </w:rPr>
        <w:br/>
        <w:t>between point-to-point systems in the fixed service and the</w:t>
      </w:r>
      <w:r w:rsidRPr="00B2565A">
        <w:rPr>
          <w:b/>
          <w:bCs/>
          <w:sz w:val="28"/>
          <w:szCs w:val="28"/>
        </w:rPr>
        <w:br/>
        <w:t>inter-satellite service in the band 25.25-27.5 GHz</w:t>
      </w:r>
    </w:p>
    <w:p w:rsidR="00806F15" w:rsidRPr="00B2565A" w:rsidRDefault="00806F15" w:rsidP="000A504A">
      <w:pPr>
        <w:rPr>
          <w:sz w:val="24"/>
          <w:szCs w:val="24"/>
          <w:lang w:eastAsia="ja-JP"/>
        </w:rPr>
      </w:pPr>
      <w:r w:rsidRPr="00B2565A">
        <w:rPr>
          <w:sz w:val="24"/>
          <w:szCs w:val="24"/>
          <w:lang w:eastAsia="ja-JP"/>
        </w:rPr>
        <w:t>This revision proposes to add new orbital locations to be taken into account in accordance with a revision on Recommendation ITU-R SA.1276 to facilitate sharing of orbital positions in the band 25.25-27.5 GHz. Consequential changes in the computer program in Appendix 1 to Annex 2 are also</w:t>
      </w:r>
      <w:r w:rsidR="000A504A">
        <w:rPr>
          <w:sz w:val="24"/>
          <w:szCs w:val="24"/>
          <w:lang w:eastAsia="ja-JP"/>
        </w:rPr>
        <w:t> </w:t>
      </w:r>
      <w:r w:rsidRPr="00B2565A">
        <w:rPr>
          <w:sz w:val="24"/>
          <w:szCs w:val="24"/>
          <w:lang w:eastAsia="ja-JP"/>
        </w:rPr>
        <w:t>made.</w:t>
      </w:r>
    </w:p>
    <w:p w:rsidR="009C329A" w:rsidRPr="00B2565A" w:rsidRDefault="009C329A" w:rsidP="00141998">
      <w:pPr>
        <w:tabs>
          <w:tab w:val="right" w:pos="9639"/>
        </w:tabs>
        <w:spacing w:before="480"/>
        <w:rPr>
          <w:sz w:val="24"/>
          <w:szCs w:val="24"/>
        </w:rPr>
      </w:pPr>
      <w:r w:rsidRPr="00B2565A">
        <w:rPr>
          <w:sz w:val="24"/>
          <w:szCs w:val="24"/>
          <w:u w:val="single"/>
        </w:rPr>
        <w:t>Draft revision of Recommendation ITU-R F.758-5</w:t>
      </w:r>
      <w:r w:rsidRPr="00B2565A">
        <w:rPr>
          <w:sz w:val="24"/>
          <w:szCs w:val="24"/>
        </w:rPr>
        <w:tab/>
        <w:t>Doc. 5/238(Rev.1)</w:t>
      </w:r>
    </w:p>
    <w:p w:rsidR="00806F15" w:rsidRPr="00B2565A" w:rsidRDefault="009C329A" w:rsidP="00141998">
      <w:pPr>
        <w:spacing w:before="240"/>
        <w:jc w:val="center"/>
        <w:rPr>
          <w:b/>
          <w:bCs/>
          <w:sz w:val="28"/>
          <w:szCs w:val="28"/>
          <w:lang w:eastAsia="zh-CN"/>
        </w:rPr>
      </w:pPr>
      <w:r w:rsidRPr="00B2565A">
        <w:rPr>
          <w:b/>
          <w:bCs/>
          <w:sz w:val="28"/>
          <w:szCs w:val="28"/>
          <w:lang w:eastAsia="zh-CN"/>
        </w:rPr>
        <w:t xml:space="preserve">System parameters and considerations in the development of criteria for sharing or compatibility between digital fixed wireless systems in the fixed service </w:t>
      </w:r>
      <w:r w:rsidRPr="00B2565A">
        <w:rPr>
          <w:b/>
          <w:bCs/>
          <w:sz w:val="28"/>
          <w:szCs w:val="28"/>
          <w:lang w:eastAsia="zh-CN"/>
        </w:rPr>
        <w:br/>
        <w:t>and systems in other services and other sources of interference</w:t>
      </w:r>
    </w:p>
    <w:p w:rsidR="00C2335A" w:rsidRDefault="009C329A" w:rsidP="009C329A">
      <w:pPr>
        <w:rPr>
          <w:sz w:val="24"/>
          <w:szCs w:val="24"/>
          <w:lang w:eastAsia="ja-JP"/>
        </w:rPr>
      </w:pPr>
      <w:r w:rsidRPr="00B2565A">
        <w:rPr>
          <w:sz w:val="24"/>
          <w:szCs w:val="24"/>
          <w:lang w:eastAsia="ja-JP"/>
        </w:rPr>
        <w:t xml:space="preserve">This revision includes addition of new system parameters of the fixed service (FS) in the frequency bands 40.5-43.5 GHz, 59-64 GHz, 64-66 GHz and 71-76/81-86 GHz, without changing any substance of the current texts for </w:t>
      </w:r>
      <w:r w:rsidRPr="00B2565A">
        <w:rPr>
          <w:sz w:val="24"/>
          <w:szCs w:val="24"/>
          <w:lang w:eastAsia="zh-CN"/>
        </w:rPr>
        <w:t xml:space="preserve">considerations </w:t>
      </w:r>
      <w:r w:rsidRPr="00B2565A">
        <w:rPr>
          <w:sz w:val="24"/>
          <w:szCs w:val="24"/>
          <w:lang w:eastAsia="ja-JP"/>
        </w:rPr>
        <w:t>on the</w:t>
      </w:r>
      <w:r w:rsidRPr="00B2565A">
        <w:rPr>
          <w:sz w:val="24"/>
          <w:szCs w:val="24"/>
          <w:lang w:eastAsia="zh-CN"/>
        </w:rPr>
        <w:t xml:space="preserve"> criteria for sharing or compatibility</w:t>
      </w:r>
      <w:r w:rsidRPr="00B2565A">
        <w:rPr>
          <w:sz w:val="24"/>
          <w:szCs w:val="24"/>
          <w:lang w:eastAsia="ja-JP"/>
        </w:rPr>
        <w:t xml:space="preserve"> between FS and other services. Editorial clarifications for the terms sharing and compatibility are also made in some parts of the text.</w:t>
      </w:r>
    </w:p>
    <w:p w:rsidR="00C2335A" w:rsidRDefault="00C2335A">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eastAsia="ja-JP"/>
        </w:rPr>
      </w:pPr>
      <w:r>
        <w:rPr>
          <w:sz w:val="24"/>
          <w:szCs w:val="24"/>
          <w:lang w:eastAsia="ja-JP"/>
        </w:rPr>
        <w:br w:type="page"/>
      </w:r>
    </w:p>
    <w:p w:rsidR="003C275A" w:rsidRPr="00B2565A" w:rsidRDefault="003C275A" w:rsidP="00141998">
      <w:pPr>
        <w:tabs>
          <w:tab w:val="right" w:pos="9639"/>
        </w:tabs>
        <w:spacing w:before="480"/>
        <w:rPr>
          <w:sz w:val="24"/>
          <w:szCs w:val="24"/>
        </w:rPr>
      </w:pPr>
      <w:r w:rsidRPr="00B2565A">
        <w:rPr>
          <w:sz w:val="24"/>
          <w:szCs w:val="24"/>
          <w:u w:val="single"/>
        </w:rPr>
        <w:lastRenderedPageBreak/>
        <w:t>Draft revision of Recommendation ITU-R F.1777</w:t>
      </w:r>
      <w:r w:rsidR="009E2272" w:rsidRPr="00B2565A">
        <w:rPr>
          <w:sz w:val="24"/>
          <w:szCs w:val="24"/>
          <w:u w:val="single"/>
        </w:rPr>
        <w:t>-0</w:t>
      </w:r>
      <w:r w:rsidRPr="00B2565A">
        <w:rPr>
          <w:sz w:val="24"/>
          <w:szCs w:val="24"/>
        </w:rPr>
        <w:tab/>
        <w:t>Doc. 5/257(Rev.1)</w:t>
      </w:r>
    </w:p>
    <w:p w:rsidR="009C329A" w:rsidRPr="00B2565A" w:rsidRDefault="003C275A" w:rsidP="00141998">
      <w:pPr>
        <w:spacing w:before="240"/>
        <w:jc w:val="center"/>
        <w:rPr>
          <w:b/>
          <w:bCs/>
          <w:sz w:val="28"/>
          <w:szCs w:val="28"/>
        </w:rPr>
      </w:pPr>
      <w:r w:rsidRPr="00B2565A">
        <w:rPr>
          <w:b/>
          <w:bCs/>
          <w:sz w:val="28"/>
          <w:szCs w:val="28"/>
        </w:rPr>
        <w:t>System characteristics of television outside broadcast, electronic news gathering and electronic field production in the fixed service for use in sharing studies</w:t>
      </w:r>
    </w:p>
    <w:p w:rsidR="003C275A" w:rsidRPr="00B2565A" w:rsidRDefault="003C275A" w:rsidP="003C275A">
      <w:pPr>
        <w:rPr>
          <w:sz w:val="24"/>
          <w:szCs w:val="24"/>
          <w:lang w:eastAsia="ja-JP"/>
        </w:rPr>
      </w:pPr>
      <w:r w:rsidRPr="00B2565A">
        <w:rPr>
          <w:sz w:val="24"/>
          <w:szCs w:val="24"/>
          <w:lang w:eastAsia="ja-JP"/>
        </w:rPr>
        <w:t xml:space="preserve">This revision includes additional digital system characteristics of television outside broadcast (TVOB), electronic news gathering (ENG) and electronic field production (EFP) in the fixed service. ENG / TVOB / EFP analogue system characteristics in the fixed service have been removed reflecting that many administrations have commenced or have completed the introduction of digital services.  </w:t>
      </w:r>
    </w:p>
    <w:p w:rsidR="003C275A" w:rsidRPr="00B2565A" w:rsidRDefault="003C275A" w:rsidP="00141998">
      <w:pPr>
        <w:tabs>
          <w:tab w:val="right" w:pos="9639"/>
        </w:tabs>
        <w:spacing w:before="480"/>
        <w:rPr>
          <w:sz w:val="24"/>
          <w:szCs w:val="24"/>
        </w:rPr>
      </w:pPr>
      <w:r w:rsidRPr="00B2565A">
        <w:rPr>
          <w:sz w:val="24"/>
          <w:szCs w:val="24"/>
          <w:u w:val="single"/>
        </w:rPr>
        <w:t>Draft revision of Recommendation ITU-R M.1849</w:t>
      </w:r>
      <w:r w:rsidR="009E2272" w:rsidRPr="00B2565A">
        <w:rPr>
          <w:sz w:val="24"/>
          <w:szCs w:val="24"/>
          <w:u w:val="single"/>
        </w:rPr>
        <w:t>-0</w:t>
      </w:r>
      <w:r w:rsidRPr="00B2565A">
        <w:rPr>
          <w:sz w:val="24"/>
          <w:szCs w:val="24"/>
        </w:rPr>
        <w:tab/>
        <w:t>Doc. 5/259(Rev.1)</w:t>
      </w:r>
    </w:p>
    <w:p w:rsidR="003C275A" w:rsidRPr="00B2565A" w:rsidRDefault="003C275A" w:rsidP="00141998">
      <w:pPr>
        <w:spacing w:before="240"/>
        <w:jc w:val="center"/>
        <w:rPr>
          <w:b/>
          <w:bCs/>
          <w:sz w:val="28"/>
          <w:szCs w:val="28"/>
        </w:rPr>
      </w:pPr>
      <w:r w:rsidRPr="00B2565A">
        <w:rPr>
          <w:b/>
          <w:bCs/>
          <w:sz w:val="28"/>
          <w:szCs w:val="28"/>
        </w:rPr>
        <w:t>Technical and operational aspects of ground-based meteorological radars</w:t>
      </w:r>
    </w:p>
    <w:p w:rsidR="003C275A" w:rsidRPr="00B2565A" w:rsidRDefault="003C275A" w:rsidP="00B2565A">
      <w:pPr>
        <w:rPr>
          <w:rStyle w:val="Emphasis"/>
          <w:b/>
          <w:i w:val="0"/>
          <w:iCs w:val="0"/>
          <w:sz w:val="24"/>
          <w:szCs w:val="24"/>
        </w:rPr>
      </w:pPr>
      <w:r w:rsidRPr="00B2565A">
        <w:rPr>
          <w:rStyle w:val="Emphasis"/>
          <w:i w:val="0"/>
          <w:iCs w:val="0"/>
          <w:sz w:val="24"/>
          <w:szCs w:val="24"/>
        </w:rPr>
        <w:t>The revision proposed is only to align this Recommendation with Recommendation</w:t>
      </w:r>
      <w:r w:rsidR="00B2565A" w:rsidRPr="00B2565A">
        <w:rPr>
          <w:rStyle w:val="Emphasis"/>
          <w:i w:val="0"/>
          <w:iCs w:val="0"/>
          <w:sz w:val="24"/>
          <w:szCs w:val="24"/>
        </w:rPr>
        <w:t xml:space="preserve"> </w:t>
      </w:r>
      <w:hyperlink r:id="rId11" w:history="1">
        <w:r w:rsidRPr="00B2565A">
          <w:rPr>
            <w:rStyle w:val="Hyperlink"/>
            <w:sz w:val="24"/>
            <w:szCs w:val="24"/>
          </w:rPr>
          <w:t>ITU-R M.1638</w:t>
        </w:r>
        <w:r w:rsidR="00E83FBE" w:rsidRPr="00B2565A">
          <w:rPr>
            <w:rStyle w:val="Hyperlink"/>
            <w:sz w:val="24"/>
            <w:szCs w:val="24"/>
          </w:rPr>
          <w:noBreakHyphen/>
        </w:r>
        <w:r w:rsidRPr="00B2565A">
          <w:rPr>
            <w:rStyle w:val="Hyperlink"/>
            <w:sz w:val="24"/>
            <w:szCs w:val="24"/>
          </w:rPr>
          <w:t>1</w:t>
        </w:r>
      </w:hyperlink>
      <w:r w:rsidRPr="00B2565A">
        <w:rPr>
          <w:rStyle w:val="Emphasis"/>
          <w:sz w:val="24"/>
          <w:szCs w:val="24"/>
        </w:rPr>
        <w:t>.</w:t>
      </w:r>
      <w:r w:rsidRPr="00B2565A">
        <w:rPr>
          <w:rStyle w:val="Emphasis"/>
          <w:i w:val="0"/>
          <w:iCs w:val="0"/>
          <w:sz w:val="24"/>
          <w:szCs w:val="24"/>
        </w:rPr>
        <w:t xml:space="preserve"> New meteorological radars are added.</w:t>
      </w:r>
    </w:p>
    <w:p w:rsidR="003C275A" w:rsidRPr="00B2565A" w:rsidRDefault="003C275A" w:rsidP="00141998">
      <w:pPr>
        <w:tabs>
          <w:tab w:val="right" w:pos="9639"/>
        </w:tabs>
        <w:spacing w:before="480"/>
        <w:rPr>
          <w:sz w:val="24"/>
          <w:szCs w:val="24"/>
        </w:rPr>
      </w:pPr>
      <w:r w:rsidRPr="00B2565A">
        <w:rPr>
          <w:sz w:val="24"/>
          <w:szCs w:val="24"/>
          <w:u w:val="single"/>
        </w:rPr>
        <w:t>Draft revision of Recommendation ITU-R M.493</w:t>
      </w:r>
      <w:r w:rsidR="00C773B2">
        <w:rPr>
          <w:sz w:val="24"/>
          <w:szCs w:val="24"/>
          <w:u w:val="single"/>
        </w:rPr>
        <w:t>-13</w:t>
      </w:r>
      <w:r w:rsidRPr="00B2565A">
        <w:rPr>
          <w:sz w:val="24"/>
          <w:szCs w:val="24"/>
        </w:rPr>
        <w:tab/>
        <w:t>Doc. 5/266(Rev.1)</w:t>
      </w:r>
    </w:p>
    <w:p w:rsidR="003C275A" w:rsidRPr="00B2565A" w:rsidRDefault="003C275A" w:rsidP="00141998">
      <w:pPr>
        <w:spacing w:before="240"/>
        <w:jc w:val="center"/>
        <w:rPr>
          <w:b/>
          <w:bCs/>
          <w:sz w:val="28"/>
          <w:szCs w:val="28"/>
        </w:rPr>
      </w:pPr>
      <w:r w:rsidRPr="00B2565A">
        <w:rPr>
          <w:b/>
          <w:bCs/>
          <w:sz w:val="28"/>
          <w:szCs w:val="28"/>
        </w:rPr>
        <w:t>Digital selective-calling system for use in the maritime mobile service</w:t>
      </w:r>
    </w:p>
    <w:p w:rsidR="00630B8C" w:rsidRDefault="00630B8C" w:rsidP="00630B8C">
      <w:pPr>
        <w:rPr>
          <w:sz w:val="24"/>
          <w:szCs w:val="24"/>
        </w:rPr>
      </w:pPr>
      <w:r w:rsidRPr="00630B8C">
        <w:rPr>
          <w:sz w:val="24"/>
          <w:szCs w:val="24"/>
        </w:rPr>
        <w:t xml:space="preserve">Update of the document by editing keywords, glossary and editorial corrections. </w:t>
      </w:r>
      <w:r>
        <w:rPr>
          <w:sz w:val="24"/>
          <w:szCs w:val="24"/>
        </w:rPr>
        <w:t>A c</w:t>
      </w:r>
      <w:r w:rsidRPr="00630B8C">
        <w:rPr>
          <w:sz w:val="24"/>
          <w:szCs w:val="24"/>
        </w:rPr>
        <w:t>lear</w:t>
      </w:r>
      <w:r>
        <w:rPr>
          <w:sz w:val="24"/>
          <w:szCs w:val="24"/>
        </w:rPr>
        <w:t>er</w:t>
      </w:r>
      <w:r w:rsidRPr="00630B8C">
        <w:rPr>
          <w:sz w:val="24"/>
          <w:szCs w:val="24"/>
        </w:rPr>
        <w:t xml:space="preserve"> structure of equipment classes </w:t>
      </w:r>
      <w:r>
        <w:rPr>
          <w:sz w:val="24"/>
          <w:szCs w:val="24"/>
        </w:rPr>
        <w:t xml:space="preserve">is </w:t>
      </w:r>
      <w:r w:rsidRPr="00630B8C">
        <w:rPr>
          <w:sz w:val="24"/>
          <w:szCs w:val="24"/>
        </w:rPr>
        <w:t xml:space="preserve">achieved by the deletion of redundant class descriptions. </w:t>
      </w:r>
      <w:r>
        <w:rPr>
          <w:sz w:val="24"/>
          <w:szCs w:val="24"/>
        </w:rPr>
        <w:t>The</w:t>
      </w:r>
      <w:r w:rsidRPr="00630B8C">
        <w:rPr>
          <w:sz w:val="24"/>
          <w:szCs w:val="24"/>
        </w:rPr>
        <w:t xml:space="preserve"> mandatory functions required for Class D, E and H equipment </w:t>
      </w:r>
      <w:r>
        <w:rPr>
          <w:sz w:val="24"/>
          <w:szCs w:val="24"/>
        </w:rPr>
        <w:t xml:space="preserve">are redefined </w:t>
      </w:r>
      <w:r w:rsidRPr="00630B8C">
        <w:rPr>
          <w:sz w:val="24"/>
          <w:szCs w:val="24"/>
        </w:rPr>
        <w:t xml:space="preserve">by following IMO advice to limit the functions on the noted equipment classes. </w:t>
      </w:r>
      <w:r>
        <w:rPr>
          <w:sz w:val="24"/>
          <w:szCs w:val="24"/>
        </w:rPr>
        <w:t>A d</w:t>
      </w:r>
      <w:r w:rsidRPr="00630B8C">
        <w:rPr>
          <w:sz w:val="24"/>
          <w:szCs w:val="24"/>
        </w:rPr>
        <w:t>efinition of a man overboard device (MOB) forming the new Class M</w:t>
      </w:r>
      <w:r>
        <w:rPr>
          <w:sz w:val="24"/>
          <w:szCs w:val="24"/>
        </w:rPr>
        <w:t xml:space="preserve"> is added</w:t>
      </w:r>
      <w:r w:rsidRPr="00630B8C">
        <w:rPr>
          <w:sz w:val="24"/>
          <w:szCs w:val="24"/>
        </w:rPr>
        <w:t xml:space="preserve">. </w:t>
      </w:r>
      <w:r>
        <w:rPr>
          <w:sz w:val="24"/>
          <w:szCs w:val="24"/>
        </w:rPr>
        <w:t>The</w:t>
      </w:r>
      <w:r w:rsidRPr="00630B8C">
        <w:rPr>
          <w:sz w:val="24"/>
          <w:szCs w:val="24"/>
        </w:rPr>
        <w:t xml:space="preserve"> protocol to enable the selection of the new HF frequencies according to Appendix </w:t>
      </w:r>
      <w:r w:rsidRPr="00630B8C">
        <w:rPr>
          <w:b/>
          <w:bCs/>
          <w:sz w:val="24"/>
          <w:szCs w:val="24"/>
        </w:rPr>
        <w:t xml:space="preserve">17 </w:t>
      </w:r>
      <w:r w:rsidRPr="00630B8C">
        <w:rPr>
          <w:sz w:val="24"/>
          <w:szCs w:val="24"/>
        </w:rPr>
        <w:t>(WRC-12) for NBDP</w:t>
      </w:r>
      <w:r>
        <w:rPr>
          <w:sz w:val="24"/>
          <w:szCs w:val="24"/>
        </w:rPr>
        <w:t xml:space="preserve"> has been modified</w:t>
      </w:r>
      <w:r w:rsidRPr="00630B8C">
        <w:rPr>
          <w:sz w:val="24"/>
          <w:szCs w:val="24"/>
        </w:rPr>
        <w:t xml:space="preserve">. </w:t>
      </w:r>
      <w:r>
        <w:rPr>
          <w:sz w:val="24"/>
          <w:szCs w:val="24"/>
        </w:rPr>
        <w:t>T</w:t>
      </w:r>
      <w:r w:rsidRPr="00630B8C">
        <w:rPr>
          <w:sz w:val="24"/>
          <w:szCs w:val="24"/>
        </w:rPr>
        <w:t>he display requirements regarding the readability based on (MSC. 191(79))</w:t>
      </w:r>
      <w:r>
        <w:rPr>
          <w:sz w:val="24"/>
          <w:szCs w:val="24"/>
        </w:rPr>
        <w:t xml:space="preserve"> has been modified</w:t>
      </w:r>
      <w:r w:rsidRPr="00630B8C">
        <w:rPr>
          <w:sz w:val="24"/>
          <w:szCs w:val="24"/>
        </w:rPr>
        <w:t>.</w:t>
      </w:r>
    </w:p>
    <w:p w:rsidR="00630B8C" w:rsidRDefault="00630B8C" w:rsidP="00630B8C">
      <w:pPr>
        <w:rPr>
          <w:sz w:val="24"/>
          <w:szCs w:val="24"/>
        </w:rPr>
      </w:pPr>
    </w:p>
    <w:p w:rsidR="00630B8C" w:rsidRPr="00630B8C" w:rsidRDefault="00630B8C" w:rsidP="00630B8C">
      <w:pPr>
        <w:rPr>
          <w:sz w:val="24"/>
          <w:szCs w:val="24"/>
        </w:rPr>
      </w:pPr>
    </w:p>
    <w:p w:rsidR="00B2565A" w:rsidRPr="00630B8C" w:rsidRDefault="00B2565A" w:rsidP="00630B8C">
      <w:pPr>
        <w:jc w:val="center"/>
      </w:pPr>
      <w:r>
        <w:t>______________</w:t>
      </w:r>
    </w:p>
    <w:sectPr w:rsidR="00B2565A" w:rsidRPr="00630B8C"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650" w:rsidRPr="00FB65BC" w:rsidRDefault="00A31650" w:rsidP="00A3165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B570DC">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B570DC">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31650" w:rsidTr="00345BD8">
      <w:trPr>
        <w:jc w:val="center"/>
      </w:trPr>
      <w:tc>
        <w:tcPr>
          <w:tcW w:w="4889" w:type="dxa"/>
        </w:tcPr>
        <w:p w:rsidR="00A31650" w:rsidRDefault="00A31650" w:rsidP="00A31650">
          <w:pPr>
            <w:pStyle w:val="Header"/>
            <w:tabs>
              <w:tab w:val="clear" w:pos="794"/>
              <w:tab w:val="clear" w:pos="4820"/>
            </w:tabs>
            <w:spacing w:before="120" w:line="360" w:lineRule="auto"/>
          </w:pPr>
          <w:r>
            <w:rPr>
              <w:b/>
              <w:bCs/>
              <w:noProof/>
              <w:lang w:eastAsia="zh-CN"/>
            </w:rPr>
            <w:drawing>
              <wp:inline distT="0" distB="0" distL="0" distR="0" wp14:anchorId="04CEED1C" wp14:editId="116B095E">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31650" w:rsidRDefault="00A31650" w:rsidP="00A31650">
          <w:pPr>
            <w:pStyle w:val="Header"/>
            <w:tabs>
              <w:tab w:val="clear" w:pos="794"/>
              <w:tab w:val="clear" w:pos="4820"/>
            </w:tabs>
            <w:spacing w:line="360" w:lineRule="auto"/>
            <w:jc w:val="right"/>
          </w:pPr>
          <w:r>
            <w:rPr>
              <w:noProof/>
              <w:lang w:eastAsia="zh-CN"/>
            </w:rPr>
            <w:drawing>
              <wp:inline distT="0" distB="0" distL="0" distR="0" wp14:anchorId="5253057B" wp14:editId="56063193">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A31650" w:rsidRDefault="00E915AF" w:rsidP="00A31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6597"/>
        </w:tabs>
        <w:ind w:left="6597" w:hanging="360"/>
      </w:pPr>
      <w:rPr>
        <w:rFonts w:ascii="Times New Roman" w:eastAsia="Times New Roman" w:hAnsi="Times New Roman" w:hint="default"/>
      </w:rPr>
    </w:lvl>
    <w:lvl w:ilvl="1" w:tplc="04090003" w:tentative="1">
      <w:start w:val="1"/>
      <w:numFmt w:val="bullet"/>
      <w:lvlText w:val="o"/>
      <w:lvlJc w:val="left"/>
      <w:pPr>
        <w:tabs>
          <w:tab w:val="num" w:pos="7317"/>
        </w:tabs>
        <w:ind w:left="7317" w:hanging="360"/>
      </w:pPr>
      <w:rPr>
        <w:rFonts w:ascii="Courier New" w:hAnsi="Courier New" w:hint="default"/>
      </w:rPr>
    </w:lvl>
    <w:lvl w:ilvl="2" w:tplc="04090005" w:tentative="1">
      <w:start w:val="1"/>
      <w:numFmt w:val="bullet"/>
      <w:lvlText w:val=""/>
      <w:lvlJc w:val="left"/>
      <w:pPr>
        <w:tabs>
          <w:tab w:val="num" w:pos="8037"/>
        </w:tabs>
        <w:ind w:left="8037" w:hanging="360"/>
      </w:pPr>
      <w:rPr>
        <w:rFonts w:ascii="Wingdings" w:hAnsi="Wingdings" w:hint="default"/>
      </w:rPr>
    </w:lvl>
    <w:lvl w:ilvl="3" w:tplc="04090001" w:tentative="1">
      <w:start w:val="1"/>
      <w:numFmt w:val="bullet"/>
      <w:lvlText w:val=""/>
      <w:lvlJc w:val="left"/>
      <w:pPr>
        <w:tabs>
          <w:tab w:val="num" w:pos="8757"/>
        </w:tabs>
        <w:ind w:left="8757" w:hanging="360"/>
      </w:pPr>
      <w:rPr>
        <w:rFonts w:ascii="Symbol" w:hAnsi="Symbol" w:hint="default"/>
      </w:rPr>
    </w:lvl>
    <w:lvl w:ilvl="4" w:tplc="04090003" w:tentative="1">
      <w:start w:val="1"/>
      <w:numFmt w:val="bullet"/>
      <w:lvlText w:val="o"/>
      <w:lvlJc w:val="left"/>
      <w:pPr>
        <w:tabs>
          <w:tab w:val="num" w:pos="9477"/>
        </w:tabs>
        <w:ind w:left="9477" w:hanging="360"/>
      </w:pPr>
      <w:rPr>
        <w:rFonts w:ascii="Courier New" w:hAnsi="Courier New" w:hint="default"/>
      </w:rPr>
    </w:lvl>
    <w:lvl w:ilvl="5" w:tplc="04090005" w:tentative="1">
      <w:start w:val="1"/>
      <w:numFmt w:val="bullet"/>
      <w:lvlText w:val=""/>
      <w:lvlJc w:val="left"/>
      <w:pPr>
        <w:tabs>
          <w:tab w:val="num" w:pos="10197"/>
        </w:tabs>
        <w:ind w:left="10197" w:hanging="360"/>
      </w:pPr>
      <w:rPr>
        <w:rFonts w:ascii="Wingdings" w:hAnsi="Wingdings" w:hint="default"/>
      </w:rPr>
    </w:lvl>
    <w:lvl w:ilvl="6" w:tplc="04090001" w:tentative="1">
      <w:start w:val="1"/>
      <w:numFmt w:val="bullet"/>
      <w:lvlText w:val=""/>
      <w:lvlJc w:val="left"/>
      <w:pPr>
        <w:tabs>
          <w:tab w:val="num" w:pos="10917"/>
        </w:tabs>
        <w:ind w:left="10917" w:hanging="360"/>
      </w:pPr>
      <w:rPr>
        <w:rFonts w:ascii="Symbol" w:hAnsi="Symbol" w:hint="default"/>
      </w:rPr>
    </w:lvl>
    <w:lvl w:ilvl="7" w:tplc="04090003" w:tentative="1">
      <w:start w:val="1"/>
      <w:numFmt w:val="bullet"/>
      <w:lvlText w:val="o"/>
      <w:lvlJc w:val="left"/>
      <w:pPr>
        <w:tabs>
          <w:tab w:val="num" w:pos="11637"/>
        </w:tabs>
        <w:ind w:left="11637" w:hanging="360"/>
      </w:pPr>
      <w:rPr>
        <w:rFonts w:ascii="Courier New" w:hAnsi="Courier New" w:hint="default"/>
      </w:rPr>
    </w:lvl>
    <w:lvl w:ilvl="8" w:tplc="04090005" w:tentative="1">
      <w:start w:val="1"/>
      <w:numFmt w:val="bullet"/>
      <w:lvlText w:val=""/>
      <w:lvlJc w:val="left"/>
      <w:pPr>
        <w:tabs>
          <w:tab w:val="num" w:pos="12357"/>
        </w:tabs>
        <w:ind w:left="1235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022"/>
    <w:rsid w:val="000A096A"/>
    <w:rsid w:val="000A375E"/>
    <w:rsid w:val="000A504A"/>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1998"/>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55D64"/>
    <w:rsid w:val="003666FF"/>
    <w:rsid w:val="0037309C"/>
    <w:rsid w:val="00380A6E"/>
    <w:rsid w:val="003836D4"/>
    <w:rsid w:val="003A1F49"/>
    <w:rsid w:val="003A5D52"/>
    <w:rsid w:val="003B2BDA"/>
    <w:rsid w:val="003B55EC"/>
    <w:rsid w:val="003C275A"/>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A7C57"/>
    <w:rsid w:val="005B214C"/>
    <w:rsid w:val="005B797D"/>
    <w:rsid w:val="005C776B"/>
    <w:rsid w:val="005D3669"/>
    <w:rsid w:val="005E5EB3"/>
    <w:rsid w:val="005F3CB6"/>
    <w:rsid w:val="005F657C"/>
    <w:rsid w:val="00602D53"/>
    <w:rsid w:val="006047E5"/>
    <w:rsid w:val="00630B8C"/>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7406E"/>
    <w:rsid w:val="00782354"/>
    <w:rsid w:val="007921A7"/>
    <w:rsid w:val="007B3DB1"/>
    <w:rsid w:val="007D183E"/>
    <w:rsid w:val="007D43D0"/>
    <w:rsid w:val="007E1833"/>
    <w:rsid w:val="007E3F13"/>
    <w:rsid w:val="007F751A"/>
    <w:rsid w:val="00800012"/>
    <w:rsid w:val="0080261F"/>
    <w:rsid w:val="00806160"/>
    <w:rsid w:val="00806F15"/>
    <w:rsid w:val="008143A4"/>
    <w:rsid w:val="0081513E"/>
    <w:rsid w:val="0082129A"/>
    <w:rsid w:val="00854131"/>
    <w:rsid w:val="0085652D"/>
    <w:rsid w:val="008745C6"/>
    <w:rsid w:val="0087694B"/>
    <w:rsid w:val="00880F4D"/>
    <w:rsid w:val="008B35A3"/>
    <w:rsid w:val="008B37E1"/>
    <w:rsid w:val="008B45F8"/>
    <w:rsid w:val="008C2E74"/>
    <w:rsid w:val="008D5409"/>
    <w:rsid w:val="008E006D"/>
    <w:rsid w:val="008E38B4"/>
    <w:rsid w:val="008F4F21"/>
    <w:rsid w:val="00904D4A"/>
    <w:rsid w:val="00904ECB"/>
    <w:rsid w:val="009126A9"/>
    <w:rsid w:val="009151BA"/>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61F"/>
    <w:rsid w:val="009C329A"/>
    <w:rsid w:val="009C56B4"/>
    <w:rsid w:val="009D51A2"/>
    <w:rsid w:val="009E04A8"/>
    <w:rsid w:val="009E2272"/>
    <w:rsid w:val="009E4AEC"/>
    <w:rsid w:val="009E5BD8"/>
    <w:rsid w:val="009E681E"/>
    <w:rsid w:val="00A119E6"/>
    <w:rsid w:val="00A20FBC"/>
    <w:rsid w:val="00A31370"/>
    <w:rsid w:val="00A31650"/>
    <w:rsid w:val="00A34D6F"/>
    <w:rsid w:val="00A41F91"/>
    <w:rsid w:val="00A45D9A"/>
    <w:rsid w:val="00A63355"/>
    <w:rsid w:val="00A7596D"/>
    <w:rsid w:val="00A963DF"/>
    <w:rsid w:val="00AC0C22"/>
    <w:rsid w:val="00AC3896"/>
    <w:rsid w:val="00AD2CF2"/>
    <w:rsid w:val="00AE2D88"/>
    <w:rsid w:val="00AE6F6F"/>
    <w:rsid w:val="00AF3325"/>
    <w:rsid w:val="00AF34D9"/>
    <w:rsid w:val="00AF70DA"/>
    <w:rsid w:val="00B019D3"/>
    <w:rsid w:val="00B11446"/>
    <w:rsid w:val="00B2565A"/>
    <w:rsid w:val="00B34CF9"/>
    <w:rsid w:val="00B37559"/>
    <w:rsid w:val="00B4054B"/>
    <w:rsid w:val="00B500FB"/>
    <w:rsid w:val="00B570DC"/>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2335A"/>
    <w:rsid w:val="00C4395E"/>
    <w:rsid w:val="00C47FFD"/>
    <w:rsid w:val="00C51E92"/>
    <w:rsid w:val="00C57E2C"/>
    <w:rsid w:val="00C608B7"/>
    <w:rsid w:val="00C66F24"/>
    <w:rsid w:val="00C76659"/>
    <w:rsid w:val="00C76D7F"/>
    <w:rsid w:val="00C773B2"/>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27C4C"/>
    <w:rsid w:val="00E30E3F"/>
    <w:rsid w:val="00E35E8F"/>
    <w:rsid w:val="00E428AB"/>
    <w:rsid w:val="00E438E8"/>
    <w:rsid w:val="00E453A3"/>
    <w:rsid w:val="00E520E2"/>
    <w:rsid w:val="00E530C4"/>
    <w:rsid w:val="00E55996"/>
    <w:rsid w:val="00E64254"/>
    <w:rsid w:val="00E67928"/>
    <w:rsid w:val="00E70FB5"/>
    <w:rsid w:val="00E83FBE"/>
    <w:rsid w:val="00E915AF"/>
    <w:rsid w:val="00E96415"/>
    <w:rsid w:val="00EA15B3"/>
    <w:rsid w:val="00EB2358"/>
    <w:rsid w:val="00EB3EB8"/>
    <w:rsid w:val="00EC02FE"/>
    <w:rsid w:val="00EC4A96"/>
    <w:rsid w:val="00F424BF"/>
    <w:rsid w:val="00F44FC3"/>
    <w:rsid w:val="00F46107"/>
    <w:rsid w:val="00F468C5"/>
    <w:rsid w:val="00F52F39"/>
    <w:rsid w:val="00F6184F"/>
    <w:rsid w:val="00F63323"/>
    <w:rsid w:val="00F802CD"/>
    <w:rsid w:val="00F8310E"/>
    <w:rsid w:val="00F914DD"/>
    <w:rsid w:val="00FA2358"/>
    <w:rsid w:val="00FB0910"/>
    <w:rsid w:val="00FB2592"/>
    <w:rsid w:val="00FB2810"/>
    <w:rsid w:val="00FB7A2C"/>
    <w:rsid w:val="00FC2947"/>
    <w:rsid w:val="00FC7631"/>
    <w:rsid w:val="00FE0818"/>
    <w:rsid w:val="00FE6FB1"/>
    <w:rsid w:val="00FF33EF"/>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C39306E4-2C7A-4035-B72A-6737140F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paragraph" w:customStyle="1" w:styleId="Summary">
    <w:name w:val="Summary"/>
    <w:basedOn w:val="Normal"/>
    <w:next w:val="Normalaftertitle"/>
    <w:link w:val="SummaryChar"/>
    <w:rsid w:val="005B797D"/>
    <w:pPr>
      <w:spacing w:before="120" w:after="480" w:line="240" w:lineRule="auto"/>
    </w:pPr>
    <w:rPr>
      <w:rFonts w:ascii="Times New Roman" w:eastAsia="MS Mincho" w:hAnsi="Times New Roman" w:cs="Times New Roman"/>
      <w:szCs w:val="20"/>
      <w:lang w:val="es-ES_tradnl"/>
    </w:rPr>
  </w:style>
  <w:style w:type="character" w:customStyle="1" w:styleId="SummaryChar">
    <w:name w:val="Summary Char"/>
    <w:basedOn w:val="DefaultParagraphFont"/>
    <w:link w:val="Summary"/>
    <w:rsid w:val="005B797D"/>
    <w:rPr>
      <w:rFonts w:ascii="Times New Roman" w:eastAsia="MS Mincho" w:hAnsi="Times New Roman" w:cs="Times New Roman"/>
      <w:sz w:val="22"/>
      <w:lang w:val="es-ES_tradnl" w:eastAsia="en-US"/>
    </w:rPr>
  </w:style>
  <w:style w:type="character" w:customStyle="1" w:styleId="st">
    <w:name w:val="st"/>
    <w:basedOn w:val="DefaultParagraphFont"/>
    <w:rsid w:val="00C76659"/>
  </w:style>
  <w:style w:type="character" w:styleId="Emphasis">
    <w:name w:val="Emphasis"/>
    <w:basedOn w:val="DefaultParagraphFont"/>
    <w:qFormat/>
    <w:rsid w:val="003C275A"/>
    <w:rPr>
      <w:i/>
      <w:iCs/>
    </w:rPr>
  </w:style>
  <w:style w:type="table" w:styleId="TableGrid">
    <w:name w:val="Table Grid"/>
    <w:basedOn w:val="TableNormal"/>
    <w:rsid w:val="00A31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B2565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1638/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2-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EADC-3306-4C77-BCB2-597C94B3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1245</Words>
  <Characters>7941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LRT</cp:lastModifiedBy>
  <cp:revision>15</cp:revision>
  <cp:lastPrinted>2015-07-22T12:52:00Z</cp:lastPrinted>
  <dcterms:created xsi:type="dcterms:W3CDTF">2015-07-23T13:54:00Z</dcterms:created>
  <dcterms:modified xsi:type="dcterms:W3CDTF">2015-07-30T08:21:00Z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