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94A50" w:rsidTr="00306452">
        <w:trPr>
          <w:jc w:val="center"/>
        </w:trPr>
        <w:tc>
          <w:tcPr>
            <w:tcW w:w="9889" w:type="dxa"/>
            <w:gridSpan w:val="3"/>
            <w:shd w:val="clear" w:color="auto" w:fill="auto"/>
          </w:tcPr>
          <w:p w:rsidR="00E53DCE" w:rsidRPr="00394A50" w:rsidRDefault="00A96D3A" w:rsidP="006160CB">
            <w:pPr>
              <w:spacing w:before="0"/>
              <w:jc w:val="left"/>
              <w:rPr>
                <w:rFonts w:cstheme="minorHAnsi"/>
                <w:b/>
                <w:bCs/>
                <w:color w:val="808080"/>
                <w:sz w:val="28"/>
                <w:szCs w:val="28"/>
                <w:lang w:val="es-ES_tradnl"/>
              </w:rPr>
            </w:pPr>
            <w:r w:rsidRPr="00394A50">
              <w:rPr>
                <w:rFonts w:cstheme="minorHAnsi"/>
                <w:b/>
                <w:bCs/>
                <w:color w:val="808080"/>
                <w:sz w:val="28"/>
                <w:szCs w:val="28"/>
                <w:lang w:val="es-ES_tradnl"/>
              </w:rPr>
              <w:t>Oficina de Radiocomunicaciones (BR)</w:t>
            </w:r>
          </w:p>
          <w:p w:rsidR="00E53DCE" w:rsidRPr="00394A50" w:rsidRDefault="00E53DCE" w:rsidP="006160CB">
            <w:pPr>
              <w:spacing w:before="0"/>
              <w:jc w:val="left"/>
              <w:rPr>
                <w:rFonts w:cstheme="minorHAnsi"/>
                <w:b/>
                <w:bCs/>
                <w:color w:val="808080"/>
                <w:sz w:val="28"/>
                <w:szCs w:val="28"/>
                <w:lang w:val="es-ES_tradnl"/>
              </w:rPr>
            </w:pPr>
          </w:p>
          <w:p w:rsidR="00E53DCE" w:rsidRPr="00394A50" w:rsidRDefault="00E53DCE" w:rsidP="006160CB">
            <w:pPr>
              <w:spacing w:before="0"/>
              <w:jc w:val="left"/>
              <w:rPr>
                <w:rFonts w:cs="Times New Roman Bold"/>
                <w:b/>
                <w:bCs/>
                <w:color w:val="808080"/>
                <w:sz w:val="28"/>
                <w:szCs w:val="28"/>
                <w:lang w:val="es-ES_tradnl"/>
              </w:rPr>
            </w:pPr>
          </w:p>
        </w:tc>
      </w:tr>
      <w:tr w:rsidR="00E53DCE" w:rsidRPr="00394A50" w:rsidTr="00306452">
        <w:trPr>
          <w:jc w:val="center"/>
        </w:trPr>
        <w:tc>
          <w:tcPr>
            <w:tcW w:w="7054" w:type="dxa"/>
            <w:gridSpan w:val="2"/>
            <w:shd w:val="clear" w:color="auto" w:fill="auto"/>
          </w:tcPr>
          <w:p w:rsidR="00E53DCE" w:rsidRPr="00394A50" w:rsidRDefault="00A96D3A" w:rsidP="006160CB">
            <w:pPr>
              <w:spacing w:before="0"/>
              <w:jc w:val="left"/>
              <w:rPr>
                <w:szCs w:val="24"/>
                <w:lang w:val="es-ES_tradnl"/>
              </w:rPr>
            </w:pPr>
            <w:r w:rsidRPr="00394A50">
              <w:rPr>
                <w:szCs w:val="24"/>
                <w:lang w:val="es-ES_tradnl"/>
              </w:rPr>
              <w:t>Circular Administrativa</w:t>
            </w:r>
          </w:p>
          <w:p w:rsidR="00E53DCE" w:rsidRPr="00394A50" w:rsidRDefault="00E53DCE" w:rsidP="00B02AAA">
            <w:pPr>
              <w:spacing w:before="0"/>
              <w:jc w:val="left"/>
              <w:rPr>
                <w:b/>
                <w:bCs/>
                <w:szCs w:val="24"/>
                <w:lang w:val="es-ES_tradnl"/>
              </w:rPr>
            </w:pPr>
            <w:r w:rsidRPr="00394A50">
              <w:rPr>
                <w:b/>
                <w:bCs/>
                <w:szCs w:val="24"/>
                <w:lang w:val="es-ES_tradnl"/>
              </w:rPr>
              <w:t>CA</w:t>
            </w:r>
            <w:r w:rsidR="0095222B" w:rsidRPr="00394A50">
              <w:rPr>
                <w:b/>
                <w:bCs/>
                <w:szCs w:val="24"/>
                <w:lang w:val="es-ES_tradnl"/>
              </w:rPr>
              <w:t>CE</w:t>
            </w:r>
            <w:r w:rsidRPr="00394A50">
              <w:rPr>
                <w:b/>
                <w:bCs/>
                <w:szCs w:val="24"/>
                <w:lang w:val="es-ES_tradnl"/>
              </w:rPr>
              <w:t>/</w:t>
            </w:r>
            <w:r w:rsidR="0095222B" w:rsidRPr="00394A50">
              <w:rPr>
                <w:b/>
                <w:bCs/>
                <w:szCs w:val="24"/>
                <w:lang w:val="es-ES_tradnl"/>
              </w:rPr>
              <w:t>74</w:t>
            </w:r>
            <w:r w:rsidR="00B02AAA">
              <w:rPr>
                <w:b/>
                <w:bCs/>
                <w:szCs w:val="24"/>
                <w:lang w:val="es-ES_tradnl"/>
              </w:rPr>
              <w:t>7</w:t>
            </w:r>
          </w:p>
        </w:tc>
        <w:tc>
          <w:tcPr>
            <w:tcW w:w="2835" w:type="dxa"/>
            <w:shd w:val="clear" w:color="auto" w:fill="auto"/>
          </w:tcPr>
          <w:p w:rsidR="00E53DCE" w:rsidRPr="00394A50" w:rsidRDefault="00634652" w:rsidP="00DE187B">
            <w:pPr>
              <w:spacing w:before="0"/>
              <w:jc w:val="right"/>
              <w:rPr>
                <w:szCs w:val="24"/>
                <w:lang w:val="es-ES_tradnl"/>
              </w:rPr>
            </w:pPr>
            <w:r>
              <w:rPr>
                <w:szCs w:val="24"/>
              </w:rPr>
              <w:t>1</w:t>
            </w:r>
            <w:r w:rsidR="00DE187B">
              <w:rPr>
                <w:szCs w:val="24"/>
              </w:rPr>
              <w:t>4</w:t>
            </w:r>
            <w:r>
              <w:rPr>
                <w:szCs w:val="24"/>
              </w:rPr>
              <w:t xml:space="preserve"> de agosto de 2015</w:t>
            </w:r>
          </w:p>
        </w:tc>
      </w:tr>
      <w:tr w:rsidR="00E53DCE" w:rsidRPr="00394A50" w:rsidTr="00306452">
        <w:trPr>
          <w:jc w:val="center"/>
        </w:trPr>
        <w:tc>
          <w:tcPr>
            <w:tcW w:w="9889" w:type="dxa"/>
            <w:gridSpan w:val="3"/>
            <w:shd w:val="clear" w:color="auto" w:fill="auto"/>
          </w:tcPr>
          <w:p w:rsidR="00E53DCE" w:rsidRPr="00394A50" w:rsidRDefault="00E53DCE" w:rsidP="006160CB">
            <w:pPr>
              <w:spacing w:before="0"/>
              <w:jc w:val="left"/>
              <w:rPr>
                <w:rFonts w:cs="Arial"/>
                <w:szCs w:val="24"/>
                <w:lang w:val="es-ES_tradnl"/>
              </w:rPr>
            </w:pPr>
          </w:p>
        </w:tc>
      </w:tr>
      <w:tr w:rsidR="00E53DCE" w:rsidRPr="00394A50" w:rsidTr="00306452">
        <w:trPr>
          <w:jc w:val="center"/>
        </w:trPr>
        <w:tc>
          <w:tcPr>
            <w:tcW w:w="9889" w:type="dxa"/>
            <w:gridSpan w:val="3"/>
            <w:shd w:val="clear" w:color="auto" w:fill="auto"/>
          </w:tcPr>
          <w:p w:rsidR="00E53DCE" w:rsidRPr="00394A50" w:rsidRDefault="00E53DCE" w:rsidP="006160CB">
            <w:pPr>
              <w:spacing w:before="0"/>
              <w:jc w:val="left"/>
              <w:rPr>
                <w:szCs w:val="24"/>
                <w:lang w:val="es-ES_tradnl"/>
              </w:rPr>
            </w:pPr>
          </w:p>
        </w:tc>
      </w:tr>
      <w:tr w:rsidR="00E53DCE" w:rsidRPr="00DE187B" w:rsidTr="00306452">
        <w:trPr>
          <w:jc w:val="center"/>
        </w:trPr>
        <w:tc>
          <w:tcPr>
            <w:tcW w:w="9889" w:type="dxa"/>
            <w:gridSpan w:val="3"/>
            <w:shd w:val="clear" w:color="auto" w:fill="auto"/>
          </w:tcPr>
          <w:p w:rsidR="00E53DCE" w:rsidRPr="00394A50" w:rsidRDefault="0095222B" w:rsidP="00634652">
            <w:pPr>
              <w:spacing w:before="0"/>
              <w:jc w:val="left"/>
              <w:rPr>
                <w:b/>
                <w:bCs/>
                <w:szCs w:val="24"/>
                <w:lang w:val="es-ES_tradnl"/>
              </w:rPr>
            </w:pPr>
            <w:r w:rsidRPr="00394A50">
              <w:rPr>
                <w:b/>
                <w:szCs w:val="24"/>
                <w:lang w:val="es-ES_tradnl"/>
              </w:rPr>
              <w:t>A las Administraciones de los Estados Miembros de la UIT, a los Miembros</w:t>
            </w:r>
            <w:r w:rsidRPr="00394A50">
              <w:rPr>
                <w:b/>
                <w:szCs w:val="24"/>
                <w:lang w:val="es-ES_tradnl"/>
              </w:rPr>
              <w:br/>
              <w:t>del Sector de Radiocomunicaciones y a los Asociados del UIT-R que participan</w:t>
            </w:r>
            <w:r w:rsidRPr="00394A50">
              <w:rPr>
                <w:b/>
                <w:szCs w:val="24"/>
                <w:lang w:val="es-ES_tradnl"/>
              </w:rPr>
              <w:br/>
              <w:t xml:space="preserve">en los trabajos de la Comisión de Estudio </w:t>
            </w:r>
            <w:r w:rsidR="00634652">
              <w:rPr>
                <w:b/>
                <w:szCs w:val="24"/>
                <w:lang w:val="es-ES_tradnl"/>
              </w:rPr>
              <w:t>6</w:t>
            </w:r>
            <w:r w:rsidRPr="00394A50">
              <w:rPr>
                <w:b/>
                <w:szCs w:val="24"/>
                <w:lang w:val="es-ES_tradnl"/>
              </w:rPr>
              <w:t xml:space="preserve"> de Radiocomunicaciones</w:t>
            </w:r>
          </w:p>
        </w:tc>
      </w:tr>
      <w:tr w:rsidR="00E53DCE" w:rsidRPr="00DE187B" w:rsidTr="00306452">
        <w:trPr>
          <w:jc w:val="center"/>
        </w:trPr>
        <w:tc>
          <w:tcPr>
            <w:tcW w:w="9889" w:type="dxa"/>
            <w:gridSpan w:val="3"/>
            <w:shd w:val="clear" w:color="auto" w:fill="auto"/>
          </w:tcPr>
          <w:p w:rsidR="00E53DCE" w:rsidRPr="00394A50" w:rsidRDefault="00E53DCE" w:rsidP="006160CB">
            <w:pPr>
              <w:spacing w:before="0"/>
              <w:jc w:val="left"/>
              <w:rPr>
                <w:szCs w:val="24"/>
                <w:lang w:val="es-ES_tradnl"/>
              </w:rPr>
            </w:pPr>
          </w:p>
        </w:tc>
      </w:tr>
      <w:tr w:rsidR="00E53DCE" w:rsidRPr="00DE187B" w:rsidTr="00306452">
        <w:trPr>
          <w:jc w:val="center"/>
        </w:trPr>
        <w:tc>
          <w:tcPr>
            <w:tcW w:w="9889" w:type="dxa"/>
            <w:gridSpan w:val="3"/>
            <w:shd w:val="clear" w:color="auto" w:fill="auto"/>
          </w:tcPr>
          <w:p w:rsidR="00E53DCE" w:rsidRPr="00394A50" w:rsidRDefault="00E53DCE" w:rsidP="006160CB">
            <w:pPr>
              <w:spacing w:before="0"/>
              <w:jc w:val="left"/>
              <w:rPr>
                <w:szCs w:val="24"/>
                <w:lang w:val="es-ES_tradnl"/>
              </w:rPr>
            </w:pPr>
          </w:p>
        </w:tc>
      </w:tr>
      <w:tr w:rsidR="00E53DCE" w:rsidRPr="00DE187B" w:rsidTr="00306452">
        <w:trPr>
          <w:jc w:val="center"/>
        </w:trPr>
        <w:tc>
          <w:tcPr>
            <w:tcW w:w="1526" w:type="dxa"/>
            <w:shd w:val="clear" w:color="auto" w:fill="auto"/>
          </w:tcPr>
          <w:p w:rsidR="00E53DCE" w:rsidRPr="00394A50" w:rsidRDefault="00A96D3A" w:rsidP="006160CB">
            <w:pPr>
              <w:tabs>
                <w:tab w:val="clear" w:pos="1588"/>
                <w:tab w:val="left" w:pos="1560"/>
              </w:tabs>
              <w:spacing w:before="0"/>
              <w:jc w:val="left"/>
              <w:rPr>
                <w:szCs w:val="24"/>
                <w:lang w:val="es-ES_tradnl"/>
              </w:rPr>
            </w:pPr>
            <w:r w:rsidRPr="00394A50">
              <w:rPr>
                <w:szCs w:val="24"/>
                <w:lang w:val="es-ES_tradnl"/>
              </w:rPr>
              <w:t>Objeto:</w:t>
            </w:r>
          </w:p>
        </w:tc>
        <w:tc>
          <w:tcPr>
            <w:tcW w:w="8363" w:type="dxa"/>
            <w:gridSpan w:val="2"/>
            <w:vMerge w:val="restart"/>
            <w:shd w:val="clear" w:color="auto" w:fill="auto"/>
          </w:tcPr>
          <w:p w:rsidR="0095222B" w:rsidRPr="00394A50" w:rsidRDefault="0095222B" w:rsidP="005C3144">
            <w:pPr>
              <w:tabs>
                <w:tab w:val="clear" w:pos="794"/>
                <w:tab w:val="clear" w:pos="1191"/>
                <w:tab w:val="clear" w:pos="1588"/>
                <w:tab w:val="clear" w:pos="1985"/>
                <w:tab w:val="left" w:pos="459"/>
                <w:tab w:val="left" w:pos="1276"/>
              </w:tabs>
              <w:spacing w:before="0" w:after="120"/>
              <w:ind w:left="459" w:hanging="459"/>
              <w:jc w:val="left"/>
              <w:rPr>
                <w:b/>
                <w:bCs/>
                <w:szCs w:val="24"/>
                <w:lang w:val="es-ES_tradnl"/>
              </w:rPr>
            </w:pPr>
            <w:r w:rsidRPr="00394A50">
              <w:rPr>
                <w:b/>
                <w:bCs/>
                <w:szCs w:val="24"/>
                <w:lang w:val="es-ES_tradnl"/>
              </w:rPr>
              <w:t xml:space="preserve">Comisión de Estudio </w:t>
            </w:r>
            <w:r w:rsidR="005C3144">
              <w:rPr>
                <w:b/>
                <w:bCs/>
                <w:szCs w:val="24"/>
                <w:lang w:val="es-ES_tradnl"/>
              </w:rPr>
              <w:t>6</w:t>
            </w:r>
            <w:r w:rsidRPr="00394A50">
              <w:rPr>
                <w:b/>
                <w:bCs/>
                <w:szCs w:val="24"/>
                <w:lang w:val="es-ES_tradnl"/>
              </w:rPr>
              <w:t xml:space="preserve"> de Radiocomunicaciones (</w:t>
            </w:r>
            <w:r w:rsidR="00634652" w:rsidRPr="00634652">
              <w:rPr>
                <w:rStyle w:val="h21"/>
                <w:rFonts w:asciiTheme="minorHAnsi" w:eastAsia="MS Mincho" w:hAnsiTheme="minorHAnsi" w:cstheme="minorHAnsi"/>
                <w:color w:val="000000" w:themeColor="text1"/>
                <w:sz w:val="24"/>
                <w:szCs w:val="24"/>
                <w:lang w:val="es-ES_tradnl"/>
              </w:rPr>
              <w:t>Servicio de radiodifusión</w:t>
            </w:r>
            <w:r w:rsidRPr="00394A50">
              <w:rPr>
                <w:b/>
                <w:bCs/>
                <w:szCs w:val="24"/>
                <w:lang w:val="es-ES_tradnl"/>
              </w:rPr>
              <w:t>)</w:t>
            </w:r>
          </w:p>
          <w:p w:rsidR="00E53DCE" w:rsidRPr="00394A50" w:rsidRDefault="0095222B" w:rsidP="00634652">
            <w:pPr>
              <w:tabs>
                <w:tab w:val="clear" w:pos="794"/>
                <w:tab w:val="clear" w:pos="1191"/>
                <w:tab w:val="clear" w:pos="1588"/>
                <w:tab w:val="clear" w:pos="1985"/>
                <w:tab w:val="left" w:pos="459"/>
                <w:tab w:val="left" w:pos="1276"/>
              </w:tabs>
              <w:spacing w:before="0" w:after="120"/>
              <w:ind w:left="459" w:hanging="459"/>
              <w:jc w:val="left"/>
              <w:rPr>
                <w:b/>
                <w:bCs/>
                <w:szCs w:val="24"/>
                <w:lang w:val="es-ES_tradnl"/>
              </w:rPr>
            </w:pPr>
            <w:r w:rsidRPr="00394A50">
              <w:rPr>
                <w:szCs w:val="24"/>
                <w:lang w:val="es-ES_tradnl"/>
              </w:rPr>
              <w:t>–</w:t>
            </w:r>
            <w:r w:rsidR="007C4C63">
              <w:rPr>
                <w:b/>
                <w:bCs/>
                <w:szCs w:val="24"/>
                <w:lang w:val="es-ES_tradnl"/>
              </w:rPr>
              <w:tab/>
              <w:t xml:space="preserve">Propuesta de adopción de </w:t>
            </w:r>
            <w:r w:rsidR="00634652">
              <w:rPr>
                <w:b/>
                <w:bCs/>
                <w:szCs w:val="24"/>
                <w:lang w:val="es-ES_tradnl"/>
              </w:rPr>
              <w:t>2</w:t>
            </w:r>
            <w:r w:rsidRPr="00394A50">
              <w:rPr>
                <w:b/>
                <w:bCs/>
                <w:szCs w:val="24"/>
                <w:lang w:val="es-ES_tradnl"/>
              </w:rPr>
              <w:t xml:space="preserve"> proyectos de nueva </w:t>
            </w:r>
            <w:r w:rsidR="007C4C63">
              <w:rPr>
                <w:b/>
                <w:bCs/>
                <w:szCs w:val="24"/>
                <w:lang w:val="es-ES_tradnl"/>
              </w:rPr>
              <w:t xml:space="preserve">Recomendación UIT-R y </w:t>
            </w:r>
            <w:r w:rsidR="00634652">
              <w:rPr>
                <w:b/>
                <w:bCs/>
                <w:szCs w:val="24"/>
                <w:lang w:val="es-ES_tradnl"/>
              </w:rPr>
              <w:t>15</w:t>
            </w:r>
            <w:r w:rsidRPr="00394A50">
              <w:rPr>
                <w:b/>
                <w:bCs/>
                <w:szCs w:val="24"/>
                <w:lang w:val="es-ES_tradnl"/>
              </w:rPr>
              <w:t> </w:t>
            </w:r>
            <w:r w:rsidRPr="00394A50">
              <w:rPr>
                <w:b/>
                <w:szCs w:val="24"/>
                <w:lang w:val="es-ES_tradnl"/>
              </w:rPr>
              <w:t>proyectos de Recomendación UIT-R revisada y su aprobación simultánea por correspondencia de conformidad con el § 10.3 de la Resolución UIT</w:t>
            </w:r>
            <w:r w:rsidRPr="00394A50">
              <w:rPr>
                <w:b/>
                <w:szCs w:val="24"/>
                <w:lang w:val="es-ES_tradnl"/>
              </w:rPr>
              <w:noBreakHyphen/>
              <w:t>R 1</w:t>
            </w:r>
            <w:r w:rsidRPr="00394A50">
              <w:rPr>
                <w:b/>
                <w:szCs w:val="24"/>
                <w:lang w:val="es-ES_tradnl"/>
              </w:rPr>
              <w:noBreakHyphen/>
              <w:t>6 (Procedimiento para la adopción y aprobación simultánea por correspondencia)</w:t>
            </w:r>
          </w:p>
        </w:tc>
      </w:tr>
      <w:tr w:rsidR="00E53DCE" w:rsidRPr="00DE187B" w:rsidTr="00306452">
        <w:trPr>
          <w:jc w:val="center"/>
        </w:trPr>
        <w:tc>
          <w:tcPr>
            <w:tcW w:w="1526" w:type="dxa"/>
            <w:shd w:val="clear" w:color="auto" w:fill="auto"/>
          </w:tcPr>
          <w:p w:rsidR="00E53DCE" w:rsidRPr="00394A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4A50" w:rsidRDefault="00E53DCE" w:rsidP="006160CB">
            <w:pPr>
              <w:tabs>
                <w:tab w:val="clear" w:pos="1588"/>
                <w:tab w:val="left" w:pos="1560"/>
              </w:tabs>
              <w:spacing w:before="0"/>
              <w:rPr>
                <w:b/>
                <w:bCs/>
                <w:szCs w:val="24"/>
                <w:lang w:val="es-ES_tradnl"/>
              </w:rPr>
            </w:pPr>
          </w:p>
        </w:tc>
      </w:tr>
      <w:tr w:rsidR="00E53DCE" w:rsidRPr="00DE187B" w:rsidTr="00306452">
        <w:trPr>
          <w:jc w:val="center"/>
        </w:trPr>
        <w:tc>
          <w:tcPr>
            <w:tcW w:w="1526" w:type="dxa"/>
            <w:shd w:val="clear" w:color="auto" w:fill="auto"/>
          </w:tcPr>
          <w:p w:rsidR="00E53DCE" w:rsidRPr="00394A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4A50" w:rsidRDefault="00E53DCE" w:rsidP="006160CB">
            <w:pPr>
              <w:tabs>
                <w:tab w:val="clear" w:pos="1588"/>
                <w:tab w:val="left" w:pos="1560"/>
              </w:tabs>
              <w:spacing w:before="0"/>
              <w:rPr>
                <w:b/>
                <w:bCs/>
                <w:szCs w:val="24"/>
                <w:lang w:val="es-ES_tradnl"/>
              </w:rPr>
            </w:pPr>
          </w:p>
        </w:tc>
      </w:tr>
      <w:tr w:rsidR="00E53DCE" w:rsidRPr="00DE187B" w:rsidTr="00306452">
        <w:trPr>
          <w:jc w:val="center"/>
        </w:trPr>
        <w:tc>
          <w:tcPr>
            <w:tcW w:w="9889" w:type="dxa"/>
            <w:gridSpan w:val="3"/>
            <w:shd w:val="clear" w:color="auto" w:fill="auto"/>
          </w:tcPr>
          <w:p w:rsidR="00E53DCE" w:rsidRPr="00394A50" w:rsidRDefault="00E53DCE" w:rsidP="00E53DCE">
            <w:pPr>
              <w:tabs>
                <w:tab w:val="clear" w:pos="1588"/>
                <w:tab w:val="left" w:pos="1560"/>
              </w:tabs>
              <w:spacing w:before="0"/>
              <w:jc w:val="left"/>
              <w:rPr>
                <w:szCs w:val="24"/>
                <w:lang w:val="es-ES_tradnl"/>
              </w:rPr>
            </w:pPr>
          </w:p>
        </w:tc>
      </w:tr>
      <w:tr w:rsidR="00E53DCE" w:rsidRPr="00DE187B" w:rsidTr="00306452">
        <w:trPr>
          <w:jc w:val="center"/>
        </w:trPr>
        <w:tc>
          <w:tcPr>
            <w:tcW w:w="9889" w:type="dxa"/>
            <w:gridSpan w:val="3"/>
            <w:shd w:val="clear" w:color="auto" w:fill="auto"/>
          </w:tcPr>
          <w:p w:rsidR="00E53DCE" w:rsidRPr="00394A50" w:rsidRDefault="00E53DCE" w:rsidP="006160CB">
            <w:pPr>
              <w:spacing w:before="0"/>
              <w:jc w:val="left"/>
              <w:rPr>
                <w:b/>
                <w:bCs/>
                <w:szCs w:val="24"/>
                <w:lang w:val="es-ES_tradnl"/>
              </w:rPr>
            </w:pPr>
          </w:p>
        </w:tc>
      </w:tr>
    </w:tbl>
    <w:p w:rsidR="0095222B" w:rsidRPr="00394A50" w:rsidRDefault="0095222B" w:rsidP="00B02AAA">
      <w:pPr>
        <w:spacing w:before="600"/>
        <w:rPr>
          <w:szCs w:val="24"/>
          <w:lang w:val="es-ES_tradnl"/>
        </w:rPr>
      </w:pPr>
      <w:bookmarkStart w:id="0" w:name="Logo"/>
      <w:bookmarkStart w:id="1" w:name="Origine"/>
      <w:bookmarkEnd w:id="0"/>
      <w:bookmarkEnd w:id="1"/>
      <w:r w:rsidRPr="00394A50">
        <w:rPr>
          <w:szCs w:val="24"/>
          <w:lang w:val="es-ES_tradnl"/>
        </w:rPr>
        <w:t xml:space="preserve">En la reunión de la Comisión de Estudio </w:t>
      </w:r>
      <w:r w:rsidR="00634652">
        <w:rPr>
          <w:szCs w:val="24"/>
          <w:lang w:val="es-ES_tradnl"/>
        </w:rPr>
        <w:t>6</w:t>
      </w:r>
      <w:r w:rsidRPr="00394A50">
        <w:rPr>
          <w:szCs w:val="24"/>
          <w:lang w:val="es-ES_tradnl"/>
        </w:rPr>
        <w:t xml:space="preserve"> de Radiocomunicaciones celebrada </w:t>
      </w:r>
      <w:r w:rsidR="00B02AAA" w:rsidRPr="00FB22F9">
        <w:rPr>
          <w:lang w:val="es-ES_tradnl"/>
        </w:rPr>
        <w:t xml:space="preserve">el </w:t>
      </w:r>
      <w:r w:rsidR="00B02AAA">
        <w:rPr>
          <w:lang w:val="es-ES_tradnl"/>
        </w:rPr>
        <w:t>24</w:t>
      </w:r>
      <w:r w:rsidR="00B02AAA" w:rsidRPr="00FB22F9">
        <w:rPr>
          <w:lang w:val="es-ES_tradnl"/>
        </w:rPr>
        <w:t xml:space="preserve"> </w:t>
      </w:r>
      <w:r w:rsidR="00B02AAA" w:rsidRPr="00985419">
        <w:rPr>
          <w:szCs w:val="24"/>
          <w:lang w:val="es-ES_tradnl"/>
        </w:rPr>
        <w:t xml:space="preserve"> </w:t>
      </w:r>
      <w:r w:rsidR="007C4C63">
        <w:rPr>
          <w:szCs w:val="24"/>
          <w:lang w:val="es-ES_tradnl"/>
        </w:rPr>
        <w:t>de julio de 2015</w:t>
      </w:r>
      <w:r w:rsidRPr="00394A50">
        <w:rPr>
          <w:szCs w:val="24"/>
          <w:lang w:val="es-ES_tradnl"/>
        </w:rPr>
        <w:t xml:space="preserve">, la Comisión de Estudio decidió solicitar la adopción de </w:t>
      </w:r>
      <w:r w:rsidR="00634652">
        <w:rPr>
          <w:szCs w:val="24"/>
          <w:lang w:val="es-ES_tradnl"/>
        </w:rPr>
        <w:t>2</w:t>
      </w:r>
      <w:r w:rsidR="007C4C63">
        <w:rPr>
          <w:szCs w:val="24"/>
          <w:lang w:val="es-ES_tradnl"/>
        </w:rPr>
        <w:t xml:space="preserve"> proyectos de nueva</w:t>
      </w:r>
      <w:r w:rsidRPr="00394A50">
        <w:rPr>
          <w:szCs w:val="24"/>
          <w:lang w:val="es-ES_tradnl"/>
        </w:rPr>
        <w:t xml:space="preserve"> Recomendación UIT-R y de </w:t>
      </w:r>
      <w:r w:rsidR="00634652">
        <w:rPr>
          <w:szCs w:val="24"/>
          <w:lang w:val="es-ES_tradnl"/>
        </w:rPr>
        <w:t>15</w:t>
      </w:r>
      <w:r w:rsidRPr="00394A50">
        <w:rPr>
          <w:szCs w:val="24"/>
          <w:lang w:val="es-ES_tradnl"/>
        </w:rPr>
        <w:t xml:space="preserve"> proyectos de Recomendación UIT-R revisada por correspondencia (§ 10.2.3 de la Resolución UIT</w:t>
      </w:r>
      <w:r w:rsidRPr="00394A50">
        <w:rPr>
          <w:szCs w:val="24"/>
          <w:lang w:val="es-ES_tradnl"/>
        </w:rPr>
        <w:noBreakHyphen/>
        <w:t>R 1</w:t>
      </w:r>
      <w:r w:rsidRPr="00394A50">
        <w:rPr>
          <w:szCs w:val="24"/>
          <w:lang w:val="es-ES_tradnl"/>
        </w:rPr>
        <w:noBreakHyphen/>
        <w:t>6), y decidió además aplicar el procedimiento de adopción y aprobación simultáneas por correspondencia (PAAS) (§ 10.3 de la Resolución UIT</w:t>
      </w:r>
      <w:r w:rsidRPr="00394A50">
        <w:rPr>
          <w:szCs w:val="24"/>
          <w:lang w:val="es-ES_tradnl"/>
        </w:rPr>
        <w:noBreakHyphen/>
        <w:t>R 1</w:t>
      </w:r>
      <w:r w:rsidRPr="00394A50">
        <w:rPr>
          <w:szCs w:val="24"/>
          <w:lang w:val="es-ES_tradnl"/>
        </w:rPr>
        <w:noBreakHyphen/>
        <w:t>6). Los títulos y resúmenes de los proyectos de Recomendación apar</w:t>
      </w:r>
      <w:r w:rsidR="005C3144">
        <w:rPr>
          <w:szCs w:val="24"/>
          <w:lang w:val="es-ES_tradnl"/>
        </w:rPr>
        <w:t>ecen en el Anexo a la presente.</w:t>
      </w:r>
    </w:p>
    <w:p w:rsidR="0095222B" w:rsidRPr="00394A50" w:rsidRDefault="0095222B" w:rsidP="00DE187B">
      <w:pPr>
        <w:rPr>
          <w:szCs w:val="24"/>
          <w:lang w:val="es-ES_tradnl"/>
        </w:rPr>
      </w:pPr>
      <w:r w:rsidRPr="00394A50">
        <w:rPr>
          <w:szCs w:val="24"/>
          <w:lang w:val="es-ES_tradnl"/>
        </w:rPr>
        <w:t xml:space="preserve">El periodo de consideración se extenderá durante 2 meses finalizando el </w:t>
      </w:r>
      <w:r w:rsidR="00B02AAA">
        <w:rPr>
          <w:szCs w:val="24"/>
          <w:u w:val="single"/>
          <w:lang w:val="es-ES_tradnl"/>
        </w:rPr>
        <w:t>1</w:t>
      </w:r>
      <w:r w:rsidR="00DE187B">
        <w:rPr>
          <w:szCs w:val="24"/>
          <w:u w:val="single"/>
          <w:lang w:val="es-ES_tradnl"/>
        </w:rPr>
        <w:t>4</w:t>
      </w:r>
      <w:bookmarkStart w:id="2" w:name="_GoBack"/>
      <w:bookmarkEnd w:id="2"/>
      <w:r w:rsidR="007C4C63">
        <w:rPr>
          <w:szCs w:val="24"/>
          <w:u w:val="single"/>
          <w:lang w:val="es-ES_tradnl"/>
        </w:rPr>
        <w:t xml:space="preserve"> de </w:t>
      </w:r>
      <w:r w:rsidR="00B02AAA" w:rsidRPr="006B2E71">
        <w:rPr>
          <w:szCs w:val="24"/>
          <w:u w:val="single"/>
          <w:lang w:val="es-ES_tradnl"/>
        </w:rPr>
        <w:t>octubre</w:t>
      </w:r>
      <w:r w:rsidR="007C4C63">
        <w:rPr>
          <w:szCs w:val="24"/>
          <w:u w:val="single"/>
          <w:lang w:val="es-ES_tradnl"/>
        </w:rPr>
        <w:t xml:space="preserve"> de 2015</w:t>
      </w:r>
      <w:r w:rsidRPr="00394A50">
        <w:rPr>
          <w:szCs w:val="24"/>
          <w:lang w:val="es-ES_tradnl"/>
        </w:rPr>
        <w:t>. Si durante este periodo no se reciben objeciones de los Estados Miembros, se considerará que los proyectos de Recomendación serán adoptados por la Comisión de Estudio </w:t>
      </w:r>
      <w:r w:rsidR="00634652">
        <w:rPr>
          <w:szCs w:val="24"/>
          <w:lang w:val="es-ES_tradnl"/>
        </w:rPr>
        <w:t>6</w:t>
      </w:r>
      <w:r w:rsidRPr="00394A50">
        <w:rPr>
          <w:szCs w:val="24"/>
          <w:lang w:val="es-ES_tradnl"/>
        </w:rPr>
        <w:t>. Además, como se ha seguido el PAAS, los proyectos de Recomendación también se considerarán aprobados.</w:t>
      </w:r>
    </w:p>
    <w:p w:rsidR="0095222B" w:rsidRPr="00394A50" w:rsidRDefault="0095222B" w:rsidP="00B864C8">
      <w:pPr>
        <w:rPr>
          <w:szCs w:val="24"/>
          <w:lang w:val="es-ES_tradnl"/>
        </w:rPr>
      </w:pPr>
      <w:r w:rsidRPr="00394A50">
        <w:rPr>
          <w:szCs w:val="24"/>
          <w:lang w:val="es-ES_tradnl"/>
        </w:rPr>
        <w:t>Todo Estado Miembro que tenga una objeción a la adopción de un proyecto de Recomendación debe informar al Director y al Presidente de la Comisión de Estudio de los motivos de dicha objeción.</w:t>
      </w:r>
    </w:p>
    <w:p w:rsidR="0095222B" w:rsidRPr="00394A50" w:rsidRDefault="0095222B" w:rsidP="007C4C63">
      <w:pPr>
        <w:rPr>
          <w:szCs w:val="24"/>
          <w:lang w:val="es-ES_tradnl"/>
        </w:rPr>
      </w:pPr>
      <w:r w:rsidRPr="00394A50">
        <w:rPr>
          <w:szCs w:val="24"/>
          <w:lang w:val="es-ES_tradnl"/>
        </w:rPr>
        <w:t xml:space="preserve">Tras la fecha límite mencionada, los resultados del PAAS se comunicarán mediante Circular Administrativa y las </w:t>
      </w:r>
      <w:r w:rsidR="007C4C63" w:rsidRPr="00394A50">
        <w:rPr>
          <w:szCs w:val="24"/>
          <w:lang w:val="es-ES_tradnl"/>
        </w:rPr>
        <w:t>Recomendaciones</w:t>
      </w:r>
      <w:r w:rsidRPr="00394A50">
        <w:rPr>
          <w:szCs w:val="24"/>
          <w:lang w:val="es-ES_tradnl"/>
        </w:rPr>
        <w:t xml:space="preserve"> aprobadas se publicarán tan pronto como sea posible (véase </w:t>
      </w:r>
      <w:hyperlink r:id="rId8" w:history="1">
        <w:r w:rsidRPr="00394A50">
          <w:rPr>
            <w:color w:val="0000FF"/>
            <w:szCs w:val="24"/>
            <w:u w:val="single"/>
            <w:lang w:val="es-ES_tradnl"/>
          </w:rPr>
          <w:t>http://</w:t>
        </w:r>
        <w:r w:rsidRPr="00394A50">
          <w:rPr>
            <w:rStyle w:val="Hyperlink"/>
            <w:lang w:val="es-ES_tradnl"/>
          </w:rPr>
          <w:t>www</w:t>
        </w:r>
        <w:r w:rsidRPr="00394A50">
          <w:rPr>
            <w:color w:val="0000FF"/>
            <w:szCs w:val="24"/>
            <w:u w:val="single"/>
            <w:lang w:val="es-ES_tradnl"/>
          </w:rPr>
          <w:t>.itu.int/pub/R-REC</w:t>
        </w:r>
      </w:hyperlink>
      <w:r w:rsidRPr="00394A50">
        <w:rPr>
          <w:szCs w:val="24"/>
          <w:lang w:val="es-ES_tradnl"/>
        </w:rPr>
        <w:t>).</w:t>
      </w:r>
    </w:p>
    <w:p w:rsidR="0095222B" w:rsidRPr="00394A50" w:rsidRDefault="0095222B" w:rsidP="00CE6299">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sidRPr="00394A50">
        <w:rPr>
          <w:szCs w:val="24"/>
          <w:lang w:val="es-ES_tradnl"/>
        </w:rPr>
        <w:br w:type="page"/>
      </w:r>
    </w:p>
    <w:p w:rsidR="0095222B" w:rsidRPr="00394A50" w:rsidRDefault="0095222B" w:rsidP="0095222B">
      <w:pPr>
        <w:rPr>
          <w:szCs w:val="24"/>
          <w:lang w:val="es-ES_tradnl"/>
        </w:rPr>
      </w:pPr>
      <w:r w:rsidRPr="00394A50">
        <w:rPr>
          <w:szCs w:val="24"/>
          <w:lang w:val="es-ES_tradnl"/>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w:t>
      </w:r>
      <w:r w:rsidRPr="00394A50">
        <w:rPr>
          <w:szCs w:val="24"/>
          <w:lang w:val="es-ES_tradnl"/>
        </w:rPr>
        <w:noBreakHyphen/>
        <w:t>T/UIT</w:t>
      </w:r>
      <w:r w:rsidRPr="00394A50">
        <w:rPr>
          <w:szCs w:val="24"/>
          <w:lang w:val="es-ES_tradnl"/>
        </w:rPr>
        <w:noBreakHyphen/>
        <w:t xml:space="preserve">R/ISO/CEI puede consultarse en: </w:t>
      </w:r>
      <w:hyperlink r:id="rId9" w:history="1">
        <w:r w:rsidRPr="00394A50">
          <w:rPr>
            <w:rStyle w:val="Hyperlink"/>
            <w:szCs w:val="22"/>
            <w:lang w:val="es-ES_tradnl"/>
          </w:rPr>
          <w:t>http://www.itu.int/en/ITU-T/ipr/Pages/policy.aspx</w:t>
        </w:r>
      </w:hyperlink>
      <w:r w:rsidRPr="00394A50">
        <w:rPr>
          <w:szCs w:val="24"/>
          <w:lang w:val="es-ES_tradnl"/>
        </w:rPr>
        <w:t>.</w:t>
      </w:r>
    </w:p>
    <w:p w:rsidR="0095222B" w:rsidRPr="00394A50" w:rsidRDefault="0095222B" w:rsidP="0095222B">
      <w:pPr>
        <w:spacing w:before="1920" w:line="240" w:lineRule="auto"/>
        <w:jc w:val="left"/>
        <w:rPr>
          <w:szCs w:val="24"/>
          <w:lang w:val="es-ES_tradnl"/>
        </w:rPr>
      </w:pPr>
      <w:r w:rsidRPr="00394A50">
        <w:rPr>
          <w:rFonts w:asciiTheme="minorHAnsi" w:hAnsiTheme="minorHAnsi" w:cstheme="minorHAnsi"/>
          <w:szCs w:val="24"/>
          <w:lang w:val="es-ES_tradnl"/>
        </w:rPr>
        <w:t>François</w:t>
      </w:r>
      <w:r w:rsidRPr="00394A50">
        <w:rPr>
          <w:szCs w:val="24"/>
          <w:lang w:val="es-ES_tradnl"/>
        </w:rPr>
        <w:t xml:space="preserve"> Rancy</w:t>
      </w:r>
      <w:r w:rsidRPr="00394A50">
        <w:rPr>
          <w:szCs w:val="24"/>
          <w:lang w:val="es-ES_tradnl"/>
        </w:rPr>
        <w:br/>
        <w:t>Director</w:t>
      </w:r>
    </w:p>
    <w:p w:rsidR="0095222B" w:rsidRPr="00394A50" w:rsidRDefault="0095222B" w:rsidP="00122793">
      <w:pPr>
        <w:tabs>
          <w:tab w:val="clear" w:pos="794"/>
          <w:tab w:val="clear" w:pos="1191"/>
          <w:tab w:val="clear" w:pos="1588"/>
          <w:tab w:val="clear" w:pos="1985"/>
          <w:tab w:val="left" w:pos="993"/>
        </w:tabs>
        <w:spacing w:before="1320"/>
        <w:ind w:left="567" w:hanging="567"/>
        <w:rPr>
          <w:szCs w:val="24"/>
          <w:lang w:val="es-ES_tradnl"/>
        </w:rPr>
      </w:pPr>
      <w:r w:rsidRPr="00394A50">
        <w:rPr>
          <w:b/>
          <w:bCs/>
          <w:szCs w:val="24"/>
          <w:lang w:val="es-ES_tradnl"/>
        </w:rPr>
        <w:t>Anexo</w:t>
      </w:r>
      <w:r w:rsidRPr="00394A50">
        <w:rPr>
          <w:szCs w:val="24"/>
          <w:lang w:val="es-ES_tradnl"/>
        </w:rPr>
        <w:t xml:space="preserve">: </w:t>
      </w:r>
      <w:r w:rsidRPr="00394A50">
        <w:rPr>
          <w:szCs w:val="24"/>
          <w:lang w:val="es-ES_tradnl"/>
        </w:rPr>
        <w:tab/>
        <w:t xml:space="preserve">Títulos y </w:t>
      </w:r>
      <w:r w:rsidR="00394A50" w:rsidRPr="00394A50">
        <w:rPr>
          <w:szCs w:val="24"/>
          <w:lang w:val="es-ES_tradnl"/>
        </w:rPr>
        <w:t>resúmenes</w:t>
      </w:r>
      <w:r w:rsidRPr="00394A50">
        <w:rPr>
          <w:szCs w:val="24"/>
          <w:lang w:val="es-ES_tradnl"/>
        </w:rPr>
        <w:t xml:space="preserve"> de los proyectos de Recomendación</w:t>
      </w:r>
    </w:p>
    <w:p w:rsidR="0095222B" w:rsidRPr="00394A50" w:rsidRDefault="0095222B" w:rsidP="00B02AAA">
      <w:pPr>
        <w:tabs>
          <w:tab w:val="clear" w:pos="794"/>
          <w:tab w:val="clear" w:pos="1191"/>
          <w:tab w:val="clear" w:pos="1588"/>
          <w:tab w:val="clear" w:pos="1985"/>
        </w:tabs>
        <w:spacing w:before="720"/>
        <w:ind w:left="1418" w:hanging="1418"/>
        <w:rPr>
          <w:szCs w:val="24"/>
          <w:lang w:val="es-ES_tradnl"/>
        </w:rPr>
      </w:pPr>
      <w:r w:rsidRPr="00394A50">
        <w:rPr>
          <w:b/>
          <w:bCs/>
          <w:szCs w:val="24"/>
          <w:lang w:val="es-ES_tradnl"/>
        </w:rPr>
        <w:t>Documentos</w:t>
      </w:r>
      <w:r w:rsidRPr="00394A50">
        <w:rPr>
          <w:szCs w:val="24"/>
          <w:lang w:val="es-ES_tradnl"/>
        </w:rPr>
        <w:t>:</w:t>
      </w:r>
      <w:r w:rsidRPr="00394A50">
        <w:rPr>
          <w:szCs w:val="24"/>
          <w:lang w:val="es-ES_tradnl"/>
        </w:rPr>
        <w:tab/>
        <w:t xml:space="preserve">Documentos </w:t>
      </w:r>
      <w:hyperlink r:id="rId10" w:history="1">
        <w:r w:rsidR="00B02AAA" w:rsidRPr="00B02AAA">
          <w:rPr>
            <w:rStyle w:val="Hyperlink"/>
            <w:lang w:val="es-ES_tradnl"/>
          </w:rPr>
          <w:t>6/411(Rev.1)</w:t>
        </w:r>
      </w:hyperlink>
      <w:r w:rsidR="00B02AAA" w:rsidRPr="00B02AAA">
        <w:rPr>
          <w:szCs w:val="24"/>
          <w:lang w:val="es-ES_tradnl"/>
        </w:rPr>
        <w:t xml:space="preserve">, </w:t>
      </w:r>
      <w:hyperlink r:id="rId11" w:history="1">
        <w:r w:rsidR="00B02AAA" w:rsidRPr="00B02AAA">
          <w:rPr>
            <w:rStyle w:val="Hyperlink"/>
            <w:lang w:val="es-ES_tradnl"/>
          </w:rPr>
          <w:t>6/412(Rev.2)</w:t>
        </w:r>
      </w:hyperlink>
      <w:r w:rsidR="00B02AAA" w:rsidRPr="00B02AAA">
        <w:rPr>
          <w:szCs w:val="24"/>
          <w:lang w:val="es-ES_tradnl"/>
        </w:rPr>
        <w:t xml:space="preserve">, </w:t>
      </w:r>
      <w:hyperlink r:id="rId12" w:history="1">
        <w:r w:rsidR="00B02AAA" w:rsidRPr="00B02AAA">
          <w:rPr>
            <w:rStyle w:val="Hyperlink"/>
            <w:lang w:val="es-ES_tradnl"/>
          </w:rPr>
          <w:t>6/413(Rev.1)</w:t>
        </w:r>
      </w:hyperlink>
      <w:r w:rsidR="00B02AAA" w:rsidRPr="00B02AAA">
        <w:rPr>
          <w:szCs w:val="24"/>
          <w:lang w:val="es-ES_tradnl"/>
        </w:rPr>
        <w:t xml:space="preserve">, </w:t>
      </w:r>
      <w:hyperlink r:id="rId13" w:history="1">
        <w:r w:rsidR="00B02AAA" w:rsidRPr="00B02AAA">
          <w:rPr>
            <w:rStyle w:val="Hyperlink"/>
            <w:lang w:val="es-ES_tradnl"/>
          </w:rPr>
          <w:t>6/415(Rev.1)</w:t>
        </w:r>
      </w:hyperlink>
      <w:r w:rsidR="00B02AAA" w:rsidRPr="00B02AAA">
        <w:rPr>
          <w:szCs w:val="24"/>
          <w:lang w:val="es-ES_tradnl"/>
        </w:rPr>
        <w:t xml:space="preserve">, </w:t>
      </w:r>
      <w:hyperlink r:id="rId14" w:history="1">
        <w:r w:rsidR="00B02AAA" w:rsidRPr="00B02AAA">
          <w:rPr>
            <w:rStyle w:val="Hyperlink"/>
            <w:lang w:val="es-ES_tradnl"/>
          </w:rPr>
          <w:t>6/417(Rev.2)</w:t>
        </w:r>
      </w:hyperlink>
      <w:r w:rsidR="00B02AAA" w:rsidRPr="00B02AAA">
        <w:rPr>
          <w:szCs w:val="24"/>
          <w:lang w:val="es-ES_tradnl"/>
        </w:rPr>
        <w:t xml:space="preserve">, </w:t>
      </w:r>
      <w:hyperlink r:id="rId15" w:history="1">
        <w:r w:rsidR="00B02AAA" w:rsidRPr="00B02AAA">
          <w:rPr>
            <w:rStyle w:val="Hyperlink"/>
            <w:lang w:val="es-ES_tradnl"/>
          </w:rPr>
          <w:t>6/421(Rev.1)</w:t>
        </w:r>
      </w:hyperlink>
      <w:r w:rsidR="00B02AAA" w:rsidRPr="00B02AAA">
        <w:rPr>
          <w:szCs w:val="24"/>
          <w:lang w:val="es-ES_tradnl"/>
        </w:rPr>
        <w:t xml:space="preserve">, </w:t>
      </w:r>
      <w:hyperlink r:id="rId16" w:history="1">
        <w:r w:rsidR="00B02AAA" w:rsidRPr="00B02AAA">
          <w:rPr>
            <w:rStyle w:val="Hyperlink"/>
            <w:lang w:val="es-ES_tradnl"/>
          </w:rPr>
          <w:t>6/423(Rev.1)</w:t>
        </w:r>
      </w:hyperlink>
      <w:r w:rsidR="00B02AAA" w:rsidRPr="00B02AAA">
        <w:rPr>
          <w:szCs w:val="24"/>
          <w:lang w:val="es-ES_tradnl"/>
        </w:rPr>
        <w:t xml:space="preserve">, </w:t>
      </w:r>
      <w:hyperlink r:id="rId17" w:history="1">
        <w:r w:rsidR="00B02AAA" w:rsidRPr="00B02AAA">
          <w:rPr>
            <w:rStyle w:val="Hyperlink"/>
            <w:lang w:val="es-ES_tradnl"/>
          </w:rPr>
          <w:t>6/427(Rev.1)</w:t>
        </w:r>
      </w:hyperlink>
      <w:r w:rsidR="00B02AAA" w:rsidRPr="00B02AAA">
        <w:rPr>
          <w:szCs w:val="24"/>
          <w:lang w:val="es-ES_tradnl"/>
        </w:rPr>
        <w:t xml:space="preserve">, </w:t>
      </w:r>
      <w:hyperlink r:id="rId18" w:history="1">
        <w:r w:rsidR="00B02AAA" w:rsidRPr="00B02AAA">
          <w:rPr>
            <w:rStyle w:val="Hyperlink"/>
            <w:lang w:val="es-ES_tradnl"/>
          </w:rPr>
          <w:t>6/436(Rev.1)</w:t>
        </w:r>
      </w:hyperlink>
      <w:r w:rsidR="00B02AAA" w:rsidRPr="00B02AAA">
        <w:rPr>
          <w:szCs w:val="24"/>
          <w:lang w:val="es-ES_tradnl"/>
        </w:rPr>
        <w:t xml:space="preserve">, </w:t>
      </w:r>
      <w:hyperlink r:id="rId19" w:history="1">
        <w:r w:rsidR="00B02AAA" w:rsidRPr="00B02AAA">
          <w:rPr>
            <w:rStyle w:val="Hyperlink"/>
            <w:lang w:val="es-ES_tradnl"/>
          </w:rPr>
          <w:t>6/439(Rev.1)</w:t>
        </w:r>
      </w:hyperlink>
      <w:r w:rsidR="00B02AAA" w:rsidRPr="00B02AAA">
        <w:rPr>
          <w:szCs w:val="24"/>
          <w:lang w:val="es-ES_tradnl"/>
        </w:rPr>
        <w:t xml:space="preserve">, </w:t>
      </w:r>
      <w:hyperlink r:id="rId20" w:history="1">
        <w:r w:rsidR="00B02AAA" w:rsidRPr="00B02AAA">
          <w:rPr>
            <w:rStyle w:val="Hyperlink"/>
            <w:lang w:val="es-ES_tradnl"/>
          </w:rPr>
          <w:t>6/443(Rev.1)</w:t>
        </w:r>
      </w:hyperlink>
      <w:r w:rsidR="00B02AAA" w:rsidRPr="00B02AAA">
        <w:rPr>
          <w:szCs w:val="24"/>
          <w:lang w:val="es-ES_tradnl"/>
        </w:rPr>
        <w:t xml:space="preserve">, </w:t>
      </w:r>
      <w:hyperlink r:id="rId21" w:history="1">
        <w:r w:rsidR="00B02AAA" w:rsidRPr="00B02AAA">
          <w:rPr>
            <w:rStyle w:val="Hyperlink"/>
            <w:lang w:val="es-ES_tradnl"/>
          </w:rPr>
          <w:t>6/450(Rev.1)</w:t>
        </w:r>
      </w:hyperlink>
      <w:r w:rsidR="00B02AAA" w:rsidRPr="00B02AAA">
        <w:rPr>
          <w:szCs w:val="24"/>
          <w:lang w:val="es-ES_tradnl"/>
        </w:rPr>
        <w:t xml:space="preserve">, </w:t>
      </w:r>
      <w:hyperlink r:id="rId22" w:history="1">
        <w:r w:rsidR="00B02AAA" w:rsidRPr="00B02AAA">
          <w:rPr>
            <w:rStyle w:val="Hyperlink"/>
            <w:lang w:val="es-ES_tradnl"/>
          </w:rPr>
          <w:t>6/454(Rev.1)</w:t>
        </w:r>
      </w:hyperlink>
      <w:r w:rsidR="00B02AAA" w:rsidRPr="00B02AAA">
        <w:rPr>
          <w:szCs w:val="24"/>
          <w:lang w:val="es-ES_tradnl"/>
        </w:rPr>
        <w:t xml:space="preserve">, </w:t>
      </w:r>
      <w:hyperlink r:id="rId23" w:history="1">
        <w:r w:rsidR="00B02AAA" w:rsidRPr="00B02AAA">
          <w:rPr>
            <w:rStyle w:val="Hyperlink"/>
            <w:lang w:val="es-ES_tradnl"/>
          </w:rPr>
          <w:t>6/455(Rev.1)</w:t>
        </w:r>
      </w:hyperlink>
      <w:r w:rsidR="00B02AAA" w:rsidRPr="00B02AAA">
        <w:rPr>
          <w:szCs w:val="24"/>
          <w:lang w:val="es-ES_tradnl"/>
        </w:rPr>
        <w:t xml:space="preserve">, </w:t>
      </w:r>
      <w:hyperlink r:id="rId24" w:history="1">
        <w:r w:rsidR="00B02AAA" w:rsidRPr="00B02AAA">
          <w:rPr>
            <w:rStyle w:val="Hyperlink"/>
            <w:lang w:val="es-ES_tradnl"/>
          </w:rPr>
          <w:t>6/456(Rev.2)</w:t>
        </w:r>
      </w:hyperlink>
      <w:r w:rsidR="00B02AAA" w:rsidRPr="00B02AAA">
        <w:rPr>
          <w:szCs w:val="24"/>
          <w:lang w:val="es-ES_tradnl"/>
        </w:rPr>
        <w:t xml:space="preserve">, </w:t>
      </w:r>
      <w:hyperlink r:id="rId25" w:history="1">
        <w:r w:rsidR="00B02AAA" w:rsidRPr="00B02AAA">
          <w:rPr>
            <w:rStyle w:val="Hyperlink"/>
            <w:lang w:val="es-ES_tradnl"/>
          </w:rPr>
          <w:t>6/457(Rev.1),</w:t>
        </w:r>
      </w:hyperlink>
      <w:r w:rsidR="00B02AAA" w:rsidRPr="00B02AAA">
        <w:rPr>
          <w:szCs w:val="24"/>
          <w:lang w:val="es-ES_tradnl"/>
        </w:rPr>
        <w:t xml:space="preserve"> </w:t>
      </w:r>
      <w:hyperlink r:id="rId26" w:history="1">
        <w:r w:rsidR="00B02AAA" w:rsidRPr="00B02AAA">
          <w:rPr>
            <w:rStyle w:val="Hyperlink"/>
            <w:lang w:val="es-ES_tradnl"/>
          </w:rPr>
          <w:t>6/458(Rev.1)</w:t>
        </w:r>
      </w:hyperlink>
    </w:p>
    <w:p w:rsidR="0095222B" w:rsidRPr="00394A50" w:rsidRDefault="0095222B" w:rsidP="00634652">
      <w:pPr>
        <w:jc w:val="left"/>
        <w:rPr>
          <w:szCs w:val="24"/>
          <w:lang w:val="es-ES_tradnl"/>
        </w:rPr>
      </w:pPr>
      <w:r w:rsidRPr="00394A50">
        <w:rPr>
          <w:szCs w:val="24"/>
          <w:lang w:val="es-ES_tradnl"/>
        </w:rPr>
        <w:t xml:space="preserve">Esta documentación está disponible en versión electrónica en la dirección: </w:t>
      </w:r>
      <w:hyperlink r:id="rId27" w:history="1">
        <w:r w:rsidR="00634652" w:rsidRPr="00634652">
          <w:rPr>
            <w:rStyle w:val="Hyperlink"/>
            <w:lang w:val="es-ES_tradnl"/>
          </w:rPr>
          <w:t>http://www.itu.int/md/R12-sg06-c/</w:t>
        </w:r>
      </w:hyperlink>
    </w:p>
    <w:p w:rsidR="0095222B" w:rsidRPr="00394A50" w:rsidRDefault="0095222B" w:rsidP="003605D4">
      <w:pPr>
        <w:tabs>
          <w:tab w:val="left" w:pos="284"/>
          <w:tab w:val="left" w:pos="568"/>
        </w:tabs>
        <w:spacing w:before="4560" w:after="60"/>
        <w:rPr>
          <w:b/>
          <w:bCs/>
          <w:sz w:val="18"/>
          <w:szCs w:val="18"/>
          <w:lang w:val="es-ES_tradnl"/>
        </w:rPr>
      </w:pPr>
      <w:r w:rsidRPr="00394A50">
        <w:rPr>
          <w:b/>
          <w:bCs/>
          <w:sz w:val="18"/>
          <w:szCs w:val="18"/>
          <w:lang w:val="es-ES_tradnl"/>
        </w:rPr>
        <w:t>Distribución:</w:t>
      </w:r>
    </w:p>
    <w:p w:rsidR="0095222B" w:rsidRPr="00394A50" w:rsidRDefault="0095222B" w:rsidP="00634652">
      <w:pPr>
        <w:tabs>
          <w:tab w:val="left" w:pos="567"/>
          <w:tab w:val="left" w:pos="6237"/>
        </w:tabs>
        <w:spacing w:before="0" w:line="240" w:lineRule="auto"/>
        <w:ind w:left="567" w:hanging="567"/>
        <w:jc w:val="left"/>
        <w:rPr>
          <w:sz w:val="18"/>
          <w:szCs w:val="18"/>
          <w:lang w:val="es-ES_tradnl"/>
        </w:rPr>
      </w:pPr>
      <w:r w:rsidRPr="00394A50">
        <w:rPr>
          <w:sz w:val="18"/>
          <w:szCs w:val="18"/>
          <w:lang w:val="es-ES_tradnl"/>
        </w:rPr>
        <w:t>–</w:t>
      </w:r>
      <w:r w:rsidRPr="00394A50">
        <w:rPr>
          <w:sz w:val="18"/>
          <w:szCs w:val="18"/>
          <w:lang w:val="es-ES_tradnl"/>
        </w:rPr>
        <w:tab/>
        <w:t xml:space="preserve">Administraciones de los Estados Miembros de la UIT y Miembros del Sector de Radiocomunicaciones </w:t>
      </w:r>
      <w:r w:rsidR="003605D4" w:rsidRPr="00394A50">
        <w:rPr>
          <w:sz w:val="18"/>
          <w:szCs w:val="18"/>
          <w:lang w:val="es-ES_tradnl"/>
        </w:rPr>
        <w:br/>
      </w:r>
      <w:r w:rsidRPr="00394A50">
        <w:rPr>
          <w:sz w:val="18"/>
          <w:szCs w:val="18"/>
          <w:lang w:val="es-ES_tradnl"/>
        </w:rPr>
        <w:t xml:space="preserve">que participan en los trabajos de la Comisión de Estudio </w:t>
      </w:r>
      <w:r w:rsidR="00634652">
        <w:rPr>
          <w:sz w:val="18"/>
          <w:szCs w:val="18"/>
          <w:lang w:val="es-ES_tradnl"/>
        </w:rPr>
        <w:t>6</w:t>
      </w:r>
      <w:r w:rsidRPr="00394A50">
        <w:rPr>
          <w:sz w:val="18"/>
          <w:szCs w:val="18"/>
          <w:lang w:val="es-ES_tradnl"/>
        </w:rPr>
        <w:t xml:space="preserve"> de Radiocomunicaciones </w:t>
      </w:r>
    </w:p>
    <w:p w:rsidR="0095222B" w:rsidRPr="00394A50" w:rsidRDefault="0095222B" w:rsidP="00634652">
      <w:pPr>
        <w:tabs>
          <w:tab w:val="left" w:pos="567"/>
          <w:tab w:val="left" w:pos="6237"/>
        </w:tabs>
        <w:spacing w:before="0" w:line="240" w:lineRule="auto"/>
        <w:jc w:val="left"/>
        <w:rPr>
          <w:sz w:val="18"/>
          <w:szCs w:val="18"/>
          <w:lang w:val="es-ES_tradnl"/>
        </w:rPr>
      </w:pPr>
      <w:r w:rsidRPr="00394A50">
        <w:rPr>
          <w:sz w:val="18"/>
          <w:szCs w:val="18"/>
          <w:lang w:val="es-ES_tradnl"/>
        </w:rPr>
        <w:t>–</w:t>
      </w:r>
      <w:r w:rsidRPr="00394A50">
        <w:rPr>
          <w:sz w:val="18"/>
          <w:szCs w:val="18"/>
          <w:lang w:val="es-ES_tradnl"/>
        </w:rPr>
        <w:tab/>
        <w:t xml:space="preserve">Asociados del UIT-R que participan en los trabajos de la Comisión de Estudio </w:t>
      </w:r>
      <w:r w:rsidR="00634652">
        <w:rPr>
          <w:sz w:val="18"/>
          <w:szCs w:val="18"/>
          <w:lang w:val="es-ES_tradnl"/>
        </w:rPr>
        <w:t>6</w:t>
      </w:r>
      <w:r w:rsidRPr="00394A50">
        <w:rPr>
          <w:sz w:val="18"/>
          <w:szCs w:val="18"/>
          <w:lang w:val="es-ES_tradnl"/>
        </w:rPr>
        <w:t xml:space="preserve"> de Radiocomunicaciones </w:t>
      </w:r>
    </w:p>
    <w:p w:rsidR="0095222B" w:rsidRPr="00394A50" w:rsidRDefault="0095222B" w:rsidP="00CE6299">
      <w:pPr>
        <w:tabs>
          <w:tab w:val="left" w:pos="567"/>
          <w:tab w:val="left" w:pos="6237"/>
        </w:tabs>
        <w:spacing w:before="0" w:line="240" w:lineRule="auto"/>
        <w:ind w:left="567" w:hanging="567"/>
        <w:jc w:val="left"/>
        <w:rPr>
          <w:sz w:val="18"/>
          <w:szCs w:val="18"/>
          <w:lang w:val="es-ES_tradnl"/>
        </w:rPr>
      </w:pPr>
      <w:r w:rsidRPr="00394A50">
        <w:rPr>
          <w:sz w:val="18"/>
          <w:szCs w:val="18"/>
          <w:lang w:val="es-ES_tradnl"/>
        </w:rPr>
        <w:t>–</w:t>
      </w:r>
      <w:r w:rsidRPr="00394A50">
        <w:rPr>
          <w:sz w:val="18"/>
          <w:szCs w:val="18"/>
          <w:lang w:val="es-ES_tradnl"/>
        </w:rPr>
        <w:tab/>
        <w:t xml:space="preserve">Presidentes y Vicepresidentes de las Comisiones de Estudio de Radiocomunicaciones y Comisión Especial </w:t>
      </w:r>
      <w:r w:rsidR="003605D4" w:rsidRPr="00394A50">
        <w:rPr>
          <w:sz w:val="18"/>
          <w:szCs w:val="18"/>
          <w:lang w:val="es-ES_tradnl"/>
        </w:rPr>
        <w:br/>
      </w:r>
      <w:r w:rsidRPr="00394A50">
        <w:rPr>
          <w:sz w:val="18"/>
          <w:szCs w:val="18"/>
          <w:lang w:val="es-ES_tradnl"/>
        </w:rPr>
        <w:t xml:space="preserve">para Asuntos Reglamentarios y de Procedimiento </w:t>
      </w:r>
    </w:p>
    <w:p w:rsidR="0095222B" w:rsidRPr="00394A50" w:rsidRDefault="0095222B" w:rsidP="00CE6299">
      <w:pPr>
        <w:tabs>
          <w:tab w:val="left" w:pos="567"/>
          <w:tab w:val="left" w:pos="6237"/>
        </w:tabs>
        <w:spacing w:before="0" w:line="240" w:lineRule="auto"/>
        <w:jc w:val="left"/>
        <w:rPr>
          <w:sz w:val="18"/>
          <w:szCs w:val="18"/>
          <w:lang w:val="es-ES_tradnl"/>
        </w:rPr>
      </w:pPr>
      <w:r w:rsidRPr="00394A50">
        <w:rPr>
          <w:sz w:val="18"/>
          <w:szCs w:val="18"/>
          <w:lang w:val="es-ES_tradnl"/>
        </w:rPr>
        <w:t>–</w:t>
      </w:r>
      <w:r w:rsidRPr="00394A50">
        <w:rPr>
          <w:sz w:val="18"/>
          <w:szCs w:val="18"/>
          <w:lang w:val="es-ES_tradnl"/>
        </w:rPr>
        <w:tab/>
        <w:t xml:space="preserve">Presidente y Vicepresidentes de la Reunión Preparatoria de la Conferencia </w:t>
      </w:r>
    </w:p>
    <w:p w:rsidR="0095222B" w:rsidRPr="00394A50" w:rsidRDefault="0095222B" w:rsidP="00CE6299">
      <w:pPr>
        <w:tabs>
          <w:tab w:val="left" w:pos="567"/>
          <w:tab w:val="left" w:pos="6237"/>
        </w:tabs>
        <w:spacing w:before="0" w:line="240" w:lineRule="auto"/>
        <w:jc w:val="left"/>
        <w:rPr>
          <w:sz w:val="18"/>
          <w:szCs w:val="18"/>
          <w:lang w:val="es-ES_tradnl"/>
        </w:rPr>
      </w:pPr>
      <w:r w:rsidRPr="00394A50">
        <w:rPr>
          <w:sz w:val="18"/>
          <w:szCs w:val="18"/>
          <w:lang w:val="es-ES_tradnl"/>
        </w:rPr>
        <w:t>–</w:t>
      </w:r>
      <w:r w:rsidRPr="00394A50">
        <w:rPr>
          <w:sz w:val="18"/>
          <w:szCs w:val="18"/>
          <w:lang w:val="es-ES_tradnl"/>
        </w:rPr>
        <w:tab/>
        <w:t xml:space="preserve">Miembros de la Junta del Reglamento de Radiocomunicaciones </w:t>
      </w:r>
    </w:p>
    <w:p w:rsidR="0095222B" w:rsidRPr="00394A50" w:rsidRDefault="0095222B" w:rsidP="00B02AAA">
      <w:pPr>
        <w:tabs>
          <w:tab w:val="left" w:pos="567"/>
          <w:tab w:val="left" w:pos="6237"/>
        </w:tabs>
        <w:overflowPunct/>
        <w:autoSpaceDE/>
        <w:autoSpaceDN/>
        <w:adjustRightInd/>
        <w:spacing w:before="0" w:line="240" w:lineRule="auto"/>
        <w:ind w:left="567" w:hanging="567"/>
        <w:jc w:val="left"/>
        <w:textAlignment w:val="auto"/>
        <w:rPr>
          <w:b/>
          <w:lang w:val="es-ES_tradnl"/>
        </w:rPr>
      </w:pPr>
      <w:r w:rsidRPr="00394A50">
        <w:rPr>
          <w:sz w:val="18"/>
          <w:szCs w:val="18"/>
          <w:lang w:val="es-ES_tradnl"/>
        </w:rPr>
        <w:t>–</w:t>
      </w:r>
      <w:r w:rsidRPr="00394A50">
        <w:rPr>
          <w:sz w:val="18"/>
          <w:szCs w:val="18"/>
          <w:lang w:val="es-ES_tradnl"/>
        </w:rPr>
        <w:tab/>
        <w:t xml:space="preserve">Secretario General de la UIT, Director de la Oficina de Normalización de las Telecomunicaciones, </w:t>
      </w:r>
      <w:r w:rsidR="003605D4" w:rsidRPr="00394A50">
        <w:rPr>
          <w:sz w:val="18"/>
          <w:szCs w:val="18"/>
          <w:lang w:val="es-ES_tradnl"/>
        </w:rPr>
        <w:br/>
      </w:r>
      <w:r w:rsidRPr="00394A50">
        <w:rPr>
          <w:sz w:val="18"/>
          <w:szCs w:val="18"/>
          <w:lang w:val="es-ES_tradnl"/>
        </w:rPr>
        <w:t xml:space="preserve">Director de la Oficina de Desarrollo de Telecomunicaciones </w:t>
      </w:r>
      <w:r w:rsidRPr="00394A50">
        <w:rPr>
          <w:lang w:val="es-ES_tradnl"/>
        </w:rPr>
        <w:br w:type="page"/>
      </w:r>
    </w:p>
    <w:p w:rsidR="00394A50" w:rsidRPr="00DE1AAD" w:rsidRDefault="00394A50" w:rsidP="00394A50">
      <w:pPr>
        <w:pStyle w:val="AnnexNotitle0"/>
        <w:rPr>
          <w:rFonts w:asciiTheme="minorHAnsi" w:hAnsiTheme="minorHAnsi" w:cstheme="minorHAnsi"/>
          <w:szCs w:val="28"/>
          <w:lang w:val="es-ES_tradnl"/>
        </w:rPr>
      </w:pPr>
      <w:r w:rsidRPr="00DE1AAD">
        <w:rPr>
          <w:rFonts w:asciiTheme="minorHAnsi" w:hAnsiTheme="minorHAnsi" w:cstheme="minorHAnsi"/>
          <w:szCs w:val="28"/>
          <w:lang w:val="es-ES_tradnl"/>
        </w:rPr>
        <w:lastRenderedPageBreak/>
        <w:t>Anexo</w:t>
      </w:r>
      <w:r w:rsidRPr="00DE1AAD">
        <w:rPr>
          <w:rFonts w:asciiTheme="minorHAnsi" w:hAnsiTheme="minorHAnsi" w:cstheme="minorHAnsi"/>
          <w:szCs w:val="28"/>
          <w:lang w:val="es-ES_tradnl"/>
        </w:rPr>
        <w:br/>
      </w:r>
      <w:r w:rsidRPr="00DE1AAD">
        <w:rPr>
          <w:rFonts w:asciiTheme="minorHAnsi" w:hAnsiTheme="minorHAnsi" w:cstheme="minorHAnsi"/>
          <w:szCs w:val="28"/>
          <w:lang w:val="es-ES_tradnl"/>
        </w:rPr>
        <w:br/>
        <w:t>Títulos y resúmenes de los proyectos de Recomendación</w:t>
      </w:r>
    </w:p>
    <w:p w:rsidR="00D15F2F" w:rsidRPr="007B5C6A" w:rsidRDefault="00D15F2F" w:rsidP="00D15F2F">
      <w:pPr>
        <w:rPr>
          <w:rFonts w:asciiTheme="minorHAnsi" w:hAnsiTheme="minorHAnsi" w:cstheme="minorHAnsi"/>
          <w:szCs w:val="24"/>
          <w:lang w:val="es-ES_tradnl"/>
        </w:rPr>
      </w:pP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nueva Recomendación UIT-R BT.[709TO2020]</w:t>
      </w:r>
      <w:r w:rsidRPr="007B5C6A">
        <w:rPr>
          <w:rFonts w:asciiTheme="minorHAnsi" w:hAnsiTheme="minorHAnsi" w:cstheme="minorHAnsi"/>
          <w:szCs w:val="24"/>
          <w:lang w:val="es-ES_tradnl"/>
        </w:rPr>
        <w:tab/>
        <w:t>Doc. 6/413(Rev.1)</w:t>
      </w:r>
    </w:p>
    <w:p w:rsidR="00D15F2F" w:rsidRPr="007B5C6A" w:rsidRDefault="00D15F2F" w:rsidP="00D15F2F">
      <w:pPr>
        <w:pStyle w:val="Rectitle"/>
        <w:rPr>
          <w:rStyle w:val="RectitleChar"/>
          <w:rFonts w:eastAsia="MS Mincho"/>
          <w:b/>
          <w:lang w:val="es-ES_tradnl"/>
        </w:rPr>
      </w:pPr>
      <w:r w:rsidRPr="007B5C6A">
        <w:rPr>
          <w:lang w:val="es-ES_tradnl"/>
        </w:rPr>
        <w:t xml:space="preserve">Conversión de color de la Recomendación UIT-R BT.709 </w:t>
      </w:r>
      <w:r w:rsidRPr="007B5C6A">
        <w:rPr>
          <w:lang w:val="es-ES_tradnl"/>
        </w:rPr>
        <w:br/>
        <w:t>a la Recomendación UIT-R BT.2020</w:t>
      </w:r>
    </w:p>
    <w:p w:rsidR="00D15F2F" w:rsidRPr="007B5C6A" w:rsidRDefault="00D15F2F" w:rsidP="00D15F2F">
      <w:pPr>
        <w:rPr>
          <w:szCs w:val="24"/>
          <w:lang w:val="es-ES_tradnl"/>
        </w:rPr>
      </w:pPr>
      <w:r w:rsidRPr="007B5C6A">
        <w:rPr>
          <w:szCs w:val="24"/>
          <w:lang w:val="es-ES_tradnl"/>
        </w:rPr>
        <w:t xml:space="preserve">Para convertir con gran calidad color de la Recomendación UIT-R </w:t>
      </w:r>
      <w:hyperlink r:id="rId28" w:history="1">
        <w:r w:rsidRPr="007B5C6A">
          <w:rPr>
            <w:rStyle w:val="Hyperlink"/>
            <w:lang w:val="es-ES_tradnl"/>
          </w:rPr>
          <w:t>BT.709</w:t>
        </w:r>
      </w:hyperlink>
      <w:r w:rsidRPr="007B5C6A">
        <w:rPr>
          <w:szCs w:val="24"/>
          <w:lang w:val="es-ES_tradnl"/>
        </w:rPr>
        <w:t xml:space="preserve"> </w:t>
      </w:r>
      <w:r>
        <w:rPr>
          <w:szCs w:val="24"/>
          <w:lang w:val="es-ES_tradnl"/>
        </w:rPr>
        <w:t>a color de la Recomendación UIT-</w:t>
      </w:r>
      <w:r w:rsidRPr="007B5C6A">
        <w:rPr>
          <w:szCs w:val="24"/>
          <w:lang w:val="es-ES_tradnl"/>
        </w:rPr>
        <w:t xml:space="preserve"> R </w:t>
      </w:r>
      <w:hyperlink r:id="rId29" w:history="1">
        <w:r w:rsidRPr="007B5C6A">
          <w:rPr>
            <w:rStyle w:val="Hyperlink"/>
            <w:lang w:val="es-ES_tradnl"/>
          </w:rPr>
          <w:t>BT.2020</w:t>
        </w:r>
      </w:hyperlink>
      <w:r w:rsidRPr="007B5C6A">
        <w:rPr>
          <w:szCs w:val="24"/>
          <w:lang w:val="es-ES_tradnl"/>
        </w:rPr>
        <w:t xml:space="preserve"> es necesario que los colores del contenido de programa de la Recomendación UIT-R BT.709 permanezcan invariables. Además, para garantizar la coherencia, el método de correspondencia utilizado debe definirse matemáticamente.</w:t>
      </w:r>
    </w:p>
    <w:p w:rsidR="00D15F2F" w:rsidRPr="007B5C6A" w:rsidRDefault="00D15F2F" w:rsidP="00D15F2F">
      <w:pPr>
        <w:rPr>
          <w:szCs w:val="24"/>
          <w:lang w:val="es-ES_tradnl"/>
        </w:rPr>
      </w:pPr>
      <w:r w:rsidRPr="007B5C6A">
        <w:rPr>
          <w:szCs w:val="24"/>
          <w:lang w:val="es-ES_tradnl"/>
        </w:rPr>
        <w:t xml:space="preserve">El proyecto de nueva Recomendación UIT-R BT.[709to2020] cumple estos requisitos y describe un método de conversión de color de la Recomendación UIT-R </w:t>
      </w:r>
      <w:r>
        <w:rPr>
          <w:szCs w:val="24"/>
          <w:lang w:val="es-ES_tradnl"/>
        </w:rPr>
        <w:t>BT.709 a la Recomendación UIT</w:t>
      </w:r>
      <w:r>
        <w:rPr>
          <w:szCs w:val="24"/>
          <w:lang w:val="es-ES_tradnl"/>
        </w:rPr>
        <w:noBreakHyphen/>
        <w:t>R </w:t>
      </w:r>
      <w:r w:rsidRPr="007B5C6A">
        <w:rPr>
          <w:szCs w:val="24"/>
          <w:lang w:val="es-ES_tradnl"/>
        </w:rPr>
        <w:t>BT.2020 que se puede utilizar cuando el contenido de programas de TVAD se incluye en programas de TVUAD. Se describen también la conversión entre el formato de señal de luminancia no constante al formado de señal de luminancia constante para la TVUAD.</w:t>
      </w:r>
    </w:p>
    <w:p w:rsidR="00D15F2F" w:rsidRPr="007B5C6A" w:rsidRDefault="00D15F2F" w:rsidP="00D15F2F">
      <w:pPr>
        <w:rPr>
          <w:szCs w:val="24"/>
          <w:lang w:val="es-ES_tradnl" w:eastAsia="ja-JP"/>
        </w:rPr>
      </w:pPr>
      <w:r w:rsidRPr="007B5C6A">
        <w:rPr>
          <w:szCs w:val="24"/>
          <w:lang w:val="es-ES_tradnl" w:eastAsia="ja-JP"/>
        </w:rPr>
        <w:t>Se especifican dos conjuntos de ecuaciones de conversión.</w:t>
      </w:r>
      <w:r w:rsidRPr="007B5C6A" w:rsidDel="00781BAA">
        <w:rPr>
          <w:szCs w:val="24"/>
          <w:lang w:val="es-ES_tradnl" w:eastAsia="ja-JP"/>
        </w:rPr>
        <w:t xml:space="preserve"> </w:t>
      </w:r>
      <w:r w:rsidRPr="007B5C6A">
        <w:rPr>
          <w:szCs w:val="24"/>
          <w:lang w:val="es-ES_tradnl" w:eastAsia="ja-JP"/>
        </w:rPr>
        <w:t>Uno se basa en la función de transferencia optoelectrónica (OETF) y su función inversa. El otro se basa en la función de transferencia electroóptica (EOTF) y su función inversa.</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nueva Recomendación UIT-R BS.[BW64]</w:t>
      </w:r>
      <w:r w:rsidRPr="007B5C6A">
        <w:rPr>
          <w:rFonts w:asciiTheme="minorHAnsi" w:hAnsiTheme="minorHAnsi" w:cstheme="minorHAnsi"/>
          <w:szCs w:val="24"/>
          <w:lang w:val="es-ES_tradnl"/>
        </w:rPr>
        <w:tab/>
        <w:t>Doc. 6/450(Rev.1)</w:t>
      </w:r>
    </w:p>
    <w:p w:rsidR="00D15F2F" w:rsidRPr="007B5C6A" w:rsidRDefault="00D15F2F" w:rsidP="00D15F2F">
      <w:pPr>
        <w:pStyle w:val="Rectitle"/>
        <w:rPr>
          <w:rFonts w:asciiTheme="minorHAnsi" w:hAnsiTheme="minorHAnsi" w:cstheme="minorHAnsi"/>
          <w:bCs/>
          <w:sz w:val="24"/>
          <w:szCs w:val="24"/>
          <w:lang w:val="es-ES_tradnl"/>
        </w:rPr>
      </w:pPr>
      <w:r w:rsidRPr="007B5C6A">
        <w:rPr>
          <w:lang w:val="es-ES_tradnl"/>
        </w:rPr>
        <w:t>Formato de fichero largo para el intercambio internacional de material de programas de audio con metadatos</w:t>
      </w:r>
    </w:p>
    <w:p w:rsidR="00D15F2F" w:rsidRPr="007B5C6A" w:rsidRDefault="00D15F2F" w:rsidP="00D15F2F">
      <w:pPr>
        <w:rPr>
          <w:rFonts w:eastAsia="SimSun"/>
          <w:szCs w:val="24"/>
          <w:lang w:val="es-ES_tradnl" w:eastAsia="zh-CN"/>
        </w:rPr>
      </w:pPr>
      <w:r w:rsidRPr="007B5C6A">
        <w:rPr>
          <w:rFonts w:eastAsia="SimSun"/>
          <w:szCs w:val="24"/>
          <w:lang w:val="es-ES_tradnl" w:eastAsia="zh-CN"/>
        </w:rPr>
        <w:t>En esta Recomendación se especifica el formato de fichero d</w:t>
      </w:r>
      <w:r>
        <w:rPr>
          <w:rFonts w:eastAsia="SimSun"/>
          <w:szCs w:val="24"/>
          <w:lang w:val="es-ES_tradnl" w:eastAsia="zh-CN"/>
        </w:rPr>
        <w:t>e audio BW64 (Broadcast Wave 64 </w:t>
      </w:r>
      <w:r w:rsidRPr="007B5C6A">
        <w:rPr>
          <w:rFonts w:eastAsia="SimSun"/>
          <w:szCs w:val="24"/>
          <w:lang w:val="es-ES_tradnl" w:eastAsia="zh-CN"/>
        </w:rPr>
        <w:t>Bit), en particular los nuevos segmentos &lt;ds64&gt;, &lt;axml&gt; y &lt;chna&gt; que permiten transportar ficheros multicanal grandes y metadatos, comprendido el modelo de definición de audio especificado en la Recomendación UIT-R BS.2076.</w:t>
      </w:r>
    </w:p>
    <w:p w:rsidR="00D15F2F" w:rsidRPr="007B5C6A" w:rsidRDefault="00D15F2F" w:rsidP="00D15F2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sidRPr="007B5C6A">
        <w:rPr>
          <w:rFonts w:asciiTheme="minorHAnsi" w:hAnsiTheme="minorHAnsi" w:cstheme="minorHAnsi"/>
          <w:szCs w:val="24"/>
          <w:u w:val="single"/>
          <w:lang w:val="es-ES_tradnl"/>
        </w:rPr>
        <w:br w:type="page"/>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lastRenderedPageBreak/>
        <w:t>Proyecto de revisión de la Recomendación UIT-R BT.2020-1</w:t>
      </w:r>
      <w:r w:rsidRPr="007B5C6A">
        <w:rPr>
          <w:rFonts w:asciiTheme="minorHAnsi" w:hAnsiTheme="minorHAnsi" w:cstheme="minorHAnsi"/>
          <w:szCs w:val="24"/>
          <w:lang w:val="es-ES_tradnl"/>
        </w:rPr>
        <w:tab/>
        <w:t>Doc. 6/411(Rev.1)</w:t>
      </w:r>
    </w:p>
    <w:p w:rsidR="00D15F2F" w:rsidRPr="007B5C6A" w:rsidRDefault="00D15F2F" w:rsidP="00D15F2F">
      <w:pPr>
        <w:pStyle w:val="Rectitle"/>
        <w:rPr>
          <w:lang w:val="es-ES_tradnl" w:eastAsia="zh-CN"/>
        </w:rPr>
      </w:pPr>
      <w:r w:rsidRPr="007B5C6A">
        <w:rPr>
          <w:lang w:val="es-ES_tradnl" w:eastAsia="zh-CN"/>
        </w:rPr>
        <w:t xml:space="preserve">Valores de los parámetros de los sistemas de TVUAD para la producción </w:t>
      </w:r>
      <w:r>
        <w:rPr>
          <w:lang w:val="es-ES_tradnl" w:eastAsia="zh-CN"/>
        </w:rPr>
        <w:br/>
      </w:r>
      <w:r w:rsidRPr="007B5C6A">
        <w:rPr>
          <w:lang w:val="es-ES_tradnl" w:eastAsia="zh-CN"/>
        </w:rPr>
        <w:t>y el intercambio internacional de programas</w:t>
      </w:r>
    </w:p>
    <w:p w:rsidR="00D15F2F" w:rsidRPr="007B5C6A" w:rsidRDefault="00D15F2F" w:rsidP="00D15F2F">
      <w:pPr>
        <w:rPr>
          <w:szCs w:val="24"/>
          <w:u w:val="single"/>
          <w:lang w:val="es-ES_tradnl" w:eastAsia="ja-JP"/>
        </w:rPr>
      </w:pPr>
      <w:r w:rsidRPr="007B5C6A">
        <w:rPr>
          <w:szCs w:val="24"/>
          <w:lang w:val="es-ES_tradnl" w:eastAsia="ja-JP"/>
        </w:rPr>
        <w:t xml:space="preserve">En esta revisión se añaden los valores de 100 Hz y 120/1.001 Hz al cuadro de velocidad de cuadros </w:t>
      </w:r>
      <w:r>
        <w:rPr>
          <w:szCs w:val="24"/>
          <w:lang w:val="es-ES_tradnl" w:eastAsia="ja-JP"/>
        </w:rPr>
        <w:t>(Cuadro 2) con referencia a la s</w:t>
      </w:r>
      <w:r w:rsidRPr="007B5C6A">
        <w:rPr>
          <w:szCs w:val="24"/>
          <w:lang w:val="es-ES_tradnl" w:eastAsia="ja-JP"/>
        </w:rPr>
        <w:t xml:space="preserve">ección 3.2.4.4 actualizada del Informe UIT-R </w:t>
      </w:r>
      <w:hyperlink r:id="rId30" w:history="1">
        <w:r w:rsidRPr="007B5C6A">
          <w:rPr>
            <w:rStyle w:val="Hyperlink"/>
            <w:lang w:val="es-ES_tradnl" w:eastAsia="ja-JP"/>
          </w:rPr>
          <w:t>BT.2246</w:t>
        </w:r>
      </w:hyperlink>
      <w:r w:rsidRPr="007B5C6A">
        <w:rPr>
          <w:szCs w:val="24"/>
          <w:u w:val="single"/>
          <w:lang w:val="es-ES_tradnl" w:eastAsia="ja-JP"/>
        </w:rPr>
        <w:t>.</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BT.1848-0</w:t>
      </w:r>
      <w:r w:rsidRPr="007B5C6A">
        <w:rPr>
          <w:rFonts w:asciiTheme="minorHAnsi" w:hAnsiTheme="minorHAnsi" w:cstheme="minorHAnsi"/>
          <w:szCs w:val="24"/>
          <w:lang w:val="es-ES_tradnl"/>
        </w:rPr>
        <w:tab/>
        <w:t>Doc. 6/412(Rev.2)</w:t>
      </w:r>
    </w:p>
    <w:p w:rsidR="00D15F2F" w:rsidRPr="007B5C6A" w:rsidRDefault="00D15F2F" w:rsidP="00D15F2F">
      <w:pPr>
        <w:pStyle w:val="Rectitle"/>
        <w:rPr>
          <w:rFonts w:eastAsia="MS Gothic"/>
          <w:lang w:val="es-ES_tradnl" w:eastAsia="ja-JP"/>
        </w:rPr>
      </w:pPr>
      <w:r w:rsidRPr="007B5C6A">
        <w:rPr>
          <w:color w:val="000000"/>
          <w:lang w:val="es-ES_tradnl"/>
        </w:rPr>
        <w:t xml:space="preserve">Zonas seguras en las producciones digitales con formato </w:t>
      </w:r>
      <w:r>
        <w:rPr>
          <w:color w:val="000000"/>
          <w:lang w:val="es-ES_tradnl"/>
        </w:rPr>
        <w:br/>
      </w:r>
      <w:r w:rsidRPr="007B5C6A">
        <w:rPr>
          <w:color w:val="000000"/>
          <w:lang w:val="es-ES_tradnl"/>
        </w:rPr>
        <w:t>de imagen 16:9 de pantalla ancha</w:t>
      </w:r>
    </w:p>
    <w:p w:rsidR="00D15F2F" w:rsidRPr="007B5C6A" w:rsidRDefault="00D15F2F" w:rsidP="00D15F2F">
      <w:pPr>
        <w:rPr>
          <w:b/>
          <w:szCs w:val="24"/>
          <w:lang w:val="es-ES_tradnl" w:eastAsia="zh-CN"/>
        </w:rPr>
      </w:pPr>
      <w:r w:rsidRPr="007B5C6A">
        <w:rPr>
          <w:szCs w:val="24"/>
          <w:lang w:val="es-ES_tradnl"/>
        </w:rPr>
        <w:t>En esta revisión se añaden márgenes seguros de acción de producción y márgenes seguros de gráficos para sistemas de 3 840 × 2 160 y 7 680 × 4 320 de la Recomendación UIT-R BT.2020 Valores de los parámetros para sistemas de televisión de ultraalta definición para la producción y el intercambio internacional de programas</w:t>
      </w:r>
      <w:r w:rsidRPr="007B5C6A">
        <w:rPr>
          <w:szCs w:val="24"/>
          <w:lang w:val="es-ES_tradnl" w:eastAsia="zh-CN"/>
        </w:rPr>
        <w:t>.</w:t>
      </w:r>
    </w:p>
    <w:p w:rsidR="00D15F2F" w:rsidRPr="007B5C6A" w:rsidRDefault="00D15F2F" w:rsidP="00D15F2F">
      <w:pPr>
        <w:rPr>
          <w:szCs w:val="24"/>
          <w:lang w:val="es-ES_tradnl" w:eastAsia="zh-CN"/>
        </w:rPr>
      </w:pPr>
      <w:r w:rsidRPr="007B5C6A">
        <w:rPr>
          <w:szCs w:val="24"/>
          <w:lang w:val="es-ES_tradnl"/>
        </w:rPr>
        <w:t>Asimismo</w:t>
      </w:r>
      <w:r w:rsidRPr="007B5C6A">
        <w:rPr>
          <w:szCs w:val="24"/>
          <w:lang w:val="es-ES_tradnl" w:eastAsia="zh-CN"/>
        </w:rPr>
        <w:t>, como consecuencia de la supresión en febrero de</w:t>
      </w:r>
      <w:r>
        <w:rPr>
          <w:szCs w:val="24"/>
          <w:lang w:val="es-ES_tradnl" w:eastAsia="zh-CN"/>
        </w:rPr>
        <w:t xml:space="preserve"> 2015 de la Recomendación UIT</w:t>
      </w:r>
      <w:r>
        <w:rPr>
          <w:szCs w:val="24"/>
          <w:lang w:val="es-ES_tradnl" w:eastAsia="zh-CN"/>
        </w:rPr>
        <w:noBreakHyphen/>
        <w:t>R </w:t>
      </w:r>
      <w:r w:rsidRPr="007B5C6A">
        <w:rPr>
          <w:szCs w:val="24"/>
          <w:lang w:val="es-ES_tradnl" w:eastAsia="zh-CN"/>
        </w:rPr>
        <w:t xml:space="preserve">BT.1358 </w:t>
      </w:r>
      <w:r>
        <w:rPr>
          <w:szCs w:val="24"/>
          <w:lang w:val="es-ES_tradnl" w:eastAsia="zh-CN"/>
        </w:rPr>
        <w:t>«</w:t>
      </w:r>
      <w:r w:rsidRPr="007B5C6A">
        <w:rPr>
          <w:szCs w:val="24"/>
          <w:lang w:val="es-ES_tradnl" w:eastAsia="zh-CN"/>
        </w:rPr>
        <w:t>Parámetros de estudio de los sistemas de televisión con exploración progresiva de 625 y 525 líneas</w:t>
      </w:r>
      <w:r>
        <w:rPr>
          <w:szCs w:val="24"/>
          <w:lang w:val="es-ES_tradnl" w:eastAsia="zh-CN"/>
        </w:rPr>
        <w:t>»</w:t>
      </w:r>
      <w:r w:rsidRPr="007B5C6A">
        <w:rPr>
          <w:szCs w:val="24"/>
          <w:lang w:val="es-ES_tradnl" w:eastAsia="zh-CN"/>
        </w:rPr>
        <w:t xml:space="preserve">, el Apéndice 2 al Anexo 1 </w:t>
      </w:r>
      <w:r>
        <w:rPr>
          <w:szCs w:val="24"/>
          <w:lang w:val="es-ES_tradnl" w:eastAsia="zh-CN"/>
        </w:rPr>
        <w:t>«</w:t>
      </w:r>
      <w:r w:rsidRPr="007B5C6A">
        <w:rPr>
          <w:color w:val="000000"/>
          <w:lang w:val="es-ES_tradnl"/>
        </w:rPr>
        <w:t>Zonas de seguridad para programas de televisión elaborados en formato de pantalla grande 16:9 con exploración progresiva de 625 líneas</w:t>
      </w:r>
      <w:r w:rsidRPr="007B5C6A">
        <w:rPr>
          <w:szCs w:val="24"/>
          <w:lang w:val="es-ES_tradnl" w:eastAsia="zh-CN"/>
        </w:rPr>
        <w:t>: recorte de la imagen completa de 16:9</w:t>
      </w:r>
      <w:r>
        <w:rPr>
          <w:szCs w:val="24"/>
          <w:lang w:val="es-ES_tradnl" w:eastAsia="zh-CN"/>
        </w:rPr>
        <w:t>»</w:t>
      </w:r>
      <w:r w:rsidRPr="007B5C6A">
        <w:rPr>
          <w:szCs w:val="24"/>
          <w:lang w:val="es-ES_tradnl" w:eastAsia="zh-CN"/>
        </w:rPr>
        <w:t xml:space="preserve"> ya ha dejado de ser necesario y se suprime.</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BS.1738-0</w:t>
      </w:r>
      <w:r w:rsidRPr="007B5C6A">
        <w:rPr>
          <w:rFonts w:asciiTheme="minorHAnsi" w:hAnsiTheme="minorHAnsi" w:cstheme="minorHAnsi"/>
          <w:szCs w:val="24"/>
          <w:lang w:val="es-ES_tradnl"/>
        </w:rPr>
        <w:tab/>
        <w:t>Doc. 6/415(Rev.1)</w:t>
      </w:r>
    </w:p>
    <w:p w:rsidR="00D15F2F" w:rsidRPr="007B5C6A" w:rsidRDefault="00D15F2F" w:rsidP="00D15F2F">
      <w:pPr>
        <w:pStyle w:val="Rectitle"/>
        <w:rPr>
          <w:rFonts w:eastAsia="MS Mincho"/>
          <w:lang w:val="es-ES_tradnl"/>
        </w:rPr>
      </w:pPr>
      <w:r w:rsidRPr="007B5C6A">
        <w:rPr>
          <w:rFonts w:eastAsia="MS Mincho"/>
          <w:lang w:val="es-ES_tradnl"/>
        </w:rPr>
        <w:t xml:space="preserve">Identificación y orden de canales de 4 y 8 pistas de audio que circulan </w:t>
      </w:r>
      <w:r>
        <w:rPr>
          <w:rFonts w:eastAsia="MS Mincho"/>
          <w:lang w:val="es-ES_tradnl"/>
        </w:rPr>
        <w:br/>
      </w:r>
      <w:r w:rsidRPr="007B5C6A">
        <w:rPr>
          <w:rFonts w:eastAsia="MS Mincho"/>
          <w:lang w:val="es-ES_tradnl"/>
        </w:rPr>
        <w:t>por los circuitos de contribución internacionales</w:t>
      </w:r>
    </w:p>
    <w:p w:rsidR="00D15F2F" w:rsidRPr="007B5C6A" w:rsidRDefault="00D15F2F" w:rsidP="00D15F2F">
      <w:pPr>
        <w:rPr>
          <w:szCs w:val="24"/>
          <w:lang w:val="es-ES_tradnl" w:eastAsia="ja-JP"/>
        </w:rPr>
      </w:pPr>
      <w:r w:rsidRPr="007B5C6A">
        <w:rPr>
          <w:szCs w:val="24"/>
          <w:lang w:val="es-ES_tradnl"/>
        </w:rPr>
        <w:t xml:space="preserve">En esta revisión se añade una atribución adicional de una pista de 8 canales, </w:t>
      </w:r>
      <w:r>
        <w:rPr>
          <w:szCs w:val="24"/>
          <w:lang w:val="es-ES_tradnl"/>
        </w:rPr>
        <w:t>«Caso de producción </w:t>
      </w:r>
      <w:r w:rsidRPr="007B5C6A">
        <w:rPr>
          <w:szCs w:val="24"/>
          <w:lang w:val="es-ES_tradnl"/>
        </w:rPr>
        <w:t>6</w:t>
      </w:r>
      <w:r>
        <w:rPr>
          <w:szCs w:val="24"/>
          <w:lang w:val="es-ES_tradnl"/>
        </w:rPr>
        <w:t>»,</w:t>
      </w:r>
      <w:r w:rsidRPr="007B5C6A">
        <w:rPr>
          <w:szCs w:val="24"/>
          <w:lang w:val="es-ES_tradnl"/>
        </w:rPr>
        <w:t xml:space="preserve"> al conjunto existente de atribuciones de 8 canales. </w:t>
      </w:r>
      <w:r w:rsidRPr="007B5C6A">
        <w:rPr>
          <w:szCs w:val="24"/>
          <w:lang w:val="es-ES_tradnl" w:eastAsia="ja-JP"/>
        </w:rPr>
        <w:t>Este caso comprende la producción utilizando una mezcla completa estereofónica en los canales 1 y 2, y una mezcla completa de sonido envolvente 5.1 en los canales 3 a 8.</w:t>
      </w:r>
    </w:p>
    <w:p w:rsidR="00D15F2F" w:rsidRPr="007B5C6A" w:rsidRDefault="00D15F2F" w:rsidP="00D15F2F">
      <w:pPr>
        <w:rPr>
          <w:szCs w:val="24"/>
          <w:lang w:val="es-ES_tradnl"/>
        </w:rPr>
      </w:pPr>
      <w:r w:rsidRPr="007B5C6A">
        <w:rPr>
          <w:szCs w:val="24"/>
          <w:lang w:val="es-ES_tradnl"/>
        </w:rPr>
        <w:t>Se añade una nota al Anexo para eliminar toda ambigüedad; la nota explica el significado previsto de los nombres de los canales y aclara que ciertos significados no se deducen.</w:t>
      </w:r>
    </w:p>
    <w:p w:rsidR="00D15F2F" w:rsidRPr="007B5C6A" w:rsidRDefault="00D15F2F" w:rsidP="00D15F2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sidRPr="007B5C6A">
        <w:rPr>
          <w:rFonts w:asciiTheme="minorHAnsi" w:hAnsiTheme="minorHAnsi" w:cstheme="minorHAnsi"/>
          <w:szCs w:val="24"/>
          <w:u w:val="single"/>
          <w:lang w:val="es-ES_tradnl"/>
        </w:rPr>
        <w:br w:type="page"/>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lastRenderedPageBreak/>
        <w:t>Proyecto de revisión de la Recomendación UIT-R BS.1770-3</w:t>
      </w:r>
      <w:r w:rsidRPr="007B5C6A">
        <w:rPr>
          <w:rFonts w:asciiTheme="minorHAnsi" w:hAnsiTheme="minorHAnsi" w:cstheme="minorHAnsi"/>
          <w:szCs w:val="24"/>
          <w:lang w:val="es-ES_tradnl"/>
        </w:rPr>
        <w:tab/>
        <w:t>Doc. 6/417(Rev.2)</w:t>
      </w:r>
    </w:p>
    <w:p w:rsidR="00D15F2F" w:rsidRPr="007B5C6A" w:rsidRDefault="00D15F2F" w:rsidP="00D15F2F">
      <w:pPr>
        <w:pStyle w:val="Rectitle"/>
        <w:rPr>
          <w:rFonts w:eastAsia="MS Mincho"/>
          <w:lang w:val="es-ES_tradnl"/>
        </w:rPr>
      </w:pPr>
      <w:r w:rsidRPr="007B5C6A">
        <w:rPr>
          <w:lang w:val="es-ES_tradnl"/>
        </w:rPr>
        <w:t xml:space="preserve">Algoritmos para medir la sonoridad de los programas radiofónicos </w:t>
      </w:r>
      <w:r>
        <w:rPr>
          <w:lang w:val="es-ES_tradnl"/>
        </w:rPr>
        <w:br/>
      </w:r>
      <w:r w:rsidRPr="007B5C6A">
        <w:rPr>
          <w:lang w:val="es-ES_tradnl"/>
        </w:rPr>
        <w:t>y el nivel de cresta de audio real</w:t>
      </w:r>
    </w:p>
    <w:p w:rsidR="00D15F2F" w:rsidRPr="007B5C6A" w:rsidRDefault="00D15F2F" w:rsidP="00D15F2F">
      <w:pPr>
        <w:rPr>
          <w:szCs w:val="24"/>
          <w:lang w:val="es-ES_tradnl" w:eastAsia="ja-JP"/>
        </w:rPr>
      </w:pPr>
      <w:r w:rsidRPr="007B5C6A">
        <w:rPr>
          <w:szCs w:val="24"/>
          <w:lang w:val="es-ES_tradnl" w:eastAsia="ja-JP"/>
        </w:rPr>
        <w:t xml:space="preserve">En esta revisión se añade el nuevo Anexo 3 que especifica el algoritmo de medición del nivel de sonoridad ampliado para sistemas de sonido avanzados basados en canales. El algoritmo original del Anexo 1 se mantiene íntegramente, por lo que no hay efecto sobre la práctica actual para medir la sonoridad. El Anexo 2 se actualiza para aclarar el algoritmo de medición </w:t>
      </w:r>
      <w:r>
        <w:rPr>
          <w:szCs w:val="24"/>
          <w:lang w:val="es-ES_tradnl" w:eastAsia="ja-JP"/>
        </w:rPr>
        <w:t>de</w:t>
      </w:r>
      <w:r w:rsidRPr="007B5C6A">
        <w:rPr>
          <w:szCs w:val="24"/>
          <w:lang w:val="es-ES_tradnl" w:eastAsia="ja-JP"/>
        </w:rPr>
        <w:t xml:space="preserve"> cresta real.</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BS.1679-0</w:t>
      </w:r>
      <w:r w:rsidRPr="007B5C6A">
        <w:rPr>
          <w:rFonts w:asciiTheme="minorHAnsi" w:hAnsiTheme="minorHAnsi" w:cstheme="minorHAnsi"/>
          <w:szCs w:val="24"/>
          <w:lang w:val="es-ES_tradnl"/>
        </w:rPr>
        <w:tab/>
        <w:t>Doc. 6/421(Rev.1)</w:t>
      </w:r>
    </w:p>
    <w:p w:rsidR="00D15F2F" w:rsidRPr="007B5C6A" w:rsidRDefault="00D15F2F" w:rsidP="00D15F2F">
      <w:pPr>
        <w:pStyle w:val="Rectitle"/>
        <w:rPr>
          <w:lang w:val="es-ES_tradnl"/>
        </w:rPr>
      </w:pPr>
      <w:r w:rsidRPr="007B5C6A">
        <w:rPr>
          <w:lang w:val="es-ES_tradnl"/>
        </w:rPr>
        <w:t>Evaluación subjetiva de la calidad del sonido en aplicaciones de imágenes digitales en pantalla grande destinadas a la exhibición en grandes salas</w:t>
      </w:r>
    </w:p>
    <w:p w:rsidR="00D15F2F" w:rsidRPr="007B5C6A" w:rsidRDefault="00D15F2F" w:rsidP="00D15F2F">
      <w:pPr>
        <w:rPr>
          <w:szCs w:val="24"/>
          <w:lang w:val="es-ES_tradnl" w:eastAsia="ja-JP"/>
        </w:rPr>
      </w:pPr>
      <w:r w:rsidRPr="007B5C6A">
        <w:rPr>
          <w:szCs w:val="24"/>
          <w:lang w:val="es-ES_tradnl" w:eastAsia="ja-JP"/>
        </w:rPr>
        <w:t xml:space="preserve">Se revisan el texto del </w:t>
      </w:r>
      <w:r>
        <w:rPr>
          <w:szCs w:val="24"/>
          <w:lang w:val="es-ES_tradnl" w:eastAsia="ja-JP"/>
        </w:rPr>
        <w:t>«</w:t>
      </w:r>
      <w:r w:rsidRPr="00C53B93">
        <w:rPr>
          <w:i/>
          <w:iCs/>
          <w:szCs w:val="24"/>
          <w:lang w:val="es-ES_tradnl" w:eastAsia="ja-JP"/>
        </w:rPr>
        <w:t>considerando</w:t>
      </w:r>
      <w:r w:rsidRPr="007B5C6A">
        <w:rPr>
          <w:szCs w:val="24"/>
          <w:lang w:val="es-ES_tradnl" w:eastAsia="ja-JP"/>
        </w:rPr>
        <w:t xml:space="preserve"> </w:t>
      </w:r>
      <w:r w:rsidRPr="00B8607B">
        <w:rPr>
          <w:i/>
          <w:iCs/>
          <w:szCs w:val="24"/>
          <w:lang w:val="es-ES_tradnl" w:eastAsia="ja-JP"/>
        </w:rPr>
        <w:t>e</w:t>
      </w:r>
      <w:r w:rsidRPr="007B5C6A">
        <w:rPr>
          <w:szCs w:val="24"/>
          <w:lang w:val="es-ES_tradnl" w:eastAsia="ja-JP"/>
        </w:rPr>
        <w:t>)</w:t>
      </w:r>
      <w:r>
        <w:rPr>
          <w:szCs w:val="24"/>
          <w:lang w:val="es-ES_tradnl" w:eastAsia="ja-JP"/>
        </w:rPr>
        <w:t>»</w:t>
      </w:r>
      <w:r w:rsidRPr="007B5C6A">
        <w:rPr>
          <w:szCs w:val="24"/>
          <w:lang w:val="es-ES_tradnl" w:eastAsia="ja-JP"/>
        </w:rPr>
        <w:t xml:space="preserve"> para incluir la utilización de sistemas de sonido avanzados, como se define en la Recomendación UIT-R BS.2051; añadir un texto adicional a la sección 3b </w:t>
      </w:r>
      <w:r>
        <w:rPr>
          <w:szCs w:val="24"/>
          <w:lang w:val="es-ES_tradnl" w:eastAsia="ja-JP"/>
        </w:rPr>
        <w:t>«</w:t>
      </w:r>
      <w:r w:rsidRPr="007B5C6A">
        <w:rPr>
          <w:szCs w:val="24"/>
          <w:lang w:val="es-ES_tradnl" w:eastAsia="ja-JP"/>
        </w:rPr>
        <w:t>Disposiciones relativas a la evaluación de la señal de audio de programas de sonido avanzado</w:t>
      </w:r>
      <w:r>
        <w:rPr>
          <w:szCs w:val="24"/>
          <w:lang w:val="es-ES_tradnl" w:eastAsia="ja-JP"/>
        </w:rPr>
        <w:t>»</w:t>
      </w:r>
      <w:r w:rsidRPr="007B5C6A">
        <w:rPr>
          <w:szCs w:val="24"/>
          <w:lang w:val="es-ES_tradnl" w:eastAsia="ja-JP"/>
        </w:rPr>
        <w:t xml:space="preserve"> en el que se describe la necesidad de un examen adicional y de información descriptiva cuando se utiliza la Recomendación con una disposición de altavoces de sistemas de sonido avanzado que transciende a los especificados en la Recomendación UIT-R BS.775; describir e incluir atributos y características adicionales que se han de tomar en consideración al evaluar la calidad del sistemas; y hacer referencia a la Recomendación UIT-R BS.1116 a fin de identificar todo el contenido que es necesario incluir en los informes de pruebas cuando el sistema analizado es una disposición de altavoces de sistema de sonido avanzado que transciende a los especificados en la Recomendación UIT-R BS.775.</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BS.1534-2</w:t>
      </w:r>
      <w:r w:rsidRPr="007B5C6A">
        <w:rPr>
          <w:rFonts w:asciiTheme="minorHAnsi" w:hAnsiTheme="minorHAnsi" w:cstheme="minorHAnsi"/>
          <w:szCs w:val="24"/>
          <w:lang w:val="es-ES_tradnl"/>
        </w:rPr>
        <w:tab/>
        <w:t>Doc. 6/423(Rev.1)</w:t>
      </w:r>
    </w:p>
    <w:p w:rsidR="00D15F2F" w:rsidRPr="007B5C6A" w:rsidRDefault="00D15F2F" w:rsidP="00D15F2F">
      <w:pPr>
        <w:pStyle w:val="Rectitle"/>
        <w:rPr>
          <w:sz w:val="24"/>
          <w:szCs w:val="24"/>
          <w:lang w:val="es-ES_tradnl" w:eastAsia="ja-JP"/>
        </w:rPr>
      </w:pPr>
      <w:r w:rsidRPr="007B5C6A">
        <w:rPr>
          <w:lang w:val="es-ES_tradnl"/>
        </w:rPr>
        <w:t xml:space="preserve">Método para la evaluación subjetiva del nivel de calidad </w:t>
      </w:r>
      <w:r>
        <w:rPr>
          <w:lang w:val="es-ES_tradnl"/>
        </w:rPr>
        <w:br/>
      </w:r>
      <w:r w:rsidRPr="007B5C6A">
        <w:rPr>
          <w:lang w:val="es-ES_tradnl"/>
        </w:rPr>
        <w:t>intermedia de sistemas de audio</w:t>
      </w:r>
    </w:p>
    <w:p w:rsidR="00D15F2F" w:rsidRPr="007B5C6A" w:rsidRDefault="00D15F2F" w:rsidP="00D15F2F">
      <w:pPr>
        <w:rPr>
          <w:rFonts w:eastAsia="SimSun"/>
          <w:szCs w:val="24"/>
          <w:lang w:val="es-ES_tradnl"/>
        </w:rPr>
      </w:pPr>
      <w:r w:rsidRPr="007B5C6A">
        <w:rPr>
          <w:szCs w:val="24"/>
          <w:lang w:val="es-ES_tradnl" w:eastAsia="ja-JP"/>
        </w:rPr>
        <w:t>El objetivo de la revisión es permitir la utilización de las Recomendaciones UIT-R BS.1534 con sistemas de sonido avanzados descritos en la Recomendación U</w:t>
      </w:r>
      <w:r>
        <w:rPr>
          <w:szCs w:val="24"/>
          <w:lang w:val="es-ES_tradnl" w:eastAsia="ja-JP"/>
        </w:rPr>
        <w:t>IT-R BS.2051.</w:t>
      </w:r>
      <w:r w:rsidRPr="007B5C6A">
        <w:rPr>
          <w:szCs w:val="24"/>
          <w:lang w:val="es-ES_tradnl" w:eastAsia="ja-JP"/>
        </w:rPr>
        <w:t xml:space="preserve"> Se modifica el </w:t>
      </w:r>
      <w:r>
        <w:rPr>
          <w:rFonts w:eastAsia="SimSun"/>
          <w:szCs w:val="24"/>
          <w:lang w:val="es-ES_tradnl"/>
        </w:rPr>
        <w:t>«</w:t>
      </w:r>
      <w:r w:rsidRPr="00FE144E">
        <w:rPr>
          <w:rFonts w:eastAsia="SimSun"/>
          <w:i/>
          <w:iCs/>
          <w:szCs w:val="24"/>
          <w:lang w:val="es-ES_tradnl"/>
        </w:rPr>
        <w:t>considerando</w:t>
      </w:r>
      <w:r w:rsidRPr="007B5C6A">
        <w:rPr>
          <w:rFonts w:eastAsia="SimSun"/>
          <w:szCs w:val="24"/>
          <w:lang w:val="es-ES_tradnl"/>
        </w:rPr>
        <w:t xml:space="preserve"> </w:t>
      </w:r>
      <w:r w:rsidRPr="00B8607B">
        <w:rPr>
          <w:rFonts w:eastAsia="SimSun"/>
          <w:i/>
          <w:iCs/>
          <w:szCs w:val="24"/>
          <w:lang w:val="es-ES_tradnl"/>
        </w:rPr>
        <w:t>k</w:t>
      </w:r>
      <w:r w:rsidRPr="007B5C6A">
        <w:rPr>
          <w:rFonts w:eastAsia="SimSun"/>
          <w:szCs w:val="24"/>
          <w:lang w:val="es-ES_tradnl"/>
        </w:rPr>
        <w:t>)</w:t>
      </w:r>
      <w:r>
        <w:rPr>
          <w:rFonts w:eastAsia="SimSun"/>
          <w:szCs w:val="24"/>
          <w:lang w:val="es-ES_tradnl"/>
        </w:rPr>
        <w:t>»</w:t>
      </w:r>
      <w:r w:rsidRPr="007B5C6A">
        <w:rPr>
          <w:rFonts w:eastAsia="SimSun"/>
          <w:szCs w:val="24"/>
          <w:lang w:val="es-ES_tradnl"/>
        </w:rPr>
        <w:t xml:space="preserve"> para incluir sistemas de sonido avanzados defi</w:t>
      </w:r>
      <w:r>
        <w:rPr>
          <w:rFonts w:eastAsia="SimSun"/>
          <w:szCs w:val="24"/>
          <w:lang w:val="es-ES_tradnl"/>
        </w:rPr>
        <w:t>nidos en la Recomendación UIT</w:t>
      </w:r>
      <w:r>
        <w:rPr>
          <w:rFonts w:eastAsia="SimSun"/>
          <w:szCs w:val="24"/>
          <w:lang w:val="es-ES_tradnl"/>
        </w:rPr>
        <w:noBreakHyphen/>
        <w:t>R </w:t>
      </w:r>
      <w:r w:rsidRPr="007B5C6A">
        <w:rPr>
          <w:rFonts w:eastAsia="SimSun"/>
          <w:szCs w:val="24"/>
          <w:lang w:val="es-ES_tradnl"/>
        </w:rPr>
        <w:t xml:space="preserve">BS.2051, se añade texto adicional a la sección </w:t>
      </w:r>
      <w:r w:rsidRPr="007B5C6A">
        <w:rPr>
          <w:szCs w:val="24"/>
          <w:lang w:val="es-ES_tradnl"/>
        </w:rPr>
        <w:t xml:space="preserve">7.2 </w:t>
      </w:r>
      <w:r>
        <w:rPr>
          <w:szCs w:val="24"/>
          <w:lang w:val="es-ES_tradnl"/>
        </w:rPr>
        <w:t>«</w:t>
      </w:r>
      <w:r w:rsidRPr="007B5C6A">
        <w:rPr>
          <w:szCs w:val="24"/>
          <w:lang w:val="es-ES_tradnl"/>
        </w:rPr>
        <w:t>Configuración de altavoces</w:t>
      </w:r>
      <w:r>
        <w:rPr>
          <w:szCs w:val="24"/>
          <w:lang w:val="es-ES_tradnl"/>
        </w:rPr>
        <w:t>»</w:t>
      </w:r>
      <w:r w:rsidRPr="007B5C6A">
        <w:rPr>
          <w:szCs w:val="24"/>
          <w:lang w:val="es-ES_tradnl"/>
        </w:rPr>
        <w:t xml:space="preserve"> que describe la necesidad de un examen adicional y de información descriptiva cuando se utiliza la recomendación con disposiciones de altavoces de sistemas de sonido avanzados. Se modifica también la calibración de la sala para utilizar disposiciones de altavoces de sistemas de sonido avanzados</w:t>
      </w:r>
      <w:r w:rsidRPr="007B5C6A">
        <w:rPr>
          <w:rFonts w:eastAsia="SimSun"/>
          <w:szCs w:val="24"/>
          <w:lang w:val="es-ES_tradnl"/>
        </w:rPr>
        <w:t>. En la sección 6.4 se añad</w:t>
      </w:r>
      <w:r>
        <w:rPr>
          <w:rFonts w:eastAsia="SimSun"/>
          <w:szCs w:val="24"/>
          <w:lang w:val="es-ES_tradnl"/>
        </w:rPr>
        <w:t>e</w:t>
      </w:r>
      <w:r w:rsidRPr="007B5C6A">
        <w:rPr>
          <w:rFonts w:eastAsia="SimSun"/>
          <w:szCs w:val="24"/>
          <w:lang w:val="es-ES_tradnl"/>
        </w:rPr>
        <w:t xml:space="preserve"> una descripción e inclusión de atributos y características adicionales que se han de considerar al evaluar la calidad del sistema.</w:t>
      </w:r>
    </w:p>
    <w:p w:rsidR="00D15F2F" w:rsidRPr="007B5C6A" w:rsidRDefault="00D15F2F" w:rsidP="00D15F2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sidRPr="007B5C6A">
        <w:rPr>
          <w:rFonts w:asciiTheme="minorHAnsi" w:hAnsiTheme="minorHAnsi" w:cstheme="minorHAnsi"/>
          <w:szCs w:val="24"/>
          <w:u w:val="single"/>
          <w:lang w:val="es-ES_tradnl"/>
        </w:rPr>
        <w:br w:type="page"/>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lastRenderedPageBreak/>
        <w:t>Proyecto de revisión de la Recomendación UIT-R BS.1660-0</w:t>
      </w:r>
      <w:r w:rsidRPr="007B5C6A">
        <w:rPr>
          <w:rFonts w:asciiTheme="minorHAnsi" w:hAnsiTheme="minorHAnsi" w:cstheme="minorHAnsi"/>
          <w:szCs w:val="24"/>
          <w:lang w:val="es-ES_tradnl"/>
        </w:rPr>
        <w:tab/>
        <w:t>Doc. 6/427(Rev.1)</w:t>
      </w:r>
    </w:p>
    <w:p w:rsidR="00D15F2F" w:rsidRPr="007B5C6A" w:rsidRDefault="00D15F2F" w:rsidP="00D15F2F">
      <w:pPr>
        <w:pStyle w:val="Rectitle"/>
        <w:rPr>
          <w:lang w:val="es-ES_tradnl"/>
        </w:rPr>
      </w:pPr>
      <w:r w:rsidRPr="007B5C6A">
        <w:rPr>
          <w:color w:val="000000"/>
          <w:lang w:val="es-ES_tradnl"/>
        </w:rPr>
        <w:t xml:space="preserve">Bases técnicas para la planificación de la radiodifusión sonora </w:t>
      </w:r>
      <w:r w:rsidRPr="007B5C6A">
        <w:rPr>
          <w:color w:val="000000"/>
          <w:lang w:val="es-ES_tradnl"/>
        </w:rPr>
        <w:br/>
        <w:t>digital terrenal en la banda de ondas métricas</w:t>
      </w:r>
    </w:p>
    <w:p w:rsidR="00D15F2F" w:rsidRPr="007B5C6A" w:rsidRDefault="00D15F2F" w:rsidP="00D15F2F">
      <w:pPr>
        <w:rPr>
          <w:szCs w:val="24"/>
          <w:lang w:val="es-ES_tradnl" w:eastAsia="zh-CN"/>
        </w:rPr>
      </w:pPr>
      <w:r w:rsidRPr="007B5C6A">
        <w:rPr>
          <w:szCs w:val="24"/>
          <w:lang w:val="es-ES_tradnl" w:eastAsia="ja-JP"/>
        </w:rPr>
        <w:t xml:space="preserve">La </w:t>
      </w:r>
      <w:r w:rsidRPr="007B5C6A">
        <w:rPr>
          <w:szCs w:val="24"/>
          <w:lang w:val="es-ES_tradnl"/>
        </w:rPr>
        <w:t>revisión</w:t>
      </w:r>
      <w:r w:rsidRPr="007B5C6A">
        <w:rPr>
          <w:szCs w:val="24"/>
          <w:lang w:val="es-ES_tradnl" w:eastAsia="ja-JP"/>
        </w:rPr>
        <w:t xml:space="preserve"> comprende una modificación de la máscara fuera de banda para </w:t>
      </w:r>
      <w:r w:rsidRPr="007B5C6A">
        <w:rPr>
          <w:szCs w:val="24"/>
          <w:lang w:val="es-ES_tradnl"/>
        </w:rPr>
        <w:t>DRM+ de conformidad con la máscara fuera de banda para la variante de RAVIS de ancho de banda de 100 kHz descrita en la Recomendación UIT-R BS.1660 sin modificar el impacto sobre los servicios aeronáuticos adyacentes de potencias idénticas</w:t>
      </w:r>
      <w:r w:rsidRPr="007B5C6A">
        <w:rPr>
          <w:szCs w:val="24"/>
          <w:lang w:val="es-ES_tradnl" w:eastAsia="zh-CN"/>
        </w:rPr>
        <w:t>.</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BO./BT.1774-0</w:t>
      </w:r>
      <w:r w:rsidRPr="007B5C6A">
        <w:rPr>
          <w:rFonts w:asciiTheme="minorHAnsi" w:hAnsiTheme="minorHAnsi" w:cstheme="minorHAnsi"/>
          <w:szCs w:val="24"/>
          <w:lang w:val="es-ES_tradnl"/>
        </w:rPr>
        <w:tab/>
        <w:t>Doc. 6/436(Rev.1)</w:t>
      </w:r>
    </w:p>
    <w:p w:rsidR="00D15F2F" w:rsidRPr="007B5C6A" w:rsidRDefault="00D15F2F" w:rsidP="00D15F2F">
      <w:pPr>
        <w:pStyle w:val="Rectitle"/>
        <w:rPr>
          <w:lang w:val="es-ES_tradnl" w:eastAsia="zh-CN"/>
        </w:rPr>
      </w:pPr>
      <w:r w:rsidRPr="007B5C6A">
        <w:rPr>
          <w:lang w:val="es-ES_tradnl" w:eastAsia="zh-CN"/>
        </w:rPr>
        <w:t xml:space="preserve">Utilización de las infraestructuras de radiodifusión por satélite y terrenal para alertar a la población, mitigar los efectos de las catástrofes </w:t>
      </w:r>
      <w:r>
        <w:rPr>
          <w:lang w:val="es-ES_tradnl" w:eastAsia="zh-CN"/>
        </w:rPr>
        <w:br/>
      </w:r>
      <w:r w:rsidRPr="007B5C6A">
        <w:rPr>
          <w:lang w:val="es-ES_tradnl" w:eastAsia="zh-CN"/>
        </w:rPr>
        <w:t>y facilitar las operaciones de socorro</w:t>
      </w:r>
    </w:p>
    <w:p w:rsidR="00D15F2F" w:rsidRPr="007B5C6A" w:rsidRDefault="00D15F2F" w:rsidP="00D15F2F">
      <w:pPr>
        <w:rPr>
          <w:szCs w:val="24"/>
          <w:lang w:val="es-ES_tradnl" w:eastAsia="ja-JP"/>
        </w:rPr>
      </w:pPr>
      <w:r w:rsidRPr="007B5C6A">
        <w:rPr>
          <w:szCs w:val="24"/>
          <w:lang w:val="es-ES_tradnl" w:eastAsia="ja-JP"/>
        </w:rPr>
        <w:t xml:space="preserve">La revisión incluye la modificación del alcance y del observando, a fin de poner de relieve los sistemas utilizados para la mitigación de los efectos de las catástrofes y las operaciones de socorro que figuran en el Informe UIT-R BT.2299 </w:t>
      </w:r>
      <w:r>
        <w:rPr>
          <w:szCs w:val="24"/>
          <w:lang w:val="es-ES_tradnl" w:eastAsia="ja-JP"/>
        </w:rPr>
        <w:t>«</w:t>
      </w:r>
      <w:r w:rsidRPr="007B5C6A">
        <w:rPr>
          <w:szCs w:val="24"/>
          <w:lang w:val="es-ES_tradnl" w:eastAsia="ja-JP"/>
        </w:rPr>
        <w:t xml:space="preserve">Radiodifusión para la alerta pública, la mitigación de los efectos de las catástrofes y las operaciones de socorro </w:t>
      </w:r>
      <w:r>
        <w:rPr>
          <w:szCs w:val="24"/>
          <w:lang w:val="es-ES_tradnl" w:eastAsia="ja-JP"/>
        </w:rPr>
        <w:t>»</w:t>
      </w:r>
      <w:r w:rsidRPr="007B5C6A">
        <w:rPr>
          <w:szCs w:val="24"/>
          <w:lang w:val="es-ES_tradnl" w:eastAsia="ja-JP"/>
        </w:rPr>
        <w:t>.</w:t>
      </w:r>
    </w:p>
    <w:p w:rsidR="00D15F2F" w:rsidRPr="007B5C6A" w:rsidRDefault="00D15F2F" w:rsidP="00D15F2F">
      <w:pPr>
        <w:rPr>
          <w:szCs w:val="24"/>
          <w:lang w:val="es-ES_tradnl" w:eastAsia="ja-JP"/>
        </w:rPr>
      </w:pPr>
      <w:r w:rsidRPr="007B5C6A">
        <w:rPr>
          <w:szCs w:val="24"/>
          <w:lang w:val="es-ES_tradnl"/>
        </w:rPr>
        <w:t>También</w:t>
      </w:r>
      <w:r w:rsidRPr="007B5C6A">
        <w:rPr>
          <w:szCs w:val="24"/>
          <w:lang w:val="es-ES_tradnl" w:eastAsia="ja-JP"/>
        </w:rPr>
        <w:t xml:space="preserve"> se revisan los Anexos a esta Recomendación, de modo que sólo contengan los aspectos técnicos de los sistemas de alerta pública para radiodifusión. Las secciones con ejemplos de sistemas se han suprimido y trasladado a la sección 5 del Informe UIT-R BT.2299.</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BT.2052-0</w:t>
      </w:r>
      <w:r w:rsidRPr="007B5C6A">
        <w:rPr>
          <w:rFonts w:asciiTheme="minorHAnsi" w:hAnsiTheme="minorHAnsi" w:cstheme="minorHAnsi"/>
          <w:szCs w:val="24"/>
          <w:lang w:val="es-ES_tradnl"/>
        </w:rPr>
        <w:tab/>
        <w:t>Doc. 6/439(Rev.1)</w:t>
      </w:r>
    </w:p>
    <w:p w:rsidR="00D15F2F" w:rsidRPr="007B5C6A" w:rsidRDefault="00D15F2F" w:rsidP="00D15F2F">
      <w:pPr>
        <w:pStyle w:val="Rectitle"/>
        <w:rPr>
          <w:lang w:val="es-ES_tradnl" w:eastAsia="ja-JP"/>
        </w:rPr>
      </w:pPr>
      <w:r w:rsidRPr="007B5C6A">
        <w:rPr>
          <w:lang w:val="es-ES_tradnl"/>
        </w:rPr>
        <w:t xml:space="preserve">Criterios de planificación para la radiodifusión terrenal multimedios para la recepción móvil utilizando receptores manuales en las bandas </w:t>
      </w:r>
      <w:r>
        <w:rPr>
          <w:lang w:val="es-ES_tradnl"/>
        </w:rPr>
        <w:br/>
      </w:r>
      <w:r w:rsidRPr="007B5C6A">
        <w:rPr>
          <w:lang w:val="es-ES_tradnl"/>
        </w:rPr>
        <w:t>de ondas métricas/decimétricas</w:t>
      </w:r>
    </w:p>
    <w:p w:rsidR="00D15F2F" w:rsidRPr="007B5C6A" w:rsidRDefault="00D15F2F" w:rsidP="00D15F2F">
      <w:pPr>
        <w:rPr>
          <w:szCs w:val="24"/>
          <w:lang w:val="es-ES_tradnl" w:eastAsia="ja-JP"/>
        </w:rPr>
      </w:pPr>
      <w:r w:rsidRPr="007B5C6A">
        <w:rPr>
          <w:szCs w:val="24"/>
          <w:lang w:val="es-ES_tradnl" w:eastAsia="ja-JP"/>
        </w:rPr>
        <w:t xml:space="preserve">La </w:t>
      </w:r>
      <w:r w:rsidRPr="007B5C6A">
        <w:rPr>
          <w:szCs w:val="24"/>
          <w:lang w:val="es-ES_tradnl"/>
        </w:rPr>
        <w:t>revisión</w:t>
      </w:r>
      <w:r w:rsidRPr="007B5C6A">
        <w:rPr>
          <w:szCs w:val="24"/>
          <w:lang w:val="es-ES_tradnl" w:eastAsia="ja-JP"/>
        </w:rPr>
        <w:t xml:space="preserve"> comprende las relaciones de protección de sistema multimedios A en el mismo canal y canales adyacentes utilizando canales de Gaussi, Rice, Rayleigh y TU6, así como criterios de planificación para sistemas multimedios T2 (perfil T2-Lite de DVB-T2) en las bandas de ondas métricas/decimétricas.</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BT.1893-0</w:t>
      </w:r>
      <w:r w:rsidRPr="007B5C6A">
        <w:rPr>
          <w:rFonts w:asciiTheme="minorHAnsi" w:hAnsiTheme="minorHAnsi" w:cstheme="minorHAnsi"/>
          <w:szCs w:val="24"/>
          <w:lang w:val="es-ES_tradnl"/>
        </w:rPr>
        <w:tab/>
        <w:t>Doc. 6/443(Rev.1)</w:t>
      </w:r>
    </w:p>
    <w:p w:rsidR="00D15F2F" w:rsidRPr="007B5C6A" w:rsidRDefault="00D15F2F" w:rsidP="00D15F2F">
      <w:pPr>
        <w:pStyle w:val="Rectitle"/>
        <w:rPr>
          <w:lang w:val="es-ES_tradnl"/>
        </w:rPr>
      </w:pPr>
      <w:r w:rsidRPr="007B5C6A">
        <w:rPr>
          <w:lang w:val="es-ES_tradnl"/>
        </w:rPr>
        <w:t xml:space="preserve">Métodos de evaluación de la degradación causada por las </w:t>
      </w:r>
      <w:r w:rsidRPr="007B5C6A">
        <w:rPr>
          <w:lang w:val="es-ES_tradnl"/>
        </w:rPr>
        <w:br/>
        <w:t xml:space="preserve">turbinas eólicas a la recepción de televisión </w:t>
      </w:r>
    </w:p>
    <w:p w:rsidR="00D15F2F" w:rsidRPr="007B5C6A" w:rsidRDefault="00D15F2F" w:rsidP="00D15F2F">
      <w:pPr>
        <w:rPr>
          <w:lang w:val="es-ES_tradnl"/>
        </w:rPr>
      </w:pPr>
      <w:r w:rsidRPr="007B5C6A">
        <w:rPr>
          <w:lang w:val="es-ES_tradnl"/>
        </w:rPr>
        <w:t>La revisión comprende:</w:t>
      </w:r>
    </w:p>
    <w:p w:rsidR="00D15F2F" w:rsidRPr="007B5C6A" w:rsidRDefault="00D15F2F" w:rsidP="00D15F2F">
      <w:pPr>
        <w:pStyle w:val="enumlev1"/>
        <w:spacing w:line="240" w:lineRule="auto"/>
        <w:rPr>
          <w:szCs w:val="24"/>
          <w:lang w:val="es-ES_tradnl"/>
        </w:rPr>
      </w:pPr>
      <w:r w:rsidRPr="007B5C6A">
        <w:rPr>
          <w:szCs w:val="24"/>
          <w:lang w:val="es-ES_tradnl"/>
        </w:rPr>
        <w:t>−</w:t>
      </w:r>
      <w:r w:rsidRPr="007B5C6A">
        <w:rPr>
          <w:szCs w:val="24"/>
          <w:lang w:val="es-ES_tradnl"/>
        </w:rPr>
        <w:tab/>
        <w:t>reconocimiento de los métodos desarrollados hasta 2010 que algunas administraciones han aplicado cuando los estudios y métodos preliminares de evaluación incluían señales de televisión en la banda de ondas métricas;</w:t>
      </w:r>
    </w:p>
    <w:p w:rsidR="00D15F2F" w:rsidRPr="007B5C6A" w:rsidRDefault="00D15F2F" w:rsidP="00D15F2F">
      <w:pPr>
        <w:pStyle w:val="enumlev1"/>
        <w:keepLines/>
        <w:spacing w:line="240" w:lineRule="auto"/>
        <w:rPr>
          <w:szCs w:val="24"/>
          <w:lang w:val="es-ES_tradnl"/>
        </w:rPr>
      </w:pPr>
      <w:r w:rsidRPr="007B5C6A">
        <w:rPr>
          <w:szCs w:val="24"/>
          <w:lang w:val="es-ES_tradnl"/>
        </w:rPr>
        <w:lastRenderedPageBreak/>
        <w:t>−</w:t>
      </w:r>
      <w:r w:rsidRPr="007B5C6A">
        <w:rPr>
          <w:szCs w:val="24"/>
          <w:lang w:val="es-ES_tradnl"/>
        </w:rPr>
        <w:tab/>
        <w:t>estudios preliminares que t</w:t>
      </w:r>
      <w:r>
        <w:rPr>
          <w:szCs w:val="24"/>
          <w:lang w:val="es-ES_tradnl"/>
        </w:rPr>
        <w:t>ienen en cuenta el efecto de la</w:t>
      </w:r>
      <w:r w:rsidRPr="007B5C6A">
        <w:rPr>
          <w:szCs w:val="24"/>
          <w:lang w:val="es-ES_tradnl"/>
        </w:rPr>
        <w:t xml:space="preserve"> dispersión delantera y trasera causada por las hélices y los postes de las turbinas eólicas a las señales de televisión digital en las bandas de ondas métricas y decimétricas. E</w:t>
      </w:r>
      <w:r>
        <w:rPr>
          <w:szCs w:val="24"/>
          <w:lang w:val="es-ES_tradnl"/>
        </w:rPr>
        <w:t>n e</w:t>
      </w:r>
      <w:r w:rsidRPr="007B5C6A">
        <w:rPr>
          <w:szCs w:val="24"/>
          <w:lang w:val="es-ES_tradnl"/>
        </w:rPr>
        <w:t>stos estudios también se consideran las características de modulación de las señales de televisión digital y el rendimiento MER resultante de los receptores de televisión;</w:t>
      </w:r>
    </w:p>
    <w:p w:rsidR="00D15F2F" w:rsidRPr="007B5C6A" w:rsidRDefault="00D15F2F" w:rsidP="00D15F2F">
      <w:pPr>
        <w:pStyle w:val="enumlev1"/>
        <w:spacing w:line="240" w:lineRule="auto"/>
        <w:rPr>
          <w:szCs w:val="24"/>
          <w:lang w:val="es-ES_tradnl"/>
        </w:rPr>
      </w:pPr>
      <w:r w:rsidRPr="007B5C6A">
        <w:rPr>
          <w:szCs w:val="24"/>
          <w:lang w:val="es-ES_tradnl"/>
        </w:rPr>
        <w:t>−</w:t>
      </w:r>
      <w:r w:rsidRPr="007B5C6A">
        <w:rPr>
          <w:szCs w:val="24"/>
          <w:lang w:val="es-ES_tradnl"/>
        </w:rPr>
        <w:tab/>
        <w:t>estudios más recientes centrados en la banda de ondas decimétricas;</w:t>
      </w:r>
    </w:p>
    <w:p w:rsidR="00D15F2F" w:rsidRPr="007B5C6A" w:rsidRDefault="00D15F2F" w:rsidP="00D15F2F">
      <w:pPr>
        <w:pStyle w:val="enumlev1"/>
        <w:spacing w:line="240" w:lineRule="auto"/>
        <w:rPr>
          <w:szCs w:val="24"/>
          <w:lang w:val="es-ES_tradnl"/>
        </w:rPr>
      </w:pPr>
      <w:r w:rsidRPr="007B5C6A">
        <w:rPr>
          <w:szCs w:val="24"/>
          <w:lang w:val="es-ES_tradnl"/>
        </w:rPr>
        <w:t>−</w:t>
      </w:r>
      <w:r w:rsidRPr="007B5C6A">
        <w:rPr>
          <w:szCs w:val="24"/>
          <w:lang w:val="es-ES_tradnl"/>
        </w:rPr>
        <w:tab/>
        <w:t>evaluación del efecto de múltiples turbinas eólicas (denominadas granjas eólicas) sobre la recepción de TV, y</w:t>
      </w:r>
    </w:p>
    <w:p w:rsidR="00D15F2F" w:rsidRPr="007B5C6A" w:rsidRDefault="00D15F2F" w:rsidP="00D15F2F">
      <w:pPr>
        <w:pStyle w:val="enumlev1"/>
        <w:spacing w:line="240" w:lineRule="auto"/>
        <w:rPr>
          <w:szCs w:val="24"/>
          <w:lang w:val="es-ES_tradnl"/>
        </w:rPr>
      </w:pPr>
      <w:r w:rsidRPr="007B5C6A">
        <w:rPr>
          <w:szCs w:val="24"/>
          <w:lang w:val="es-ES_tradnl"/>
        </w:rPr>
        <w:t>−</w:t>
      </w:r>
      <w:r w:rsidRPr="007B5C6A">
        <w:rPr>
          <w:szCs w:val="24"/>
          <w:lang w:val="es-ES_tradnl"/>
        </w:rPr>
        <w:tab/>
        <w:t>el desarrollo de nuevos métodos de evaluación de la degradación causada por las turbinas eólicas a la recepción de televisión digital, cuando las revisiones propuestas a la Recomendación UIT-R BT.1893 se basan en métodos par</w:t>
      </w:r>
      <w:r>
        <w:rPr>
          <w:szCs w:val="24"/>
          <w:lang w:val="es-ES_tradnl"/>
        </w:rPr>
        <w:t>a evaluar el sistema B DTTB del </w:t>
      </w:r>
      <w:r w:rsidRPr="007B5C6A">
        <w:rPr>
          <w:szCs w:val="24"/>
          <w:lang w:val="es-ES_tradnl"/>
        </w:rPr>
        <w:t>UIT-R.</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BT.2077-0</w:t>
      </w:r>
      <w:r w:rsidRPr="007B5C6A">
        <w:rPr>
          <w:rFonts w:asciiTheme="minorHAnsi" w:hAnsiTheme="minorHAnsi" w:cstheme="minorHAnsi"/>
          <w:szCs w:val="24"/>
          <w:lang w:val="es-ES_tradnl"/>
        </w:rPr>
        <w:tab/>
        <w:t>Doc. 6/454(Rev.1)</w:t>
      </w:r>
    </w:p>
    <w:p w:rsidR="00D15F2F" w:rsidRPr="007B5C6A" w:rsidRDefault="00D15F2F" w:rsidP="00D15F2F">
      <w:pPr>
        <w:pStyle w:val="Rectitle"/>
        <w:rPr>
          <w:lang w:val="es-ES_tradnl"/>
        </w:rPr>
      </w:pPr>
      <w:r w:rsidRPr="007B5C6A">
        <w:rPr>
          <w:lang w:val="es-ES_tradnl"/>
        </w:rPr>
        <w:t>Interfaces digitales en serie y en tiempo real para señales de TVUAD</w:t>
      </w:r>
    </w:p>
    <w:p w:rsidR="00D15F2F" w:rsidRPr="007B5C6A" w:rsidRDefault="00D15F2F" w:rsidP="00D15F2F">
      <w:pPr>
        <w:rPr>
          <w:szCs w:val="24"/>
          <w:lang w:val="es-ES_tradnl" w:eastAsia="ja-JP"/>
        </w:rPr>
      </w:pPr>
      <w:r w:rsidRPr="007B5C6A">
        <w:rPr>
          <w:szCs w:val="24"/>
          <w:lang w:val="es-ES_tradnl"/>
        </w:rPr>
        <w:t xml:space="preserve">En esta revisión se añaden en la Parte 2 especificaciones para la transmisión por fibra monomodo utilizando </w:t>
      </w:r>
      <w:r w:rsidRPr="007B5C6A">
        <w:rPr>
          <w:szCs w:val="24"/>
          <w:lang w:val="es-ES_tradnl" w:eastAsia="ja-JP"/>
        </w:rPr>
        <w:t>Multiplexación por división en longitud de onda densa (DWDM). Para ello es necesario modificar también el Cuadro 1. La revisión propuesta complement</w:t>
      </w:r>
      <w:r>
        <w:rPr>
          <w:szCs w:val="24"/>
          <w:lang w:val="es-ES_tradnl" w:eastAsia="ja-JP"/>
        </w:rPr>
        <w:t>a</w:t>
      </w:r>
      <w:r w:rsidRPr="007B5C6A">
        <w:rPr>
          <w:szCs w:val="24"/>
          <w:lang w:val="es-ES_tradnl" w:eastAsia="ja-JP"/>
        </w:rPr>
        <w:t xml:space="preserve"> en lugar de modificar el acuerdo alcanzado en la versión actual y se ha de incluir urgentemente en la Recomendación. Esta revisión no afecta a las implementaciones anteriores.</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BT.1365-1</w:t>
      </w:r>
      <w:r w:rsidRPr="007B5C6A">
        <w:rPr>
          <w:rFonts w:asciiTheme="minorHAnsi" w:hAnsiTheme="minorHAnsi" w:cstheme="minorHAnsi"/>
          <w:szCs w:val="24"/>
          <w:lang w:val="es-ES_tradnl"/>
        </w:rPr>
        <w:tab/>
        <w:t>Doc. 6/455(Rev.1)</w:t>
      </w:r>
    </w:p>
    <w:p w:rsidR="00D15F2F" w:rsidRPr="007B5C6A" w:rsidRDefault="00D15F2F" w:rsidP="00D15F2F">
      <w:pPr>
        <w:pStyle w:val="Rectitle"/>
        <w:rPr>
          <w:lang w:val="es-ES_tradnl"/>
        </w:rPr>
      </w:pPr>
      <w:r w:rsidRPr="007B5C6A">
        <w:rPr>
          <w:lang w:val="es-ES_tradnl"/>
        </w:rPr>
        <w:t xml:space="preserve">Formato audio digital de 24 bits para señales de datos auxiliares </w:t>
      </w:r>
      <w:r>
        <w:rPr>
          <w:lang w:val="es-ES_tradnl"/>
        </w:rPr>
        <w:br/>
      </w:r>
      <w:r w:rsidRPr="007B5C6A">
        <w:rPr>
          <w:lang w:val="es-ES_tradnl"/>
        </w:rPr>
        <w:t>en interfaces en serie de TVAD y TVUAD</w:t>
      </w:r>
    </w:p>
    <w:p w:rsidR="00D15F2F" w:rsidRPr="007B5C6A" w:rsidRDefault="00D15F2F" w:rsidP="00D15F2F">
      <w:pPr>
        <w:rPr>
          <w:szCs w:val="24"/>
          <w:lang w:val="es-ES_tradnl"/>
        </w:rPr>
      </w:pPr>
      <w:r w:rsidRPr="007B5C6A">
        <w:rPr>
          <w:szCs w:val="24"/>
          <w:lang w:val="es-ES_tradnl"/>
        </w:rPr>
        <w:t>Esta revisión abarca el paquete de control de audio extendido y la capacidad de datos de audio extendida que figuran en los documentos de la interfaz de TVA</w:t>
      </w:r>
      <w:r>
        <w:rPr>
          <w:szCs w:val="24"/>
          <w:lang w:val="es-ES_tradnl"/>
        </w:rPr>
        <w:t>D</w:t>
      </w:r>
      <w:r w:rsidRPr="007B5C6A">
        <w:rPr>
          <w:szCs w:val="24"/>
          <w:lang w:val="es-ES_tradnl"/>
        </w:rPr>
        <w:t xml:space="preserve"> y TVUAD. También se corrigen algunas partes del texto. Las implementaciones anter</w:t>
      </w:r>
      <w:r>
        <w:rPr>
          <w:szCs w:val="24"/>
          <w:lang w:val="es-ES_tradnl"/>
        </w:rPr>
        <w:t>iores de la Recomendación UIT</w:t>
      </w:r>
      <w:r>
        <w:rPr>
          <w:szCs w:val="24"/>
          <w:lang w:val="es-ES_tradnl"/>
        </w:rPr>
        <w:noBreakHyphen/>
        <w:t>R </w:t>
      </w:r>
      <w:r w:rsidRPr="007B5C6A">
        <w:rPr>
          <w:szCs w:val="24"/>
          <w:lang w:val="es-ES_tradnl"/>
        </w:rPr>
        <w:t>BT.1365 no se ven afectadas por los cambios introducidos.</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BT.1364-3</w:t>
      </w:r>
      <w:r w:rsidRPr="007B5C6A">
        <w:rPr>
          <w:rFonts w:asciiTheme="minorHAnsi" w:hAnsiTheme="minorHAnsi" w:cstheme="minorHAnsi"/>
          <w:szCs w:val="24"/>
          <w:lang w:val="es-ES_tradnl"/>
        </w:rPr>
        <w:tab/>
        <w:t>Doc. 6/456(Rev.2)</w:t>
      </w:r>
    </w:p>
    <w:p w:rsidR="00D15F2F" w:rsidRPr="007B5C6A" w:rsidRDefault="00D15F2F" w:rsidP="00D15F2F">
      <w:pPr>
        <w:pStyle w:val="Rectitle"/>
        <w:rPr>
          <w:sz w:val="24"/>
          <w:szCs w:val="24"/>
          <w:lang w:val="es-ES_tradnl"/>
        </w:rPr>
      </w:pPr>
      <w:r w:rsidRPr="007B5C6A">
        <w:rPr>
          <w:lang w:val="es-ES_tradnl"/>
        </w:rPr>
        <w:t xml:space="preserve">Formato de las señales de datos auxiliares transportadas en </w:t>
      </w:r>
      <w:r>
        <w:rPr>
          <w:lang w:val="es-ES_tradnl"/>
        </w:rPr>
        <w:br/>
      </w:r>
      <w:r w:rsidRPr="007B5C6A">
        <w:rPr>
          <w:lang w:val="es-ES_tradnl"/>
        </w:rPr>
        <w:t xml:space="preserve">las interfaces de estudio con componente digital </w:t>
      </w:r>
    </w:p>
    <w:p w:rsidR="00D15F2F" w:rsidRPr="007B5C6A" w:rsidRDefault="00D15F2F" w:rsidP="00D15F2F">
      <w:pPr>
        <w:rPr>
          <w:szCs w:val="24"/>
          <w:lang w:val="es-ES_tradnl" w:eastAsia="zh-CN"/>
        </w:rPr>
      </w:pPr>
      <w:r w:rsidRPr="007B5C6A">
        <w:rPr>
          <w:szCs w:val="24"/>
          <w:lang w:val="es-ES_tradnl" w:eastAsia="zh-CN"/>
        </w:rPr>
        <w:t>En esta revisión se actualizan la tabla del registro y los valores permitidos y definidos en esta Recomendación. Los valores de la tabla también incluyen valores ampliados definidos en la Recomendación UIT</w:t>
      </w:r>
      <w:r w:rsidRPr="007B5C6A">
        <w:rPr>
          <w:szCs w:val="24"/>
          <w:lang w:val="es-ES_tradnl" w:eastAsia="zh-CN"/>
        </w:rPr>
        <w:noBreakHyphen/>
        <w:t>R BT.2077. Las implementaciones anteriores no se ven afectadas por los cambios propuestos.</w:t>
      </w:r>
    </w:p>
    <w:p w:rsidR="00D15F2F" w:rsidRPr="007B5C6A" w:rsidRDefault="00D15F2F" w:rsidP="00D15F2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sidRPr="007B5C6A">
        <w:rPr>
          <w:rFonts w:asciiTheme="minorHAnsi" w:hAnsiTheme="minorHAnsi" w:cstheme="minorHAnsi"/>
          <w:szCs w:val="24"/>
          <w:u w:val="single"/>
          <w:lang w:val="es-ES_tradnl"/>
        </w:rPr>
        <w:br w:type="page"/>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lastRenderedPageBreak/>
        <w:t>Proyecto de revisión de la Recomendación UIT-R BT.1367-1</w:t>
      </w:r>
      <w:r w:rsidRPr="007B5C6A">
        <w:rPr>
          <w:rFonts w:asciiTheme="minorHAnsi" w:hAnsiTheme="minorHAnsi" w:cstheme="minorHAnsi"/>
          <w:szCs w:val="24"/>
          <w:lang w:val="es-ES_tradnl"/>
        </w:rPr>
        <w:tab/>
        <w:t>Doc. 6/457(Rev.1)</w:t>
      </w:r>
    </w:p>
    <w:p w:rsidR="00D15F2F" w:rsidRPr="007B5C6A" w:rsidRDefault="00D15F2F" w:rsidP="00D15F2F">
      <w:pPr>
        <w:pStyle w:val="Rectitle"/>
        <w:rPr>
          <w:sz w:val="24"/>
          <w:szCs w:val="24"/>
          <w:lang w:val="es-ES_tradnl"/>
        </w:rPr>
      </w:pPr>
      <w:r w:rsidRPr="007B5C6A">
        <w:rPr>
          <w:lang w:val="es-ES_tradnl"/>
        </w:rPr>
        <w:t xml:space="preserve">Sistema de transmisión en serie por fibra digital para señales conformes </w:t>
      </w:r>
      <w:r>
        <w:rPr>
          <w:lang w:val="es-ES_tradnl"/>
        </w:rPr>
        <w:br/>
      </w:r>
      <w:r w:rsidRPr="007B5C6A">
        <w:rPr>
          <w:lang w:val="es-ES_tradnl"/>
        </w:rPr>
        <w:t xml:space="preserve">a las Recomendaciones UIT-R BT.656, UIT-R BT.799, </w:t>
      </w:r>
      <w:r w:rsidRPr="007B5C6A">
        <w:rPr>
          <w:lang w:val="es-ES_tradnl"/>
        </w:rPr>
        <w:br/>
        <w:t>UIT-R BT.1120 y UIT-R BT.2077 (Parte 3)</w:t>
      </w:r>
    </w:p>
    <w:p w:rsidR="00D15F2F" w:rsidRPr="007B5C6A" w:rsidRDefault="00D15F2F" w:rsidP="00D15F2F">
      <w:pPr>
        <w:rPr>
          <w:szCs w:val="24"/>
          <w:lang w:val="es-ES_tradnl" w:eastAsia="zh-CN"/>
        </w:rPr>
      </w:pPr>
      <w:r w:rsidRPr="007B5C6A">
        <w:rPr>
          <w:szCs w:val="24"/>
          <w:lang w:val="es-ES_tradnl" w:eastAsia="zh-CN"/>
        </w:rPr>
        <w:t>En esta revisión se actualiz</w:t>
      </w:r>
      <w:r>
        <w:rPr>
          <w:szCs w:val="24"/>
          <w:lang w:val="es-ES_tradnl" w:eastAsia="zh-CN"/>
        </w:rPr>
        <w:t>an las referencias normativas (s</w:t>
      </w:r>
      <w:r w:rsidRPr="007B5C6A">
        <w:rPr>
          <w:szCs w:val="24"/>
          <w:lang w:val="es-ES_tradnl" w:eastAsia="zh-CN"/>
        </w:rPr>
        <w:t xml:space="preserve">ección 2) y se incluyen las referencias adecuadas a la Recomendación </w:t>
      </w:r>
      <w:r w:rsidRPr="0008045E">
        <w:rPr>
          <w:szCs w:val="24"/>
          <w:lang w:val="es-ES_tradnl" w:eastAsia="zh-CN"/>
        </w:rPr>
        <w:t>UIT</w:t>
      </w:r>
      <w:r w:rsidRPr="007B5C6A">
        <w:rPr>
          <w:szCs w:val="24"/>
          <w:lang w:val="es-ES_tradnl" w:eastAsia="zh-CN"/>
        </w:rPr>
        <w:t>-R 2</w:t>
      </w:r>
      <w:r>
        <w:rPr>
          <w:szCs w:val="24"/>
          <w:lang w:val="es-ES_tradnl" w:eastAsia="zh-CN"/>
        </w:rPr>
        <w:t>077. Además, se añade un nuevo a</w:t>
      </w:r>
      <w:r w:rsidRPr="007B5C6A">
        <w:rPr>
          <w:szCs w:val="24"/>
          <w:lang w:val="es-ES_tradnl" w:eastAsia="zh-CN"/>
        </w:rPr>
        <w:t>péndice para explicar la multiplexación óptica y el balance de enlace. Los cambios propuestos no afectan a las implementaciones actuales.</w:t>
      </w:r>
    </w:p>
    <w:p w:rsidR="00D15F2F" w:rsidRPr="007B5C6A" w:rsidRDefault="00D15F2F" w:rsidP="00D15F2F">
      <w:pPr>
        <w:tabs>
          <w:tab w:val="right" w:pos="9639"/>
        </w:tabs>
        <w:spacing w:before="480"/>
        <w:rPr>
          <w:rFonts w:asciiTheme="minorHAnsi" w:hAnsiTheme="minorHAnsi" w:cstheme="minorHAnsi"/>
          <w:szCs w:val="24"/>
          <w:lang w:val="es-ES_tradnl"/>
        </w:rPr>
      </w:pPr>
      <w:r w:rsidRPr="007B5C6A">
        <w:rPr>
          <w:rFonts w:asciiTheme="minorHAnsi" w:hAnsiTheme="minorHAnsi" w:cstheme="minorHAnsi"/>
          <w:szCs w:val="24"/>
          <w:u w:val="single"/>
          <w:lang w:val="es-ES_tradnl"/>
        </w:rPr>
        <w:t>Proyecto de revisión de la Recomendación UIT-R BS.1196-4</w:t>
      </w:r>
      <w:r w:rsidRPr="007B5C6A">
        <w:rPr>
          <w:rFonts w:asciiTheme="minorHAnsi" w:hAnsiTheme="minorHAnsi" w:cstheme="minorHAnsi"/>
          <w:szCs w:val="24"/>
          <w:lang w:val="es-ES_tradnl"/>
        </w:rPr>
        <w:tab/>
        <w:t>Doc. 6/458(Rev.1)</w:t>
      </w:r>
    </w:p>
    <w:p w:rsidR="00D15F2F" w:rsidRPr="007B5C6A" w:rsidRDefault="00D15F2F" w:rsidP="00D15F2F">
      <w:pPr>
        <w:pStyle w:val="Rectitle"/>
        <w:rPr>
          <w:lang w:val="es-ES_tradnl" w:eastAsia="ja-JP"/>
        </w:rPr>
      </w:pPr>
      <w:r w:rsidRPr="007B5C6A">
        <w:rPr>
          <w:lang w:val="es-ES_tradnl" w:eastAsia="ja-JP"/>
        </w:rPr>
        <w:t>Codificación de audio para la radiodifusión digital</w:t>
      </w:r>
    </w:p>
    <w:p w:rsidR="00D15F2F" w:rsidRPr="007B5C6A" w:rsidRDefault="00D15F2F" w:rsidP="00D15F2F">
      <w:pPr>
        <w:rPr>
          <w:szCs w:val="24"/>
          <w:lang w:val="es-ES_tradnl" w:eastAsia="ja-JP"/>
        </w:rPr>
      </w:pPr>
      <w:r w:rsidRPr="007B5C6A">
        <w:rPr>
          <w:szCs w:val="24"/>
          <w:lang w:val="es-ES_tradnl" w:eastAsia="ja-JP"/>
        </w:rPr>
        <w:t>En esta revisión se añade el nuevo Apéndice 6 que especifica las configuraciones de canal ampliadas para la codificación MPEG. La lista de configuraciones de canal se publicó en los puntos de codificación ind</w:t>
      </w:r>
      <w:r>
        <w:rPr>
          <w:szCs w:val="24"/>
          <w:lang w:val="es-ES_tradnl" w:eastAsia="ja-JP"/>
        </w:rPr>
        <w:t>ependientes del código, ISO/CEI</w:t>
      </w:r>
      <w:r w:rsidRPr="007B5C6A">
        <w:rPr>
          <w:szCs w:val="24"/>
          <w:lang w:val="es-ES_tradnl" w:eastAsia="ja-JP"/>
        </w:rPr>
        <w:t xml:space="preserve">23001-8:2013/Amd.1:2015. Además, en el </w:t>
      </w:r>
      <w:r>
        <w:rPr>
          <w:szCs w:val="24"/>
          <w:lang w:val="es-ES_tradnl" w:eastAsia="ja-JP"/>
        </w:rPr>
        <w:t>«</w:t>
      </w:r>
      <w:r w:rsidRPr="007B5C6A">
        <w:rPr>
          <w:i/>
          <w:szCs w:val="24"/>
          <w:lang w:val="es-ES_tradnl" w:eastAsia="ja-JP"/>
        </w:rPr>
        <w:t>recomienda</w:t>
      </w:r>
      <w:r>
        <w:rPr>
          <w:szCs w:val="24"/>
          <w:lang w:val="es-ES_tradnl" w:eastAsia="ja-JP"/>
        </w:rPr>
        <w:t>»</w:t>
      </w:r>
      <w:r w:rsidRPr="007B5C6A">
        <w:rPr>
          <w:szCs w:val="24"/>
          <w:lang w:val="es-ES_tradnl" w:eastAsia="ja-JP"/>
        </w:rPr>
        <w:t xml:space="preserve"> se actualiza la referencia </w:t>
      </w:r>
      <w:r>
        <w:rPr>
          <w:szCs w:val="24"/>
          <w:lang w:val="es-ES_tradnl" w:eastAsia="ja-JP"/>
        </w:rPr>
        <w:t xml:space="preserve">de </w:t>
      </w:r>
      <w:r w:rsidRPr="007B5C6A">
        <w:rPr>
          <w:szCs w:val="24"/>
          <w:lang w:val="es-ES_tradnl" w:eastAsia="ja-JP"/>
        </w:rPr>
        <w:t xml:space="preserve">la última versión de la </w:t>
      </w:r>
      <w:r w:rsidRPr="007B5C6A">
        <w:rPr>
          <w:szCs w:val="24"/>
          <w:lang w:val="es-ES_tradnl"/>
        </w:rPr>
        <w:t>ETSI TS 102 366.</w:t>
      </w:r>
    </w:p>
    <w:p w:rsidR="00D15F2F" w:rsidRPr="007B5C6A" w:rsidRDefault="00D15F2F" w:rsidP="00D15F2F">
      <w:pPr>
        <w:pStyle w:val="Reasons"/>
        <w:rPr>
          <w:lang w:val="es-ES_tradnl"/>
        </w:rPr>
      </w:pPr>
    </w:p>
    <w:p w:rsidR="00FE4822" w:rsidRPr="00394A50" w:rsidRDefault="00D15F2F" w:rsidP="00D15F2F">
      <w:pPr>
        <w:jc w:val="center"/>
        <w:rPr>
          <w:lang w:val="es-ES_tradnl"/>
        </w:rPr>
      </w:pPr>
      <w:r w:rsidRPr="007B5C6A">
        <w:rPr>
          <w:lang w:val="es-ES_tradnl"/>
        </w:rPr>
        <w:t>______________</w:t>
      </w:r>
    </w:p>
    <w:sectPr w:rsidR="00FE4822" w:rsidRPr="00394A50" w:rsidSect="00031E64">
      <w:headerReference w:type="even" r:id="rId31"/>
      <w:headerReference w:type="default" r:id="rId32"/>
      <w:headerReference w:type="first" r:id="rId33"/>
      <w:footerReference w:type="first" r:id="rId3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2B" w:rsidRDefault="0095222B">
      <w:r>
        <w:separator/>
      </w:r>
    </w:p>
  </w:endnote>
  <w:endnote w:type="continuationSeparator" w:id="0">
    <w:p w:rsidR="0095222B" w:rsidRDefault="0095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sidR="00E327A1">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2B" w:rsidRDefault="0095222B">
      <w:r>
        <w:t>____________________</w:t>
      </w:r>
    </w:p>
  </w:footnote>
  <w:footnote w:type="continuationSeparator" w:id="0">
    <w:p w:rsidR="0095222B" w:rsidRDefault="0095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95222B">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DE187B">
      <w:rPr>
        <w:rStyle w:val="PageNumber"/>
        <w:noProof/>
        <w:sz w:val="18"/>
        <w:szCs w:val="16"/>
      </w:rPr>
      <w:t>8</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605D4" w:rsidRDefault="003605D4" w:rsidP="003605D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E187B">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5222B"/>
    <w:rsid w:val="00006A31"/>
    <w:rsid w:val="00006C82"/>
    <w:rsid w:val="00007BD0"/>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5311"/>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2793"/>
    <w:rsid w:val="00134404"/>
    <w:rsid w:val="00144DFB"/>
    <w:rsid w:val="0015105F"/>
    <w:rsid w:val="0018371C"/>
    <w:rsid w:val="00187CA3"/>
    <w:rsid w:val="00190CE2"/>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05D4"/>
    <w:rsid w:val="003666FF"/>
    <w:rsid w:val="0037309C"/>
    <w:rsid w:val="00380A6E"/>
    <w:rsid w:val="003836D4"/>
    <w:rsid w:val="00394A50"/>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36BC"/>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4F7CD3"/>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3144"/>
    <w:rsid w:val="005D3669"/>
    <w:rsid w:val="005E5EB3"/>
    <w:rsid w:val="005F22E6"/>
    <w:rsid w:val="005F3CB6"/>
    <w:rsid w:val="005F657C"/>
    <w:rsid w:val="00602D53"/>
    <w:rsid w:val="006047E5"/>
    <w:rsid w:val="00624BAA"/>
    <w:rsid w:val="00634652"/>
    <w:rsid w:val="0064371D"/>
    <w:rsid w:val="00650543"/>
    <w:rsid w:val="00650B2A"/>
    <w:rsid w:val="00651777"/>
    <w:rsid w:val="006550F8"/>
    <w:rsid w:val="006829F3"/>
    <w:rsid w:val="006A518B"/>
    <w:rsid w:val="006A6904"/>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C4C63"/>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A2721"/>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22B"/>
    <w:rsid w:val="00963D9D"/>
    <w:rsid w:val="0098013E"/>
    <w:rsid w:val="00981B54"/>
    <w:rsid w:val="009842C3"/>
    <w:rsid w:val="009A009A"/>
    <w:rsid w:val="009A6BB6"/>
    <w:rsid w:val="009B3F43"/>
    <w:rsid w:val="009B4778"/>
    <w:rsid w:val="009B5CFA"/>
    <w:rsid w:val="009C161F"/>
    <w:rsid w:val="009C56B4"/>
    <w:rsid w:val="009D51A2"/>
    <w:rsid w:val="009E04A8"/>
    <w:rsid w:val="009E4595"/>
    <w:rsid w:val="009E4AEC"/>
    <w:rsid w:val="009E5BD8"/>
    <w:rsid w:val="009E681E"/>
    <w:rsid w:val="00A05201"/>
    <w:rsid w:val="00A119E6"/>
    <w:rsid w:val="00A20FBC"/>
    <w:rsid w:val="00A31370"/>
    <w:rsid w:val="00A34D6F"/>
    <w:rsid w:val="00A41F91"/>
    <w:rsid w:val="00A56416"/>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02AAA"/>
    <w:rsid w:val="00B34CF9"/>
    <w:rsid w:val="00B37559"/>
    <w:rsid w:val="00B4054B"/>
    <w:rsid w:val="00B579B0"/>
    <w:rsid w:val="00B57D11"/>
    <w:rsid w:val="00B649D7"/>
    <w:rsid w:val="00B81C2F"/>
    <w:rsid w:val="00B8607B"/>
    <w:rsid w:val="00B90743"/>
    <w:rsid w:val="00B90C45"/>
    <w:rsid w:val="00B933BE"/>
    <w:rsid w:val="00BD6738"/>
    <w:rsid w:val="00BD7E5E"/>
    <w:rsid w:val="00BE5D33"/>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5F2F"/>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187B"/>
    <w:rsid w:val="00DE66A5"/>
    <w:rsid w:val="00DF2B50"/>
    <w:rsid w:val="00E01059"/>
    <w:rsid w:val="00E04C86"/>
    <w:rsid w:val="00E17344"/>
    <w:rsid w:val="00E20F30"/>
    <w:rsid w:val="00E2189C"/>
    <w:rsid w:val="00E25BB1"/>
    <w:rsid w:val="00E27BBA"/>
    <w:rsid w:val="00E30E3F"/>
    <w:rsid w:val="00E327A1"/>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F160AF6-9005-430D-87FB-17870377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rsid w:val="0095222B"/>
    <w:rPr>
      <w:color w:val="0000FF"/>
      <w:szCs w:val="24"/>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link w:val="Rectitle"/>
    <w:uiPriority w:val="99"/>
    <w:rsid w:val="003605D4"/>
    <w:rPr>
      <w:b/>
      <w:sz w:val="28"/>
      <w:szCs w:val="22"/>
      <w:lang w:val="en-US" w:eastAsia="en-US"/>
    </w:rPr>
  </w:style>
  <w:style w:type="paragraph" w:customStyle="1" w:styleId="Summary">
    <w:name w:val="Summary"/>
    <w:basedOn w:val="Normal"/>
    <w:next w:val="Normalaftertitle"/>
    <w:link w:val="SummaryChar"/>
    <w:rsid w:val="003605D4"/>
    <w:pPr>
      <w:spacing w:before="120" w:after="480" w:line="240" w:lineRule="auto"/>
    </w:pPr>
    <w:rPr>
      <w:rFonts w:ascii="Times New Roman" w:eastAsia="MS Mincho" w:hAnsi="Times New Roman" w:cs="Times New Roman"/>
      <w:sz w:val="22"/>
      <w:szCs w:val="20"/>
      <w:lang w:val="es-ES_tradnl"/>
    </w:rPr>
  </w:style>
  <w:style w:type="character" w:customStyle="1" w:styleId="SummaryChar">
    <w:name w:val="Summary Char"/>
    <w:basedOn w:val="DefaultParagraphFont"/>
    <w:link w:val="Summary"/>
    <w:rsid w:val="003605D4"/>
    <w:rPr>
      <w:rFonts w:ascii="Times New Roman" w:eastAsia="MS Mincho" w:hAnsi="Times New Roman" w:cs="Times New Roman"/>
      <w:sz w:val="22"/>
      <w:lang w:val="es-ES_tradnl" w:eastAsia="en-US"/>
    </w:rPr>
  </w:style>
  <w:style w:type="character" w:customStyle="1" w:styleId="st">
    <w:name w:val="st"/>
    <w:basedOn w:val="DefaultParagraphFont"/>
    <w:rsid w:val="003605D4"/>
  </w:style>
  <w:style w:type="character" w:styleId="Emphasis">
    <w:name w:val="Emphasis"/>
    <w:basedOn w:val="DefaultParagraphFont"/>
    <w:qFormat/>
    <w:rsid w:val="003605D4"/>
    <w:rPr>
      <w:i/>
      <w:iCs/>
    </w:rPr>
  </w:style>
  <w:style w:type="paragraph" w:customStyle="1" w:styleId="Reasons">
    <w:name w:val="Reasons"/>
    <w:basedOn w:val="Normal"/>
    <w:qFormat/>
    <w:rsid w:val="003605D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uiPriority w:val="99"/>
    <w:rsid w:val="00394A50"/>
    <w:pPr>
      <w:keepNext/>
      <w:keepLines/>
      <w:spacing w:before="480" w:line="240" w:lineRule="auto"/>
      <w:jc w:val="center"/>
    </w:pPr>
    <w:rPr>
      <w:rFonts w:ascii="Times New Roman" w:hAnsi="Times New Roman" w:cs="Times New Roman"/>
      <w:b/>
      <w:sz w:val="28"/>
      <w:szCs w:val="20"/>
      <w:lang w:val="en-GB"/>
    </w:rPr>
  </w:style>
  <w:style w:type="character" w:customStyle="1" w:styleId="h21">
    <w:name w:val="h21"/>
    <w:basedOn w:val="DefaultParagraphFont"/>
    <w:rsid w:val="00634652"/>
    <w:rPr>
      <w:b/>
      <w:bCs/>
      <w:color w:val="3366CC"/>
      <w:sz w:val="36"/>
      <w:szCs w:val="36"/>
    </w:rPr>
  </w:style>
  <w:style w:type="character" w:customStyle="1" w:styleId="enumlev1Char">
    <w:name w:val="enumlev1 Char"/>
    <w:basedOn w:val="DefaultParagraphFont"/>
    <w:link w:val="enumlev1"/>
    <w:rsid w:val="00D15F2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6-C-0415/en" TargetMode="External"/><Relationship Id="rId18" Type="http://schemas.openxmlformats.org/officeDocument/2006/relationships/hyperlink" Target="http://www.itu.int/md/R12-SG06-C-0436/en" TargetMode="External"/><Relationship Id="rId26" Type="http://schemas.openxmlformats.org/officeDocument/2006/relationships/hyperlink" Target="http://www.itu.int/md/R12-SG06-C-0458/en" TargetMode="External"/><Relationship Id="rId3" Type="http://schemas.openxmlformats.org/officeDocument/2006/relationships/styles" Target="styles.xml"/><Relationship Id="rId21" Type="http://schemas.openxmlformats.org/officeDocument/2006/relationships/hyperlink" Target="http://www.itu.int/md/R12-SG06-C-0450/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2-SG06-C-0413/en" TargetMode="External"/><Relationship Id="rId17" Type="http://schemas.openxmlformats.org/officeDocument/2006/relationships/hyperlink" Target="http://www.itu.int/md/R12-SG06-C-0427/en" TargetMode="External"/><Relationship Id="rId25" Type="http://schemas.openxmlformats.org/officeDocument/2006/relationships/hyperlink" Target="http://www.itu.int/md/R12-SG06-C-0457/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2-SG06-C-0423/en" TargetMode="External"/><Relationship Id="rId20" Type="http://schemas.openxmlformats.org/officeDocument/2006/relationships/hyperlink" Target="http://www.itu.int/md/R12-SG06-C-0443/en" TargetMode="External"/><Relationship Id="rId29" Type="http://schemas.openxmlformats.org/officeDocument/2006/relationships/hyperlink" Target="http://www.itu.int/rec/R-REC-BT.20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412/en" TargetMode="External"/><Relationship Id="rId24" Type="http://schemas.openxmlformats.org/officeDocument/2006/relationships/hyperlink" Target="http://www.itu.int/md/R12-SG06-C-0456/e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R12-SG06-C-0421/en" TargetMode="External"/><Relationship Id="rId23" Type="http://schemas.openxmlformats.org/officeDocument/2006/relationships/hyperlink" Target="http://www.itu.int/md/R12-SG06-C-0455/en" TargetMode="External"/><Relationship Id="rId28" Type="http://schemas.openxmlformats.org/officeDocument/2006/relationships/hyperlink" Target="http://www.itu.int/rec/R-REC-BT.709/en" TargetMode="External"/><Relationship Id="rId36" Type="http://schemas.openxmlformats.org/officeDocument/2006/relationships/theme" Target="theme/theme1.xml"/><Relationship Id="rId10" Type="http://schemas.openxmlformats.org/officeDocument/2006/relationships/hyperlink" Target="http://www.itu.int/md/R12-SG06-C-0411/en" TargetMode="External"/><Relationship Id="rId19" Type="http://schemas.openxmlformats.org/officeDocument/2006/relationships/hyperlink" Target="http://www.itu.int/md/R12-SG06-C-0439/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6-C-0417/en" TargetMode="External"/><Relationship Id="rId22" Type="http://schemas.openxmlformats.org/officeDocument/2006/relationships/hyperlink" Target="http://www.itu.int/md/R12-SG06-C-0454/en" TargetMode="External"/><Relationship Id="rId27" Type="http://schemas.openxmlformats.org/officeDocument/2006/relationships/hyperlink" Target="http://www.itu.int/md/R12-sg06-c/" TargetMode="External"/><Relationship Id="rId30" Type="http://schemas.openxmlformats.org/officeDocument/2006/relationships/hyperlink" Target="http://www.itu.int/pub/R-REP-BT.224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FED2-2951-4577-83DD-1022A789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21</TotalTime>
  <Pages>8</Pages>
  <Words>2407</Words>
  <Characters>14888</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17261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11</cp:revision>
  <cp:lastPrinted>2015-07-29T11:41:00Z</cp:lastPrinted>
  <dcterms:created xsi:type="dcterms:W3CDTF">2015-08-04T08:56:00Z</dcterms:created>
  <dcterms:modified xsi:type="dcterms:W3CDTF">2015-08-12T12:48:00Z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