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81AB9" w:rsidTr="00034340">
        <w:tc>
          <w:tcPr>
            <w:tcW w:w="7054" w:type="dxa"/>
            <w:gridSpan w:val="2"/>
            <w:shd w:val="clear" w:color="auto" w:fill="auto"/>
          </w:tcPr>
          <w:p w:rsidR="00C76D7F" w:rsidRPr="00F81AB9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F81AB9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F81AB9">
              <w:rPr>
                <w:szCs w:val="24"/>
                <w:lang w:val="fr-CH"/>
              </w:rPr>
              <w:t>C</w:t>
            </w:r>
            <w:r w:rsidR="00C76D7F" w:rsidRPr="00F81AB9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F81AB9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81AB9">
              <w:rPr>
                <w:b/>
                <w:bCs/>
                <w:szCs w:val="24"/>
                <w:lang w:val="fr-CH"/>
              </w:rPr>
              <w:t>CA</w:t>
            </w:r>
            <w:r w:rsidR="00264B75" w:rsidRPr="00F81AB9">
              <w:rPr>
                <w:b/>
                <w:bCs/>
                <w:szCs w:val="24"/>
                <w:lang w:val="fr-CH"/>
              </w:rPr>
              <w:t>CE</w:t>
            </w:r>
            <w:r w:rsidR="003836D4" w:rsidRPr="00F81AB9">
              <w:rPr>
                <w:b/>
                <w:bCs/>
                <w:szCs w:val="24"/>
                <w:lang w:val="fr-CH"/>
              </w:rPr>
              <w:t>/</w:t>
            </w:r>
            <w:r w:rsidR="00FF612D">
              <w:rPr>
                <w:b/>
                <w:bCs/>
                <w:szCs w:val="24"/>
                <w:lang w:val="fr-CH"/>
              </w:rPr>
              <w:t>755</w:t>
            </w:r>
          </w:p>
        </w:tc>
        <w:tc>
          <w:tcPr>
            <w:tcW w:w="2835" w:type="dxa"/>
            <w:shd w:val="clear" w:color="auto" w:fill="auto"/>
          </w:tcPr>
          <w:p w:rsidR="00651777" w:rsidRPr="00F81AB9" w:rsidRDefault="00F81AB9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F81AB9">
              <w:rPr>
                <w:szCs w:val="24"/>
                <w:lang w:val="en-GB"/>
              </w:rPr>
              <w:t>7 October 2015</w:t>
            </w:r>
          </w:p>
        </w:tc>
      </w:tr>
      <w:tr w:rsidR="0037309C" w:rsidRPr="00F81AB9" w:rsidTr="004D02EC">
        <w:tc>
          <w:tcPr>
            <w:tcW w:w="9889" w:type="dxa"/>
            <w:gridSpan w:val="3"/>
            <w:shd w:val="clear" w:color="auto" w:fill="auto"/>
          </w:tcPr>
          <w:p w:rsidR="0037309C" w:rsidRPr="00F81AB9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F81AB9" w:rsidTr="00D374CD">
        <w:tc>
          <w:tcPr>
            <w:tcW w:w="9889" w:type="dxa"/>
            <w:gridSpan w:val="3"/>
            <w:shd w:val="clear" w:color="auto" w:fill="auto"/>
          </w:tcPr>
          <w:p w:rsidR="0037309C" w:rsidRPr="00F81AB9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81AB9" w:rsidTr="004D02EC">
        <w:tc>
          <w:tcPr>
            <w:tcW w:w="9889" w:type="dxa"/>
            <w:gridSpan w:val="3"/>
            <w:shd w:val="clear" w:color="auto" w:fill="auto"/>
          </w:tcPr>
          <w:p w:rsidR="00D21694" w:rsidRPr="00F81AB9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F81AB9">
              <w:rPr>
                <w:b/>
                <w:bCs/>
                <w:szCs w:val="24"/>
              </w:rPr>
              <w:t>To Administrations of Member States of the ITU,</w:t>
            </w:r>
            <w:r w:rsidR="008B35A3" w:rsidRPr="00F81AB9">
              <w:rPr>
                <w:b/>
                <w:bCs/>
                <w:szCs w:val="24"/>
              </w:rPr>
              <w:t xml:space="preserve"> </w:t>
            </w:r>
            <w:r w:rsidR="00264B75" w:rsidRPr="00F81AB9">
              <w:rPr>
                <w:b/>
                <w:bCs/>
              </w:rPr>
              <w:t>Radiocommunication Sector Members</w:t>
            </w:r>
            <w:r w:rsidR="00DB0E17" w:rsidRPr="00F81AB9">
              <w:rPr>
                <w:b/>
                <w:bCs/>
              </w:rPr>
              <w:t xml:space="preserve"> and</w:t>
            </w:r>
            <w:r w:rsidR="00264B75" w:rsidRPr="00F81AB9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F81AB9" w:rsidRPr="00F81AB9">
              <w:rPr>
                <w:b/>
                <w:bCs/>
              </w:rPr>
              <w:t>5</w:t>
            </w:r>
          </w:p>
        </w:tc>
      </w:tr>
      <w:tr w:rsidR="0037309C" w:rsidRPr="00F81AB9" w:rsidTr="004D02EC">
        <w:tc>
          <w:tcPr>
            <w:tcW w:w="9889" w:type="dxa"/>
            <w:gridSpan w:val="3"/>
            <w:shd w:val="clear" w:color="auto" w:fill="auto"/>
          </w:tcPr>
          <w:p w:rsidR="0037309C" w:rsidRPr="00F81AB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F81AB9" w:rsidTr="004D02EC">
        <w:tc>
          <w:tcPr>
            <w:tcW w:w="9889" w:type="dxa"/>
            <w:gridSpan w:val="3"/>
            <w:shd w:val="clear" w:color="auto" w:fill="auto"/>
          </w:tcPr>
          <w:p w:rsidR="0037309C" w:rsidRPr="00F81AB9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F81AB9" w:rsidTr="0037309C">
        <w:tc>
          <w:tcPr>
            <w:tcW w:w="1526" w:type="dxa"/>
            <w:shd w:val="clear" w:color="auto" w:fill="auto"/>
          </w:tcPr>
          <w:p w:rsidR="00B4054B" w:rsidRPr="00F81AB9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F81AB9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F81AB9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F81AB9">
              <w:rPr>
                <w:b/>
                <w:bCs/>
              </w:rPr>
              <w:t xml:space="preserve">Radiocommunication Study Group </w:t>
            </w:r>
            <w:r w:rsidR="00F81AB9" w:rsidRPr="00F81AB9">
              <w:rPr>
                <w:b/>
                <w:bCs/>
              </w:rPr>
              <w:t>5 (Terrestrial services)</w:t>
            </w:r>
          </w:p>
          <w:p w:rsidR="00B4054B" w:rsidRPr="00F81AB9" w:rsidRDefault="00DB0E17" w:rsidP="00FF61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rPr>
                <w:b/>
                <w:bCs/>
                <w:szCs w:val="24"/>
                <w:lang w:val="en-GB"/>
              </w:rPr>
            </w:pPr>
            <w:r w:rsidRPr="00F81AB9">
              <w:rPr>
                <w:b/>
                <w:bCs/>
              </w:rPr>
              <w:t>–</w:t>
            </w:r>
            <w:r w:rsidRPr="00F81AB9">
              <w:rPr>
                <w:b/>
                <w:bCs/>
              </w:rPr>
              <w:tab/>
              <w:t xml:space="preserve">Adoption of </w:t>
            </w:r>
            <w:r w:rsidR="00F81AB9" w:rsidRPr="00F81AB9">
              <w:rPr>
                <w:b/>
                <w:bCs/>
              </w:rPr>
              <w:t xml:space="preserve">3 </w:t>
            </w:r>
            <w:r w:rsidRPr="00F81AB9">
              <w:rPr>
                <w:b/>
                <w:bCs/>
              </w:rPr>
              <w:t xml:space="preserve">new ITU-R Recommendations and </w:t>
            </w:r>
            <w:r w:rsidR="00F81AB9" w:rsidRPr="00F81AB9">
              <w:rPr>
                <w:b/>
                <w:bCs/>
              </w:rPr>
              <w:t>8</w:t>
            </w:r>
            <w:r w:rsidRPr="00F81AB9">
              <w:rPr>
                <w:b/>
                <w:bCs/>
              </w:rPr>
              <w:t xml:space="preserve"> revised ITU-R Recommendations and their simultaneous approval by correspondence in accordance with § 10.3 of Resolution ITU-R 1-6 (Procedure for the simultaneous adoption and approval by correspondence)</w:t>
            </w:r>
          </w:p>
        </w:tc>
      </w:tr>
      <w:tr w:rsidR="00B4054B" w:rsidRPr="00F81AB9" w:rsidTr="006A0053">
        <w:tc>
          <w:tcPr>
            <w:tcW w:w="1526" w:type="dxa"/>
            <w:shd w:val="clear" w:color="auto" w:fill="auto"/>
          </w:tcPr>
          <w:p w:rsidR="00B4054B" w:rsidRPr="00F81AB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81AB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F81AB9" w:rsidTr="006A0053">
        <w:tc>
          <w:tcPr>
            <w:tcW w:w="1526" w:type="dxa"/>
            <w:shd w:val="clear" w:color="auto" w:fill="auto"/>
          </w:tcPr>
          <w:p w:rsidR="00B4054B" w:rsidRPr="00F81AB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81AB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:rsidR="002A5DD7" w:rsidRPr="00F81AB9" w:rsidRDefault="002A5DD7" w:rsidP="00F81AB9">
      <w:pPr>
        <w:spacing w:before="0" w:line="240" w:lineRule="auto"/>
        <w:rPr>
          <w:szCs w:val="24"/>
        </w:rPr>
      </w:pPr>
    </w:p>
    <w:p w:rsidR="00264B75" w:rsidRPr="00F81AB9" w:rsidRDefault="00264B75">
      <w:pPr>
        <w:pStyle w:val="Normalaftertitle"/>
        <w:spacing w:before="160"/>
      </w:pPr>
      <w:r w:rsidRPr="00F81AB9">
        <w:t>By Administrative Circular CACE/</w:t>
      </w:r>
      <w:r w:rsidR="00F81AB9" w:rsidRPr="00F81AB9">
        <w:t xml:space="preserve">741 </w:t>
      </w:r>
      <w:r w:rsidRPr="00F81AB9">
        <w:t>dated</w:t>
      </w:r>
      <w:r w:rsidR="00FF612D">
        <w:t xml:space="preserve"> </w:t>
      </w:r>
      <w:r w:rsidR="00F81AB9" w:rsidRPr="00F81AB9">
        <w:t>30 July 2015</w:t>
      </w:r>
      <w:r w:rsidRPr="00F81AB9">
        <w:t xml:space="preserve">, </w:t>
      </w:r>
      <w:r w:rsidR="00F81AB9" w:rsidRPr="00F81AB9">
        <w:t xml:space="preserve">3 </w:t>
      </w:r>
      <w:r w:rsidRPr="00F81AB9">
        <w:t xml:space="preserve">draft new ITU-R Recommendations and </w:t>
      </w:r>
      <w:r w:rsidR="00F81AB9" w:rsidRPr="00F81AB9">
        <w:t>8</w:t>
      </w:r>
      <w:r w:rsidRPr="00F81AB9">
        <w:t> draft revised ITU-R Recommendations were submitted for simultaneous adoption and approval by correspondence (PSAA), following the procedure of Resolution ITU</w:t>
      </w:r>
      <w:r w:rsidRPr="00F81AB9">
        <w:noBreakHyphen/>
        <w:t>R 1</w:t>
      </w:r>
      <w:r w:rsidRPr="00F81AB9">
        <w:noBreakHyphen/>
        <w:t xml:space="preserve">6 (§ 10.3). </w:t>
      </w:r>
    </w:p>
    <w:p w:rsidR="00264B75" w:rsidRPr="00F81AB9" w:rsidRDefault="00264B75">
      <w:r w:rsidRPr="00F81AB9">
        <w:t>The conditions governing this procedure were met on</w:t>
      </w:r>
      <w:r w:rsidR="00FF612D">
        <w:t xml:space="preserve"> </w:t>
      </w:r>
      <w:r w:rsidR="00F81AB9" w:rsidRPr="00F81AB9">
        <w:t>30 September 2015</w:t>
      </w:r>
      <w:r w:rsidRPr="00F81AB9">
        <w:t>.</w:t>
      </w:r>
    </w:p>
    <w:p w:rsidR="00DB0E17" w:rsidRPr="00F81AB9" w:rsidRDefault="00264B75">
      <w:pPr>
        <w:tabs>
          <w:tab w:val="left" w:pos="7938"/>
        </w:tabs>
      </w:pPr>
      <w:r w:rsidRPr="00F81AB9">
        <w:t xml:space="preserve">The approved Recommendations will be published by the ITU and </w:t>
      </w:r>
      <w:r w:rsidR="00F81AB9" w:rsidRPr="00F81AB9">
        <w:t xml:space="preserve">the </w:t>
      </w:r>
      <w:r w:rsidRPr="00F81AB9">
        <w:t xml:space="preserve">Annex to this Circular provides their titles, with the assigned numbers. </w:t>
      </w:r>
    </w:p>
    <w:p w:rsidR="00DB0E17" w:rsidRPr="00FF612D" w:rsidRDefault="00DB0E17" w:rsidP="00F81AB9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FF612D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FF612D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FF612D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FF612D" w:rsidRDefault="00FF612D">
      <w:pPr>
        <w:tabs>
          <w:tab w:val="left" w:pos="4820"/>
        </w:tabs>
        <w:spacing w:before="0"/>
        <w:rPr>
          <w:b/>
          <w:lang w:val="fr-CH"/>
        </w:rPr>
      </w:pPr>
    </w:p>
    <w:p w:rsidR="00FF612D" w:rsidRDefault="00FF612D">
      <w:pPr>
        <w:tabs>
          <w:tab w:val="left" w:pos="4820"/>
        </w:tabs>
        <w:spacing w:before="0"/>
        <w:rPr>
          <w:b/>
          <w:lang w:val="fr-CH"/>
        </w:rPr>
      </w:pPr>
    </w:p>
    <w:p w:rsidR="00264B75" w:rsidRPr="00FF612D" w:rsidRDefault="00264B75">
      <w:pPr>
        <w:tabs>
          <w:tab w:val="left" w:pos="4820"/>
        </w:tabs>
        <w:spacing w:before="0"/>
        <w:rPr>
          <w:u w:val="single"/>
          <w:lang w:val="fr-CH"/>
        </w:rPr>
      </w:pPr>
      <w:proofErr w:type="spellStart"/>
      <w:r w:rsidRPr="00FF612D">
        <w:rPr>
          <w:b/>
          <w:lang w:val="fr-CH"/>
        </w:rPr>
        <w:t>Annex</w:t>
      </w:r>
      <w:proofErr w:type="spellEnd"/>
      <w:r w:rsidRPr="00FF612D">
        <w:rPr>
          <w:b/>
          <w:lang w:val="fr-CH"/>
        </w:rPr>
        <w:t>:</w:t>
      </w:r>
      <w:r w:rsidRPr="00FF612D">
        <w:rPr>
          <w:lang w:val="fr-CH"/>
        </w:rPr>
        <w:t xml:space="preserve"> </w:t>
      </w:r>
      <w:r w:rsidRPr="00FF612D">
        <w:rPr>
          <w:lang w:val="fr-CH"/>
        </w:rPr>
        <w:tab/>
      </w:r>
      <w:r w:rsidR="00F81AB9" w:rsidRPr="00FF612D">
        <w:rPr>
          <w:lang w:val="fr-CH"/>
        </w:rPr>
        <w:t>1</w:t>
      </w:r>
    </w:p>
    <w:p w:rsidR="00264B75" w:rsidRPr="00FF612D" w:rsidRDefault="00264B75" w:rsidP="00264B75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FF612D">
        <w:rPr>
          <w:b/>
          <w:bCs/>
          <w:sz w:val="18"/>
          <w:szCs w:val="18"/>
          <w:lang w:val="fr-CH"/>
        </w:rPr>
        <w:t>Distribution:</w:t>
      </w:r>
    </w:p>
    <w:p w:rsidR="00264B75" w:rsidRPr="00F81AB9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81AB9">
        <w:rPr>
          <w:rFonts w:asciiTheme="minorHAnsi" w:hAnsiTheme="minorHAnsi" w:cstheme="minorHAnsi"/>
          <w:sz w:val="18"/>
          <w:szCs w:val="18"/>
        </w:rPr>
        <w:t>–</w:t>
      </w:r>
      <w:r w:rsidRPr="00F81AB9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F81AB9" w:rsidRPr="00F81AB9">
        <w:rPr>
          <w:rFonts w:asciiTheme="minorHAnsi" w:hAnsiTheme="minorHAnsi" w:cstheme="minorHAnsi"/>
          <w:sz w:val="18"/>
          <w:szCs w:val="18"/>
        </w:rPr>
        <w:t>5</w:t>
      </w:r>
    </w:p>
    <w:p w:rsidR="00264B75" w:rsidRPr="00F51D6C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81AB9">
        <w:rPr>
          <w:rFonts w:asciiTheme="minorHAnsi" w:hAnsiTheme="minorHAnsi" w:cstheme="minorHAnsi"/>
          <w:sz w:val="18"/>
          <w:szCs w:val="18"/>
        </w:rPr>
        <w:t>–</w:t>
      </w:r>
      <w:r w:rsidRPr="00F81AB9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F81AB9" w:rsidRPr="00F81AB9">
        <w:rPr>
          <w:rFonts w:asciiTheme="minorHAnsi" w:hAnsiTheme="minorHAnsi" w:cstheme="minorHAnsi"/>
          <w:sz w:val="18"/>
          <w:szCs w:val="18"/>
        </w:rPr>
        <w:t>5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264B75" w:rsidRPr="00DB0E17" w:rsidRDefault="00FF612D" w:rsidP="00264B75">
      <w:pPr>
        <w:pStyle w:val="AnnexNotitle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</w:p>
    <w:p w:rsidR="00264B75" w:rsidRPr="00DB0E17" w:rsidRDefault="00264B75">
      <w:pPr>
        <w:pStyle w:val="AnnexNotitle0"/>
        <w:spacing w:before="240"/>
        <w:rPr>
          <w:rFonts w:asciiTheme="minorHAnsi" w:hAnsiTheme="minorHAnsi" w:cstheme="minorHAnsi"/>
        </w:rPr>
      </w:pPr>
      <w:r w:rsidRPr="00B05B7A">
        <w:rPr>
          <w:rFonts w:asciiTheme="minorHAnsi" w:hAnsiTheme="minorHAnsi" w:cstheme="minorHAnsi"/>
        </w:rPr>
        <w:t xml:space="preserve">Titles of the approved </w:t>
      </w:r>
      <w:r w:rsidR="00577251" w:rsidRPr="00B05B7A">
        <w:rPr>
          <w:rFonts w:asciiTheme="minorHAnsi" w:hAnsiTheme="minorHAnsi" w:cstheme="minorHAnsi"/>
        </w:rPr>
        <w:t xml:space="preserve">ITU-R </w:t>
      </w:r>
      <w:r w:rsidRPr="00B05B7A">
        <w:rPr>
          <w:rFonts w:asciiTheme="minorHAnsi" w:hAnsiTheme="minorHAnsi" w:cstheme="minorHAnsi"/>
        </w:rPr>
        <w:t>Recommendations</w:t>
      </w:r>
    </w:p>
    <w:p w:rsidR="00264B75" w:rsidRDefault="00264B75" w:rsidP="00264B75"/>
    <w:p w:rsidR="00F81AB9" w:rsidRPr="00B2565A" w:rsidRDefault="00F81AB9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B2565A">
        <w:rPr>
          <w:rFonts w:asciiTheme="minorHAnsi" w:hAnsiTheme="minorHAnsi" w:cstheme="minorHAnsi"/>
          <w:szCs w:val="24"/>
          <w:u w:val="single"/>
        </w:rPr>
        <w:t>Recommendation ITU-R M.</w:t>
      </w:r>
      <w:r w:rsidR="00B05B7A">
        <w:rPr>
          <w:rFonts w:asciiTheme="minorHAnsi" w:hAnsiTheme="minorHAnsi" w:cstheme="minorHAnsi"/>
          <w:szCs w:val="24"/>
          <w:u w:val="single"/>
        </w:rPr>
        <w:t>2084-0</w:t>
      </w:r>
      <w:r w:rsidRPr="00B2565A">
        <w:rPr>
          <w:rFonts w:asciiTheme="minorHAnsi" w:hAnsiTheme="minorHAnsi" w:cstheme="minorHAnsi"/>
          <w:szCs w:val="24"/>
        </w:rPr>
        <w:tab/>
        <w:t>Doc. 5/222(Rev.1)</w:t>
      </w:r>
    </w:p>
    <w:p w:rsidR="00F81AB9" w:rsidRPr="00B2565A" w:rsidRDefault="00F81AB9" w:rsidP="00F81AB9">
      <w:pPr>
        <w:tabs>
          <w:tab w:val="right" w:pos="9639"/>
        </w:tabs>
        <w:spacing w:before="240"/>
        <w:jc w:val="center"/>
        <w:rPr>
          <w:rStyle w:val="RectitleChar"/>
          <w:rFonts w:asciiTheme="minorHAnsi" w:eastAsia="MS Mincho" w:hAnsiTheme="minorHAnsi" w:cstheme="minorHAnsi"/>
          <w:bCs/>
          <w:szCs w:val="28"/>
        </w:rPr>
      </w:pPr>
      <w:r w:rsidRPr="00B2565A">
        <w:rPr>
          <w:b/>
          <w:bCs/>
          <w:sz w:val="28"/>
          <w:szCs w:val="28"/>
        </w:rPr>
        <w:t>Radio interface standards</w:t>
      </w:r>
      <w:r w:rsidRPr="00B2565A">
        <w:rPr>
          <w:b/>
          <w:bCs/>
          <w:sz w:val="28"/>
          <w:szCs w:val="28"/>
          <w:lang w:eastAsia="ja-JP"/>
        </w:rPr>
        <w:t xml:space="preserve"> of</w:t>
      </w:r>
      <w:r w:rsidRPr="00B2565A">
        <w:rPr>
          <w:b/>
          <w:bCs/>
          <w:sz w:val="28"/>
          <w:szCs w:val="28"/>
        </w:rPr>
        <w:t xml:space="preserve"> </w:t>
      </w:r>
      <w:r w:rsidRPr="00B2565A">
        <w:rPr>
          <w:b/>
          <w:bCs/>
          <w:sz w:val="28"/>
          <w:szCs w:val="28"/>
          <w:lang w:eastAsia="ja-JP"/>
        </w:rPr>
        <w:t>vehicle-to-vehicle and vehicle-to-infrastructure communications</w:t>
      </w:r>
      <w:r w:rsidRPr="00B2565A">
        <w:rPr>
          <w:b/>
          <w:bCs/>
          <w:sz w:val="28"/>
          <w:szCs w:val="28"/>
        </w:rPr>
        <w:t xml:space="preserve"> for </w:t>
      </w:r>
      <w:r w:rsidRPr="00B2565A">
        <w:rPr>
          <w:b/>
          <w:bCs/>
          <w:sz w:val="28"/>
          <w:szCs w:val="28"/>
          <w:lang w:eastAsia="ja-JP"/>
        </w:rPr>
        <w:t>Intelligent Transport System</w:t>
      </w:r>
      <w:r w:rsidRPr="00B2565A">
        <w:rPr>
          <w:b/>
          <w:bCs/>
          <w:sz w:val="28"/>
          <w:szCs w:val="28"/>
        </w:rPr>
        <w:t xml:space="preserve"> applications</w:t>
      </w:r>
    </w:p>
    <w:p w:rsidR="00F81AB9" w:rsidRPr="00B2565A" w:rsidRDefault="00F81AB9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B2565A">
        <w:rPr>
          <w:rFonts w:asciiTheme="minorHAnsi" w:hAnsiTheme="minorHAnsi" w:cstheme="minorHAnsi"/>
          <w:szCs w:val="24"/>
          <w:u w:val="single"/>
        </w:rPr>
        <w:t>Recommendation ITU-R M.</w:t>
      </w:r>
      <w:r w:rsidR="00B05B7A">
        <w:rPr>
          <w:rFonts w:asciiTheme="minorHAnsi" w:hAnsiTheme="minorHAnsi" w:cstheme="minorHAnsi"/>
          <w:szCs w:val="24"/>
          <w:u w:val="single"/>
        </w:rPr>
        <w:t>2085-0</w:t>
      </w:r>
      <w:r w:rsidRPr="00B2565A">
        <w:rPr>
          <w:rFonts w:asciiTheme="minorHAnsi" w:hAnsiTheme="minorHAnsi" w:cstheme="minorHAnsi"/>
          <w:szCs w:val="24"/>
        </w:rPr>
        <w:tab/>
        <w:t>Doc. 5/226(Rev.1)</w:t>
      </w:r>
    </w:p>
    <w:p w:rsidR="00F81AB9" w:rsidRPr="00B2565A" w:rsidRDefault="00F81AB9" w:rsidP="00F81AB9">
      <w:pPr>
        <w:spacing w:before="240"/>
        <w:jc w:val="center"/>
        <w:rPr>
          <w:rStyle w:val="RectitleChar"/>
          <w:rFonts w:asciiTheme="minorHAnsi" w:hAnsiTheme="minorHAnsi" w:cstheme="minorHAnsi"/>
          <w:b w:val="0"/>
          <w:bCs/>
          <w:szCs w:val="28"/>
        </w:rPr>
      </w:pPr>
      <w:r w:rsidRPr="00B2565A">
        <w:rPr>
          <w:b/>
          <w:bCs/>
          <w:sz w:val="28"/>
          <w:szCs w:val="28"/>
        </w:rPr>
        <w:t>Technical conditions for the use of wireless avionics intra-communication</w:t>
      </w:r>
      <w:r w:rsidRPr="00B2565A">
        <w:rPr>
          <w:b/>
          <w:bCs/>
          <w:sz w:val="28"/>
          <w:szCs w:val="28"/>
        </w:rPr>
        <w:br/>
        <w:t>systems operating in the aeronautical mobile (R) service in</w:t>
      </w:r>
      <w:r w:rsidRPr="00B2565A">
        <w:rPr>
          <w:b/>
          <w:bCs/>
          <w:sz w:val="28"/>
          <w:szCs w:val="28"/>
        </w:rPr>
        <w:br/>
        <w:t>the frequency band 4 200- 4 400 MHz</w:t>
      </w:r>
    </w:p>
    <w:p w:rsidR="00F81AB9" w:rsidRPr="00B2565A" w:rsidRDefault="00F81AB9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</w:rPr>
      </w:pPr>
      <w:r w:rsidRPr="00B2565A">
        <w:rPr>
          <w:rFonts w:asciiTheme="minorHAnsi" w:hAnsiTheme="minorHAnsi" w:cstheme="minorHAnsi"/>
          <w:szCs w:val="24"/>
          <w:u w:val="single"/>
        </w:rPr>
        <w:t>Recommendation ITU-R F.</w:t>
      </w:r>
      <w:r w:rsidR="00B05B7A">
        <w:rPr>
          <w:rFonts w:asciiTheme="minorHAnsi" w:hAnsiTheme="minorHAnsi" w:cstheme="minorHAnsi"/>
          <w:szCs w:val="24"/>
          <w:u w:val="single"/>
        </w:rPr>
        <w:t>2086-0</w:t>
      </w:r>
      <w:r w:rsidRPr="00B2565A">
        <w:rPr>
          <w:rFonts w:asciiTheme="minorHAnsi" w:hAnsiTheme="minorHAnsi" w:cstheme="minorHAnsi"/>
          <w:szCs w:val="24"/>
        </w:rPr>
        <w:tab/>
        <w:t>Doc. 5/255(Rev.1)</w:t>
      </w:r>
    </w:p>
    <w:p w:rsidR="00F81AB9" w:rsidRPr="00B2565A" w:rsidRDefault="00F81AB9" w:rsidP="00F81AB9">
      <w:pPr>
        <w:spacing w:before="240"/>
        <w:jc w:val="center"/>
        <w:rPr>
          <w:b/>
          <w:bCs/>
          <w:sz w:val="28"/>
          <w:szCs w:val="28"/>
        </w:rPr>
      </w:pPr>
      <w:r w:rsidRPr="00B2565A">
        <w:rPr>
          <w:b/>
          <w:bCs/>
          <w:sz w:val="28"/>
          <w:szCs w:val="28"/>
        </w:rPr>
        <w:t>Deployment scenarios for point-to-point systems in the fixed service</w:t>
      </w:r>
    </w:p>
    <w:p w:rsidR="00F81AB9" w:rsidRPr="00B2565A" w:rsidRDefault="00F81AB9">
      <w:pPr>
        <w:tabs>
          <w:tab w:val="right" w:pos="9639"/>
        </w:tabs>
        <w:spacing w:before="480"/>
        <w:rPr>
          <w:szCs w:val="24"/>
        </w:rPr>
      </w:pPr>
      <w:r w:rsidRPr="00B2565A">
        <w:rPr>
          <w:szCs w:val="24"/>
          <w:u w:val="single"/>
        </w:rPr>
        <w:t>Recommendation ITU-R M.1544-</w:t>
      </w:r>
      <w:r w:rsidR="00B05B7A">
        <w:rPr>
          <w:szCs w:val="24"/>
          <w:u w:val="single"/>
        </w:rPr>
        <w:t>1</w:t>
      </w:r>
      <w:r w:rsidRPr="00B2565A">
        <w:rPr>
          <w:szCs w:val="24"/>
        </w:rPr>
        <w:tab/>
        <w:t>Doc. 5/221(Rev.1)</w:t>
      </w:r>
    </w:p>
    <w:p w:rsidR="00F81AB9" w:rsidRPr="00B2565A" w:rsidRDefault="00F81AB9" w:rsidP="00F81AB9">
      <w:pPr>
        <w:tabs>
          <w:tab w:val="right" w:pos="9639"/>
        </w:tabs>
        <w:spacing w:before="240"/>
        <w:jc w:val="center"/>
        <w:rPr>
          <w:b/>
          <w:bCs/>
          <w:sz w:val="28"/>
          <w:szCs w:val="28"/>
        </w:rPr>
      </w:pPr>
      <w:r w:rsidRPr="00B2565A">
        <w:rPr>
          <w:b/>
          <w:bCs/>
          <w:sz w:val="28"/>
          <w:szCs w:val="28"/>
        </w:rPr>
        <w:t>Minimum qualifications of radio amateurs</w:t>
      </w:r>
    </w:p>
    <w:p w:rsidR="00F81AB9" w:rsidRPr="00B2565A" w:rsidRDefault="00F81AB9">
      <w:pPr>
        <w:tabs>
          <w:tab w:val="right" w:pos="9639"/>
        </w:tabs>
        <w:spacing w:before="480"/>
        <w:rPr>
          <w:szCs w:val="24"/>
        </w:rPr>
      </w:pPr>
      <w:r w:rsidRPr="00B2565A">
        <w:rPr>
          <w:szCs w:val="24"/>
          <w:u w:val="single"/>
        </w:rPr>
        <w:t>Recommendation ITU-R F.1247-</w:t>
      </w:r>
      <w:r w:rsidR="00B05B7A">
        <w:rPr>
          <w:szCs w:val="24"/>
          <w:u w:val="single"/>
        </w:rPr>
        <w:t>4</w:t>
      </w:r>
      <w:r w:rsidRPr="00B2565A">
        <w:rPr>
          <w:szCs w:val="24"/>
        </w:rPr>
        <w:tab/>
        <w:t>Doc. 5/227(Rev.2)</w:t>
      </w:r>
    </w:p>
    <w:p w:rsidR="00F81AB9" w:rsidRPr="00B2565A" w:rsidRDefault="00F81AB9" w:rsidP="00F81AB9">
      <w:pPr>
        <w:spacing w:before="240"/>
        <w:jc w:val="center"/>
        <w:rPr>
          <w:b/>
          <w:bCs/>
          <w:sz w:val="28"/>
          <w:szCs w:val="28"/>
        </w:rPr>
      </w:pPr>
      <w:r w:rsidRPr="00B2565A">
        <w:rPr>
          <w:b/>
          <w:bCs/>
          <w:sz w:val="28"/>
          <w:szCs w:val="28"/>
        </w:rPr>
        <w:t>Technical and operational characteristics of systems in the fixed service</w:t>
      </w:r>
      <w:r w:rsidRPr="00B2565A">
        <w:rPr>
          <w:b/>
          <w:bCs/>
          <w:sz w:val="28"/>
          <w:szCs w:val="28"/>
        </w:rPr>
        <w:br/>
        <w:t>to facilitate sharing with the space research, space operation</w:t>
      </w:r>
      <w:r w:rsidRPr="00B2565A">
        <w:rPr>
          <w:b/>
          <w:bCs/>
          <w:sz w:val="28"/>
          <w:szCs w:val="28"/>
        </w:rPr>
        <w:br/>
        <w:t>and Earth exploration-satellite services operating in the</w:t>
      </w:r>
      <w:r w:rsidRPr="00B2565A">
        <w:rPr>
          <w:b/>
          <w:bCs/>
          <w:sz w:val="28"/>
          <w:szCs w:val="28"/>
        </w:rPr>
        <w:br/>
        <w:t>bands 2</w:t>
      </w:r>
      <w:r w:rsidRPr="00B2565A">
        <w:rPr>
          <w:rFonts w:ascii="Tms Rmn" w:hAnsi="Tms Rmn"/>
          <w:b/>
          <w:bCs/>
          <w:sz w:val="28"/>
          <w:szCs w:val="28"/>
        </w:rPr>
        <w:t> </w:t>
      </w:r>
      <w:r w:rsidRPr="00B2565A">
        <w:rPr>
          <w:b/>
          <w:bCs/>
          <w:sz w:val="28"/>
          <w:szCs w:val="28"/>
        </w:rPr>
        <w:t>025-2</w:t>
      </w:r>
      <w:r w:rsidRPr="00B2565A">
        <w:rPr>
          <w:rFonts w:ascii="Tms Rmn" w:hAnsi="Tms Rmn"/>
          <w:b/>
          <w:bCs/>
          <w:sz w:val="28"/>
          <w:szCs w:val="28"/>
        </w:rPr>
        <w:t> </w:t>
      </w:r>
      <w:r w:rsidRPr="00B2565A">
        <w:rPr>
          <w:b/>
          <w:bCs/>
          <w:sz w:val="28"/>
          <w:szCs w:val="28"/>
        </w:rPr>
        <w:t>110 MHz and 2</w:t>
      </w:r>
      <w:r w:rsidRPr="00B2565A">
        <w:rPr>
          <w:rFonts w:ascii="Tms Rmn" w:hAnsi="Tms Rmn"/>
          <w:b/>
          <w:bCs/>
          <w:sz w:val="28"/>
          <w:szCs w:val="28"/>
        </w:rPr>
        <w:t> </w:t>
      </w:r>
      <w:r w:rsidRPr="00B2565A">
        <w:rPr>
          <w:b/>
          <w:bCs/>
          <w:sz w:val="28"/>
          <w:szCs w:val="28"/>
        </w:rPr>
        <w:t>200-2</w:t>
      </w:r>
      <w:r w:rsidRPr="00B2565A">
        <w:rPr>
          <w:rFonts w:ascii="Tms Rmn" w:hAnsi="Tms Rmn"/>
          <w:b/>
          <w:bCs/>
          <w:sz w:val="28"/>
          <w:szCs w:val="28"/>
        </w:rPr>
        <w:t> </w:t>
      </w:r>
      <w:r w:rsidRPr="00B2565A">
        <w:rPr>
          <w:b/>
          <w:bCs/>
          <w:sz w:val="28"/>
          <w:szCs w:val="28"/>
        </w:rPr>
        <w:t>290 MHz</w:t>
      </w:r>
    </w:p>
    <w:p w:rsidR="00F81AB9" w:rsidRPr="00B2565A" w:rsidRDefault="00F81AB9">
      <w:pPr>
        <w:tabs>
          <w:tab w:val="right" w:pos="9639"/>
        </w:tabs>
        <w:spacing w:before="480"/>
        <w:rPr>
          <w:szCs w:val="24"/>
        </w:rPr>
      </w:pPr>
      <w:r w:rsidRPr="00B2565A">
        <w:rPr>
          <w:szCs w:val="24"/>
          <w:u w:val="single"/>
        </w:rPr>
        <w:t>Recommendation ITU-R F.1509-</w:t>
      </w:r>
      <w:r w:rsidR="00B05B7A">
        <w:rPr>
          <w:szCs w:val="24"/>
          <w:u w:val="single"/>
        </w:rPr>
        <w:t>3</w:t>
      </w:r>
      <w:r w:rsidRPr="00B2565A">
        <w:rPr>
          <w:szCs w:val="24"/>
        </w:rPr>
        <w:tab/>
        <w:t>Doc. 5/228(Rev.2)</w:t>
      </w:r>
    </w:p>
    <w:p w:rsidR="00F81AB9" w:rsidRPr="00B2565A" w:rsidRDefault="00F81AB9" w:rsidP="00F81AB9">
      <w:pPr>
        <w:spacing w:before="240"/>
        <w:jc w:val="center"/>
        <w:rPr>
          <w:b/>
          <w:bCs/>
          <w:sz w:val="28"/>
          <w:szCs w:val="28"/>
        </w:rPr>
      </w:pPr>
      <w:bookmarkStart w:id="0" w:name="Pre_title"/>
      <w:r w:rsidRPr="00B2565A">
        <w:rPr>
          <w:b/>
          <w:bCs/>
          <w:sz w:val="28"/>
          <w:szCs w:val="28"/>
        </w:rPr>
        <w:t>Technical and operational requirements that facilitate sharing</w:t>
      </w:r>
      <w:r w:rsidRPr="00B2565A">
        <w:rPr>
          <w:b/>
          <w:bCs/>
          <w:sz w:val="28"/>
          <w:szCs w:val="28"/>
        </w:rPr>
        <w:br/>
        <w:t>between point-to-multipoint systems in the fixed service and</w:t>
      </w:r>
      <w:r w:rsidRPr="00B2565A">
        <w:rPr>
          <w:b/>
          <w:bCs/>
          <w:sz w:val="28"/>
          <w:szCs w:val="28"/>
        </w:rPr>
        <w:br/>
        <w:t>the inter-satellite service in the band 25.25-27.5 GHz</w:t>
      </w:r>
      <w:bookmarkEnd w:id="0"/>
    </w:p>
    <w:p w:rsidR="001F022D" w:rsidRDefault="001F022D">
      <w:pPr>
        <w:tabs>
          <w:tab w:val="right" w:pos="9639"/>
        </w:tabs>
        <w:spacing w:before="480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F81AB9" w:rsidRPr="00B2565A" w:rsidRDefault="00F81AB9">
      <w:pPr>
        <w:tabs>
          <w:tab w:val="right" w:pos="9639"/>
        </w:tabs>
        <w:spacing w:before="480"/>
        <w:rPr>
          <w:szCs w:val="24"/>
        </w:rPr>
      </w:pPr>
      <w:bookmarkStart w:id="1" w:name="_GoBack"/>
      <w:bookmarkEnd w:id="1"/>
      <w:r w:rsidRPr="00B2565A">
        <w:rPr>
          <w:szCs w:val="24"/>
          <w:u w:val="single"/>
        </w:rPr>
        <w:lastRenderedPageBreak/>
        <w:t>Recommendation ITU-R F.1249-</w:t>
      </w:r>
      <w:r w:rsidR="00B05B7A">
        <w:rPr>
          <w:szCs w:val="24"/>
          <w:u w:val="single"/>
        </w:rPr>
        <w:t>4</w:t>
      </w:r>
      <w:r w:rsidRPr="00B2565A">
        <w:rPr>
          <w:szCs w:val="24"/>
        </w:rPr>
        <w:tab/>
        <w:t>Doc. 5/229(Rev.2)</w:t>
      </w:r>
    </w:p>
    <w:p w:rsidR="00F81AB9" w:rsidRPr="00B2565A" w:rsidRDefault="00F81AB9" w:rsidP="00F81AB9">
      <w:pPr>
        <w:spacing w:before="240"/>
        <w:jc w:val="center"/>
        <w:rPr>
          <w:b/>
          <w:bCs/>
          <w:sz w:val="28"/>
          <w:szCs w:val="28"/>
        </w:rPr>
      </w:pPr>
      <w:r w:rsidRPr="00B2565A">
        <w:rPr>
          <w:b/>
          <w:bCs/>
          <w:sz w:val="28"/>
          <w:szCs w:val="28"/>
        </w:rPr>
        <w:t>Technical and operational requirements that facilitate sharing</w:t>
      </w:r>
      <w:r w:rsidRPr="00B2565A">
        <w:rPr>
          <w:b/>
          <w:bCs/>
          <w:sz w:val="28"/>
          <w:szCs w:val="28"/>
        </w:rPr>
        <w:br/>
        <w:t>between point-to-point systems in the fixed service and the</w:t>
      </w:r>
      <w:r w:rsidRPr="00B2565A">
        <w:rPr>
          <w:b/>
          <w:bCs/>
          <w:sz w:val="28"/>
          <w:szCs w:val="28"/>
        </w:rPr>
        <w:br/>
        <w:t>inter-satellite service in the band 25.25-27.5 GHz</w:t>
      </w:r>
    </w:p>
    <w:p w:rsidR="00F81AB9" w:rsidRPr="00B2565A" w:rsidRDefault="00F81AB9">
      <w:pPr>
        <w:tabs>
          <w:tab w:val="right" w:pos="9639"/>
        </w:tabs>
        <w:spacing w:before="480"/>
        <w:rPr>
          <w:szCs w:val="24"/>
        </w:rPr>
      </w:pPr>
      <w:r w:rsidRPr="00B2565A">
        <w:rPr>
          <w:szCs w:val="24"/>
          <w:u w:val="single"/>
        </w:rPr>
        <w:t>Recommendation ITU-R F.758-</w:t>
      </w:r>
      <w:r w:rsidR="00B05B7A">
        <w:rPr>
          <w:szCs w:val="24"/>
          <w:u w:val="single"/>
        </w:rPr>
        <w:t>6</w:t>
      </w:r>
      <w:r w:rsidRPr="00B2565A">
        <w:rPr>
          <w:szCs w:val="24"/>
        </w:rPr>
        <w:tab/>
        <w:t>Doc. 5/238(Rev.1)</w:t>
      </w:r>
    </w:p>
    <w:p w:rsidR="00F81AB9" w:rsidRPr="00B2565A" w:rsidRDefault="00F81AB9" w:rsidP="00F81AB9">
      <w:pPr>
        <w:spacing w:before="240"/>
        <w:jc w:val="center"/>
        <w:rPr>
          <w:b/>
          <w:bCs/>
          <w:sz w:val="28"/>
          <w:szCs w:val="28"/>
          <w:lang w:eastAsia="zh-CN"/>
        </w:rPr>
      </w:pPr>
      <w:r w:rsidRPr="00B2565A">
        <w:rPr>
          <w:b/>
          <w:bCs/>
          <w:sz w:val="28"/>
          <w:szCs w:val="28"/>
          <w:lang w:eastAsia="zh-CN"/>
        </w:rPr>
        <w:t xml:space="preserve">System parameters and considerations in the development of criteria for sharing or compatibility between digital fixed wireless systems in the fixed service </w:t>
      </w:r>
      <w:r w:rsidRPr="00B2565A">
        <w:rPr>
          <w:b/>
          <w:bCs/>
          <w:sz w:val="28"/>
          <w:szCs w:val="28"/>
          <w:lang w:eastAsia="zh-CN"/>
        </w:rPr>
        <w:br/>
        <w:t>and systems in other services and other sources of interference</w:t>
      </w:r>
    </w:p>
    <w:p w:rsidR="00F81AB9" w:rsidRPr="00B2565A" w:rsidRDefault="00F81AB9">
      <w:pPr>
        <w:tabs>
          <w:tab w:val="right" w:pos="9639"/>
        </w:tabs>
        <w:spacing w:before="480"/>
        <w:rPr>
          <w:szCs w:val="24"/>
        </w:rPr>
      </w:pPr>
      <w:r w:rsidRPr="00B2565A">
        <w:rPr>
          <w:szCs w:val="24"/>
          <w:u w:val="single"/>
        </w:rPr>
        <w:t>Recommendation ITU-R F.1777-</w:t>
      </w:r>
      <w:r w:rsidR="00B05B7A">
        <w:rPr>
          <w:szCs w:val="24"/>
          <w:u w:val="single"/>
        </w:rPr>
        <w:t>1</w:t>
      </w:r>
      <w:r w:rsidRPr="00B2565A">
        <w:rPr>
          <w:szCs w:val="24"/>
        </w:rPr>
        <w:tab/>
        <w:t>Doc. 5/257(Rev.1)</w:t>
      </w:r>
    </w:p>
    <w:p w:rsidR="00F81AB9" w:rsidRPr="00B2565A" w:rsidRDefault="00F81AB9" w:rsidP="00F81AB9">
      <w:pPr>
        <w:spacing w:before="240"/>
        <w:jc w:val="center"/>
        <w:rPr>
          <w:b/>
          <w:bCs/>
          <w:sz w:val="28"/>
          <w:szCs w:val="28"/>
        </w:rPr>
      </w:pPr>
      <w:r w:rsidRPr="00B2565A">
        <w:rPr>
          <w:b/>
          <w:bCs/>
          <w:sz w:val="28"/>
          <w:szCs w:val="28"/>
        </w:rPr>
        <w:t>System characteristics of television outside broadcast, electronic news gathering and electronic field production in the fixed service for use in sharing studies</w:t>
      </w:r>
    </w:p>
    <w:p w:rsidR="00F81AB9" w:rsidRPr="00B2565A" w:rsidRDefault="00F81AB9">
      <w:pPr>
        <w:tabs>
          <w:tab w:val="right" w:pos="9639"/>
        </w:tabs>
        <w:spacing w:before="480"/>
        <w:rPr>
          <w:szCs w:val="24"/>
        </w:rPr>
      </w:pPr>
      <w:r w:rsidRPr="00B2565A">
        <w:rPr>
          <w:szCs w:val="24"/>
          <w:u w:val="single"/>
        </w:rPr>
        <w:t>Recommendation ITU-R M.1849-</w:t>
      </w:r>
      <w:r w:rsidR="00B05B7A">
        <w:rPr>
          <w:szCs w:val="24"/>
          <w:u w:val="single"/>
        </w:rPr>
        <w:t>1</w:t>
      </w:r>
      <w:r w:rsidRPr="00B2565A">
        <w:rPr>
          <w:szCs w:val="24"/>
        </w:rPr>
        <w:tab/>
        <w:t>Doc. 5/259(Rev.1)</w:t>
      </w:r>
    </w:p>
    <w:p w:rsidR="00F81AB9" w:rsidRPr="00B2565A" w:rsidRDefault="00F81AB9" w:rsidP="00F81AB9">
      <w:pPr>
        <w:spacing w:before="240"/>
        <w:jc w:val="center"/>
        <w:rPr>
          <w:b/>
          <w:bCs/>
          <w:sz w:val="28"/>
          <w:szCs w:val="28"/>
        </w:rPr>
      </w:pPr>
      <w:r w:rsidRPr="00B2565A">
        <w:rPr>
          <w:b/>
          <w:bCs/>
          <w:sz w:val="28"/>
          <w:szCs w:val="28"/>
        </w:rPr>
        <w:t>Technical and operational aspects of ground-based meteorological radars</w:t>
      </w:r>
    </w:p>
    <w:p w:rsidR="00F81AB9" w:rsidRPr="00B2565A" w:rsidRDefault="00F81AB9">
      <w:pPr>
        <w:tabs>
          <w:tab w:val="right" w:pos="9639"/>
        </w:tabs>
        <w:spacing w:before="480"/>
        <w:rPr>
          <w:szCs w:val="24"/>
        </w:rPr>
      </w:pPr>
      <w:r w:rsidRPr="00B2565A">
        <w:rPr>
          <w:szCs w:val="24"/>
          <w:u w:val="single"/>
        </w:rPr>
        <w:t>Recommendation ITU-R M.493</w:t>
      </w:r>
      <w:r>
        <w:rPr>
          <w:szCs w:val="24"/>
          <w:u w:val="single"/>
        </w:rPr>
        <w:t>-</w:t>
      </w:r>
      <w:r w:rsidR="00B05B7A">
        <w:rPr>
          <w:szCs w:val="24"/>
          <w:u w:val="single"/>
        </w:rPr>
        <w:t>14</w:t>
      </w:r>
      <w:r w:rsidRPr="00B2565A">
        <w:rPr>
          <w:szCs w:val="24"/>
        </w:rPr>
        <w:tab/>
        <w:t>Doc. 5/266(Rev.1)</w:t>
      </w:r>
    </w:p>
    <w:p w:rsidR="00F81AB9" w:rsidRPr="00B2565A" w:rsidRDefault="00F81AB9" w:rsidP="00F81AB9">
      <w:pPr>
        <w:spacing w:before="240"/>
        <w:jc w:val="center"/>
        <w:rPr>
          <w:b/>
          <w:bCs/>
          <w:sz w:val="28"/>
          <w:szCs w:val="28"/>
        </w:rPr>
      </w:pPr>
      <w:r w:rsidRPr="00B2565A">
        <w:rPr>
          <w:b/>
          <w:bCs/>
          <w:sz w:val="28"/>
          <w:szCs w:val="28"/>
        </w:rPr>
        <w:t>Digital selective-calling system for use in the maritime mobile service</w:t>
      </w:r>
    </w:p>
    <w:p w:rsidR="00264B75" w:rsidRDefault="00264B75" w:rsidP="00264B75"/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81AB9" w:rsidRDefault="00F81AB9" w:rsidP="00F81AB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1F022D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05B7A" w:rsidRDefault="00B05B7A" w:rsidP="00B05B7A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1F022D">
      <w:rPr>
        <w:rStyle w:val="PageNumber"/>
        <w:noProof/>
        <w:sz w:val="18"/>
        <w:szCs w:val="18"/>
      </w:rPr>
      <w:t>3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81AB9" w:rsidTr="009D4267">
      <w:trPr>
        <w:jc w:val="center"/>
      </w:trPr>
      <w:tc>
        <w:tcPr>
          <w:tcW w:w="4889" w:type="dxa"/>
        </w:tcPr>
        <w:p w:rsidR="00F81AB9" w:rsidRDefault="00F81AB9" w:rsidP="00F81AB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7DB29F2" wp14:editId="0DE513E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F81AB9" w:rsidRDefault="00F81AB9" w:rsidP="00F81AB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839BA2C" wp14:editId="49A7EC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F81AB9" w:rsidRDefault="00E915AF" w:rsidP="00F81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B4219"/>
    <w:rsid w:val="001C06DB"/>
    <w:rsid w:val="001C6971"/>
    <w:rsid w:val="001D2785"/>
    <w:rsid w:val="001D7070"/>
    <w:rsid w:val="001F022D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7251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2873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1F7D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5B7A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D0256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1AB9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659F802-8C5C-4A49-BA8E-12FCF70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F8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next w:val="Normal"/>
    <w:link w:val="SummaryChar"/>
    <w:rsid w:val="00F81AB9"/>
    <w:pPr>
      <w:spacing w:before="120" w:after="480" w:line="240" w:lineRule="auto"/>
    </w:pPr>
    <w:rPr>
      <w:rFonts w:ascii="Times New Roman" w:eastAsia="MS Mincho" w:hAnsi="Times New Roman" w:cs="Times New Roman"/>
      <w:sz w:val="22"/>
      <w:szCs w:val="20"/>
      <w:lang w:val="es-ES_tradnl"/>
    </w:rPr>
  </w:style>
  <w:style w:type="character" w:customStyle="1" w:styleId="SummaryChar">
    <w:name w:val="Summary Char"/>
    <w:basedOn w:val="DefaultParagraphFont"/>
    <w:link w:val="Summary"/>
    <w:rsid w:val="00F81AB9"/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st">
    <w:name w:val="st"/>
    <w:basedOn w:val="DefaultParagraphFont"/>
    <w:rsid w:val="00F81AB9"/>
  </w:style>
  <w:style w:type="character" w:styleId="Emphasis">
    <w:name w:val="Emphasis"/>
    <w:basedOn w:val="DefaultParagraphFont"/>
    <w:qFormat/>
    <w:rsid w:val="00F81AB9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B05B7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F2B8-0CB0-45EA-9C68-B0E68988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496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3843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4</cp:revision>
  <cp:lastPrinted>2015-10-01T12:36:00Z</cp:lastPrinted>
  <dcterms:created xsi:type="dcterms:W3CDTF">2015-09-30T07:57:00Z</dcterms:created>
  <dcterms:modified xsi:type="dcterms:W3CDTF">2015-10-01T12:38:00Z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