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418"/>
        <w:gridCol w:w="5528"/>
        <w:gridCol w:w="2977"/>
      </w:tblGrid>
      <w:tr w:rsidR="00EA15B3" w:rsidRPr="00F42C8C" w:rsidTr="00621E6C">
        <w:trPr>
          <w:jc w:val="center"/>
        </w:trPr>
        <w:tc>
          <w:tcPr>
            <w:tcW w:w="9923"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621E6C">
        <w:trPr>
          <w:jc w:val="center"/>
        </w:trPr>
        <w:tc>
          <w:tcPr>
            <w:tcW w:w="9923" w:type="dxa"/>
            <w:gridSpan w:val="3"/>
          </w:tcPr>
          <w:p w:rsidR="00EA15B3" w:rsidRPr="00F42C8C" w:rsidRDefault="00EA15B3" w:rsidP="00EA15B3">
            <w:pPr>
              <w:jc w:val="left"/>
            </w:pPr>
          </w:p>
        </w:tc>
      </w:tr>
      <w:tr w:rsidR="00786E9F" w:rsidRPr="00094683" w:rsidTr="00621E6C">
        <w:tblPrEx>
          <w:jc w:val="left"/>
        </w:tblPrEx>
        <w:tc>
          <w:tcPr>
            <w:tcW w:w="6946" w:type="dxa"/>
            <w:gridSpan w:val="2"/>
            <w:shd w:val="clear" w:color="auto" w:fill="auto"/>
          </w:tcPr>
          <w:p w:rsidR="00786E9F" w:rsidRPr="00094683" w:rsidRDefault="00405EAD" w:rsidP="003A4CE8">
            <w:pPr>
              <w:spacing w:before="0"/>
              <w:jc w:val="left"/>
              <w:rPr>
                <w:sz w:val="24"/>
                <w:szCs w:val="24"/>
                <w:lang w:val="fr-CH"/>
              </w:rPr>
            </w:pPr>
            <w:bookmarkStart w:id="2" w:name="Formula"/>
            <w:bookmarkStart w:id="3" w:name="MainStory"/>
            <w:bookmarkStart w:id="4" w:name="CurrentLocation"/>
            <w:bookmarkEnd w:id="2"/>
            <w:bookmarkEnd w:id="3"/>
            <w:bookmarkEnd w:id="4"/>
            <w:r w:rsidRPr="00094683">
              <w:rPr>
                <w:sz w:val="24"/>
                <w:szCs w:val="24"/>
                <w:lang w:val="fr-CH"/>
              </w:rPr>
              <w:t xml:space="preserve">Circular </w:t>
            </w:r>
            <w:proofErr w:type="spellStart"/>
            <w:r w:rsidRPr="00094683">
              <w:rPr>
                <w:sz w:val="24"/>
                <w:szCs w:val="24"/>
                <w:lang w:val="fr-CH"/>
              </w:rPr>
              <w:t>Administrativa</w:t>
            </w:r>
            <w:proofErr w:type="spellEnd"/>
          </w:p>
          <w:p w:rsidR="00786E9F" w:rsidRPr="00094683" w:rsidRDefault="00786E9F" w:rsidP="00786E9F">
            <w:pPr>
              <w:spacing w:before="0"/>
              <w:jc w:val="left"/>
              <w:rPr>
                <w:b/>
                <w:bCs/>
                <w:sz w:val="24"/>
                <w:szCs w:val="24"/>
                <w:lang w:val="fr-CH"/>
              </w:rPr>
            </w:pPr>
            <w:r w:rsidRPr="00094683">
              <w:rPr>
                <w:b/>
                <w:bCs/>
                <w:sz w:val="24"/>
                <w:szCs w:val="24"/>
                <w:lang w:val="fr-CH"/>
              </w:rPr>
              <w:t>CACE/</w:t>
            </w:r>
            <w:r w:rsidR="0004556D">
              <w:rPr>
                <w:b/>
                <w:bCs/>
                <w:sz w:val="24"/>
                <w:szCs w:val="24"/>
                <w:lang w:val="fr-CH"/>
              </w:rPr>
              <w:t>794</w:t>
            </w:r>
          </w:p>
        </w:tc>
        <w:tc>
          <w:tcPr>
            <w:tcW w:w="2977" w:type="dxa"/>
            <w:shd w:val="clear" w:color="auto" w:fill="auto"/>
          </w:tcPr>
          <w:p w:rsidR="00786E9F" w:rsidRPr="00094683" w:rsidRDefault="00B34B31" w:rsidP="003A4CE8">
            <w:pPr>
              <w:spacing w:before="0"/>
              <w:jc w:val="right"/>
              <w:rPr>
                <w:sz w:val="24"/>
                <w:szCs w:val="24"/>
                <w:lang w:val="en-GB"/>
              </w:rPr>
            </w:pPr>
            <w:r>
              <w:rPr>
                <w:sz w:val="24"/>
                <w:szCs w:val="24"/>
                <w:lang w:val="en-GB"/>
              </w:rPr>
              <w:t>9</w:t>
            </w:r>
            <w:r w:rsidR="0004556D">
              <w:rPr>
                <w:sz w:val="24"/>
                <w:szCs w:val="24"/>
                <w:lang w:val="en-GB"/>
              </w:rPr>
              <w:t xml:space="preserve"> de </w:t>
            </w:r>
            <w:proofErr w:type="spellStart"/>
            <w:r w:rsidR="0004556D">
              <w:rPr>
                <w:sz w:val="24"/>
                <w:szCs w:val="24"/>
                <w:lang w:val="en-GB"/>
              </w:rPr>
              <w:t>diciembre</w:t>
            </w:r>
            <w:proofErr w:type="spellEnd"/>
            <w:r w:rsidR="0004556D">
              <w:rPr>
                <w:sz w:val="24"/>
                <w:szCs w:val="24"/>
                <w:lang w:val="en-GB"/>
              </w:rPr>
              <w:t xml:space="preserve"> de 2016</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rFonts w:cs="Arial"/>
                <w:sz w:val="24"/>
                <w:szCs w:val="24"/>
                <w:lang w:val="en-GB"/>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9923" w:type="dxa"/>
            <w:gridSpan w:val="3"/>
            <w:shd w:val="clear" w:color="auto" w:fill="auto"/>
          </w:tcPr>
          <w:p w:rsidR="00786E9F" w:rsidRPr="00094683" w:rsidRDefault="00786E9F" w:rsidP="0004556D">
            <w:pPr>
              <w:spacing w:before="0"/>
              <w:jc w:val="left"/>
              <w:rPr>
                <w:b/>
                <w:bCs/>
                <w:sz w:val="24"/>
                <w:szCs w:val="24"/>
              </w:rPr>
            </w:pPr>
            <w:r w:rsidRPr="00094683">
              <w:rPr>
                <w:b/>
                <w:bCs/>
                <w:sz w:val="24"/>
                <w:szCs w:val="24"/>
              </w:rPr>
              <w:t>A las Administraciones de los Estados Miembros de la UIT, a los Miembros del Sector de Radiocomunicaciones, a los Asociados del UIT-R que participan en los trabajos de la Comisión de Estudio </w:t>
            </w:r>
            <w:r w:rsidR="0004556D">
              <w:rPr>
                <w:b/>
                <w:bCs/>
                <w:sz w:val="24"/>
                <w:szCs w:val="24"/>
              </w:rPr>
              <w:t>5</w:t>
            </w:r>
            <w:r w:rsidRPr="00094683">
              <w:rPr>
                <w:b/>
                <w:bCs/>
                <w:sz w:val="24"/>
                <w:szCs w:val="24"/>
              </w:rPr>
              <w:t xml:space="preserve"> de Radiocomunicaciones y a las Instituciones Académicas de la UIT</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sz w:val="24"/>
                <w:szCs w:val="24"/>
                <w:lang w:val="en-GB"/>
              </w:rPr>
            </w:pPr>
            <w:r w:rsidRPr="00094683">
              <w:rPr>
                <w:sz w:val="24"/>
                <w:szCs w:val="24"/>
              </w:rPr>
              <w:t>Asunto:</w:t>
            </w:r>
          </w:p>
        </w:tc>
        <w:tc>
          <w:tcPr>
            <w:tcW w:w="8505" w:type="dxa"/>
            <w:gridSpan w:val="2"/>
            <w:vMerge w:val="restart"/>
            <w:shd w:val="clear" w:color="auto" w:fill="auto"/>
          </w:tcPr>
          <w:p w:rsidR="00786E9F" w:rsidRPr="00094683" w:rsidRDefault="00786E9F" w:rsidP="004E7F05">
            <w:pPr>
              <w:tabs>
                <w:tab w:val="clear" w:pos="794"/>
                <w:tab w:val="clear" w:pos="1588"/>
                <w:tab w:val="clear" w:pos="1985"/>
                <w:tab w:val="left" w:pos="454"/>
                <w:tab w:val="left" w:pos="1418"/>
              </w:tabs>
              <w:spacing w:before="0"/>
              <w:ind w:left="459" w:hanging="459"/>
              <w:rPr>
                <w:b/>
                <w:bCs/>
                <w:sz w:val="24"/>
                <w:szCs w:val="24"/>
              </w:rPr>
            </w:pPr>
            <w:r w:rsidRPr="00094683">
              <w:rPr>
                <w:b/>
                <w:sz w:val="24"/>
                <w:szCs w:val="24"/>
              </w:rPr>
              <w:t xml:space="preserve">Comisión de Estudio </w:t>
            </w:r>
            <w:r w:rsidR="0004556D">
              <w:rPr>
                <w:b/>
                <w:sz w:val="24"/>
                <w:szCs w:val="24"/>
              </w:rPr>
              <w:t>5</w:t>
            </w:r>
            <w:r w:rsidRPr="00094683">
              <w:rPr>
                <w:b/>
                <w:sz w:val="24"/>
                <w:szCs w:val="24"/>
              </w:rPr>
              <w:t xml:space="preserve"> de Radiocomunicaciones</w:t>
            </w:r>
            <w:bookmarkStart w:id="5" w:name="OLE_LINK1"/>
            <w:bookmarkStart w:id="6" w:name="OLE_LINK2"/>
            <w:r w:rsidR="00094683">
              <w:rPr>
                <w:b/>
                <w:sz w:val="24"/>
                <w:szCs w:val="24"/>
              </w:rPr>
              <w:t xml:space="preserve"> (</w:t>
            </w:r>
            <w:r w:rsidR="0004556D">
              <w:rPr>
                <w:b/>
                <w:sz w:val="24"/>
                <w:szCs w:val="24"/>
              </w:rPr>
              <w:t>Servicios terrenales</w:t>
            </w:r>
            <w:r w:rsidR="00094683">
              <w:rPr>
                <w:b/>
                <w:sz w:val="24"/>
                <w:szCs w:val="24"/>
              </w:rPr>
              <w:t>)</w:t>
            </w:r>
          </w:p>
          <w:p w:rsidR="00786E9F" w:rsidRPr="00094683" w:rsidRDefault="00786E9F" w:rsidP="0004556D">
            <w:pPr>
              <w:tabs>
                <w:tab w:val="clear" w:pos="794"/>
                <w:tab w:val="clear" w:pos="1588"/>
                <w:tab w:val="clear" w:pos="1985"/>
                <w:tab w:val="left" w:pos="454"/>
                <w:tab w:val="left" w:pos="1418"/>
              </w:tabs>
              <w:spacing w:before="120" w:after="120"/>
              <w:ind w:left="459" w:hanging="459"/>
              <w:jc w:val="left"/>
              <w:rPr>
                <w:b/>
                <w:bCs/>
                <w:sz w:val="24"/>
                <w:szCs w:val="24"/>
              </w:rPr>
            </w:pPr>
            <w:r w:rsidRPr="00094683">
              <w:rPr>
                <w:b/>
                <w:sz w:val="24"/>
                <w:szCs w:val="24"/>
              </w:rPr>
              <w:t>–</w:t>
            </w:r>
            <w:r w:rsidRPr="00094683">
              <w:rPr>
                <w:bCs/>
                <w:sz w:val="24"/>
                <w:szCs w:val="24"/>
              </w:rPr>
              <w:tab/>
            </w:r>
            <w:r w:rsidRPr="00094683">
              <w:rPr>
                <w:b/>
                <w:bCs/>
                <w:sz w:val="24"/>
                <w:szCs w:val="24"/>
              </w:rPr>
              <w:t xml:space="preserve">Propuesta de aprobación de </w:t>
            </w:r>
            <w:r w:rsidR="0004556D">
              <w:rPr>
                <w:b/>
                <w:bCs/>
                <w:sz w:val="24"/>
                <w:szCs w:val="24"/>
              </w:rPr>
              <w:t>1</w:t>
            </w:r>
            <w:r w:rsidRPr="00094683">
              <w:rPr>
                <w:b/>
                <w:bCs/>
                <w:sz w:val="24"/>
                <w:szCs w:val="24"/>
              </w:rPr>
              <w:t xml:space="preserve"> proyecto de nueva</w:t>
            </w:r>
            <w:r w:rsidR="0004556D">
              <w:rPr>
                <w:b/>
                <w:bCs/>
                <w:sz w:val="24"/>
                <w:szCs w:val="24"/>
              </w:rPr>
              <w:t xml:space="preserve"> Recomendació</w:t>
            </w:r>
            <w:r w:rsidRPr="00094683">
              <w:rPr>
                <w:b/>
                <w:bCs/>
                <w:sz w:val="24"/>
                <w:szCs w:val="24"/>
              </w:rPr>
              <w:t xml:space="preserve">n UIT-R y </w:t>
            </w:r>
            <w:r w:rsidR="0004556D">
              <w:rPr>
                <w:b/>
                <w:bCs/>
                <w:sz w:val="24"/>
                <w:szCs w:val="24"/>
              </w:rPr>
              <w:t>3 </w:t>
            </w:r>
            <w:r w:rsidRPr="00094683">
              <w:rPr>
                <w:b/>
                <w:sz w:val="24"/>
                <w:szCs w:val="24"/>
              </w:rPr>
              <w:t>proyectos de Recomendaciones UIT-R revisadas</w:t>
            </w:r>
            <w:bookmarkEnd w:id="5"/>
            <w:bookmarkEnd w:id="6"/>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b/>
                <w:bCs/>
                <w:sz w:val="24"/>
                <w:szCs w:val="24"/>
              </w:rPr>
            </w:pPr>
          </w:p>
        </w:tc>
        <w:tc>
          <w:tcPr>
            <w:tcW w:w="8505" w:type="dxa"/>
            <w:gridSpan w:val="2"/>
            <w:vMerge/>
            <w:shd w:val="clear" w:color="auto" w:fill="auto"/>
          </w:tcPr>
          <w:p w:rsidR="00786E9F" w:rsidRPr="00094683" w:rsidRDefault="00786E9F" w:rsidP="003A4CE8">
            <w:pPr>
              <w:spacing w:before="0"/>
              <w:rPr>
                <w:b/>
                <w:bCs/>
                <w:sz w:val="24"/>
                <w:szCs w:val="24"/>
              </w:rPr>
            </w:pPr>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b/>
                <w:bCs/>
                <w:sz w:val="24"/>
                <w:szCs w:val="24"/>
              </w:rPr>
            </w:pPr>
          </w:p>
        </w:tc>
        <w:tc>
          <w:tcPr>
            <w:tcW w:w="8505" w:type="dxa"/>
            <w:gridSpan w:val="2"/>
            <w:vMerge/>
            <w:shd w:val="clear" w:color="auto" w:fill="auto"/>
          </w:tcPr>
          <w:p w:rsidR="00786E9F" w:rsidRPr="00094683" w:rsidRDefault="00786E9F" w:rsidP="003A4CE8">
            <w:pPr>
              <w:spacing w:before="0"/>
              <w:rPr>
                <w:b/>
                <w:bCs/>
                <w:sz w:val="24"/>
                <w:szCs w:val="24"/>
              </w:rPr>
            </w:pPr>
          </w:p>
        </w:tc>
      </w:tr>
      <w:tr w:rsidR="00786E9F" w:rsidRPr="00786E9F" w:rsidTr="00621E6C">
        <w:tblPrEx>
          <w:jc w:val="left"/>
        </w:tblPrEx>
        <w:tc>
          <w:tcPr>
            <w:tcW w:w="9923" w:type="dxa"/>
            <w:gridSpan w:val="3"/>
            <w:shd w:val="clear" w:color="auto" w:fill="auto"/>
          </w:tcPr>
          <w:p w:rsidR="00786E9F" w:rsidRPr="00392DFD" w:rsidRDefault="00786E9F" w:rsidP="00786E9F">
            <w:pPr>
              <w:spacing w:before="0" w:line="240" w:lineRule="auto"/>
              <w:ind w:left="794" w:hanging="794"/>
              <w:rPr>
                <w:b/>
                <w:bCs/>
              </w:rPr>
            </w:pPr>
          </w:p>
        </w:tc>
      </w:tr>
      <w:tr w:rsidR="00786E9F" w:rsidRPr="00786E9F" w:rsidTr="00621E6C">
        <w:tblPrEx>
          <w:jc w:val="left"/>
        </w:tblPrEx>
        <w:tc>
          <w:tcPr>
            <w:tcW w:w="9923" w:type="dxa"/>
            <w:gridSpan w:val="3"/>
            <w:shd w:val="clear" w:color="auto" w:fill="auto"/>
          </w:tcPr>
          <w:p w:rsidR="00786E9F" w:rsidRPr="00392DFD" w:rsidRDefault="00786E9F" w:rsidP="00786E9F">
            <w:pPr>
              <w:spacing w:before="0" w:line="240" w:lineRule="auto"/>
              <w:rPr>
                <w:b/>
                <w:bCs/>
              </w:rPr>
            </w:pPr>
          </w:p>
        </w:tc>
      </w:tr>
    </w:tbl>
    <w:p w:rsidR="007E0705" w:rsidRPr="00C71C8D" w:rsidRDefault="007E0705" w:rsidP="0004556D">
      <w:pPr>
        <w:spacing w:before="240"/>
        <w:rPr>
          <w:sz w:val="24"/>
          <w:szCs w:val="24"/>
        </w:rPr>
      </w:pPr>
      <w:r w:rsidRPr="00C71C8D">
        <w:rPr>
          <w:sz w:val="24"/>
          <w:szCs w:val="24"/>
        </w:rPr>
        <w:t xml:space="preserve">En la reunión de la Comisión de Estudio </w:t>
      </w:r>
      <w:r w:rsidR="0004556D">
        <w:rPr>
          <w:sz w:val="24"/>
          <w:szCs w:val="24"/>
        </w:rPr>
        <w:t>5</w:t>
      </w:r>
      <w:r w:rsidRPr="00C71C8D">
        <w:rPr>
          <w:sz w:val="24"/>
          <w:szCs w:val="24"/>
        </w:rPr>
        <w:t xml:space="preserve"> de Radiocomunicaciones celebrada </w:t>
      </w:r>
      <w:r w:rsidR="0004556D">
        <w:rPr>
          <w:sz w:val="24"/>
          <w:szCs w:val="24"/>
        </w:rPr>
        <w:t>los días 21 y 22 de noviembre</w:t>
      </w:r>
      <w:r w:rsidRPr="00C71C8D">
        <w:rPr>
          <w:sz w:val="24"/>
          <w:szCs w:val="24"/>
        </w:rPr>
        <w:t xml:space="preserve"> de 2016, la Comisión de Estudio adoptó </w:t>
      </w:r>
      <w:r w:rsidR="004E7F05">
        <w:rPr>
          <w:sz w:val="24"/>
          <w:szCs w:val="24"/>
        </w:rPr>
        <w:t xml:space="preserve">los </w:t>
      </w:r>
      <w:r w:rsidRPr="00C71C8D">
        <w:rPr>
          <w:sz w:val="24"/>
          <w:szCs w:val="24"/>
        </w:rPr>
        <w:t xml:space="preserve">textos de </w:t>
      </w:r>
      <w:r w:rsidR="0004556D">
        <w:rPr>
          <w:sz w:val="24"/>
          <w:szCs w:val="24"/>
        </w:rPr>
        <w:t>1</w:t>
      </w:r>
      <w:r w:rsidRPr="00C71C8D">
        <w:rPr>
          <w:sz w:val="24"/>
          <w:szCs w:val="24"/>
        </w:rPr>
        <w:t xml:space="preserve"> proyecto de nueva </w:t>
      </w:r>
      <w:r w:rsidR="0004556D" w:rsidRPr="00C71C8D">
        <w:rPr>
          <w:sz w:val="24"/>
          <w:szCs w:val="24"/>
        </w:rPr>
        <w:t>Recomendación</w:t>
      </w:r>
      <w:r w:rsidRPr="00C71C8D">
        <w:rPr>
          <w:sz w:val="24"/>
          <w:szCs w:val="24"/>
        </w:rPr>
        <w:t xml:space="preserve"> </w:t>
      </w:r>
      <w:r w:rsidR="005430D3">
        <w:rPr>
          <w:sz w:val="24"/>
          <w:szCs w:val="24"/>
        </w:rPr>
        <w:t xml:space="preserve">UIT-R </w:t>
      </w:r>
      <w:r w:rsidRPr="00C71C8D">
        <w:rPr>
          <w:sz w:val="24"/>
          <w:szCs w:val="24"/>
        </w:rPr>
        <w:t xml:space="preserve">y de </w:t>
      </w:r>
      <w:r w:rsidR="0004556D">
        <w:rPr>
          <w:sz w:val="24"/>
          <w:szCs w:val="24"/>
        </w:rPr>
        <w:t>3</w:t>
      </w:r>
      <w:r w:rsidRPr="00C71C8D">
        <w:rPr>
          <w:sz w:val="24"/>
          <w:szCs w:val="24"/>
        </w:rPr>
        <w:t xml:space="preserve"> proyectos de Recomendaciones </w:t>
      </w:r>
      <w:r w:rsidR="005430D3">
        <w:rPr>
          <w:sz w:val="24"/>
          <w:szCs w:val="24"/>
        </w:rPr>
        <w:t xml:space="preserve">UIT-R </w:t>
      </w:r>
      <w:r w:rsidRPr="00C71C8D">
        <w:rPr>
          <w:sz w:val="24"/>
          <w:szCs w:val="24"/>
        </w:rPr>
        <w:t xml:space="preserve">revisadas y acordó aplicar el procedimiento de la Resolución UIT-R 1-7 (véase el § A2.6.2.3) para la aprobación de Recomendaciones por consulta. Los títulos y resúmenes de los proyectos de Recomendaciones figuran </w:t>
      </w:r>
      <w:r w:rsidR="0004556D">
        <w:rPr>
          <w:sz w:val="24"/>
          <w:szCs w:val="24"/>
        </w:rPr>
        <w:t>en el Anexo a la presente Carta</w:t>
      </w:r>
      <w:r w:rsidRPr="00C71C8D">
        <w:rPr>
          <w:sz w:val="24"/>
          <w:szCs w:val="24"/>
        </w:rPr>
        <w:t>. Todo Estado Miembro que objete la aprobación de un proyecto de Recomendación debe informar al Director y al Presidente de la Comisión de Estudio de los motivos de dicha objeción.</w:t>
      </w:r>
    </w:p>
    <w:p w:rsidR="007E0705" w:rsidRPr="00C71C8D" w:rsidRDefault="007E0705" w:rsidP="00B34B31">
      <w:pPr>
        <w:rPr>
          <w:sz w:val="24"/>
          <w:szCs w:val="24"/>
        </w:rPr>
      </w:pPr>
      <w:r w:rsidRPr="00C71C8D">
        <w:rPr>
          <w:sz w:val="24"/>
          <w:szCs w:val="24"/>
        </w:rPr>
        <w:t>Con respecto a las disposiciones del § A2.6.2.3 de la Resolución UIT-R 1-7, se solicita a los Estados Miembros que informen a la Secretaría (</w:t>
      </w:r>
      <w:hyperlink r:id="rId7" w:history="1">
        <w:r w:rsidRPr="00C71C8D">
          <w:rPr>
            <w:color w:val="0000FF"/>
            <w:sz w:val="24"/>
            <w:szCs w:val="24"/>
            <w:u w:val="single"/>
          </w:rPr>
          <w:t>brsgd@itu.int</w:t>
        </w:r>
      </w:hyperlink>
      <w:r w:rsidRPr="00C71C8D">
        <w:rPr>
          <w:sz w:val="24"/>
          <w:szCs w:val="24"/>
        </w:rPr>
        <w:t xml:space="preserve">) antes del </w:t>
      </w:r>
      <w:r w:rsidR="00B34B31">
        <w:rPr>
          <w:sz w:val="24"/>
          <w:szCs w:val="24"/>
          <w:u w:val="single"/>
        </w:rPr>
        <w:t>9</w:t>
      </w:r>
      <w:bookmarkStart w:id="7" w:name="_GoBack"/>
      <w:bookmarkEnd w:id="7"/>
      <w:r w:rsidR="0004556D">
        <w:rPr>
          <w:sz w:val="24"/>
          <w:szCs w:val="24"/>
          <w:u w:val="single"/>
        </w:rPr>
        <w:t xml:space="preserve"> de febrero de 2017</w:t>
      </w:r>
      <w:r w:rsidRPr="00C71C8D">
        <w:rPr>
          <w:sz w:val="24"/>
          <w:szCs w:val="24"/>
        </w:rPr>
        <w:t xml:space="preserve"> si aprueban o no la</w:t>
      </w:r>
      <w:r w:rsidR="0004556D">
        <w:rPr>
          <w:sz w:val="24"/>
          <w:szCs w:val="24"/>
        </w:rPr>
        <w:t>s</w:t>
      </w:r>
      <w:r w:rsidRPr="00C71C8D">
        <w:rPr>
          <w:sz w:val="24"/>
          <w:szCs w:val="24"/>
        </w:rPr>
        <w:t xml:space="preserve"> propuesta</w:t>
      </w:r>
      <w:r w:rsidR="0004556D">
        <w:rPr>
          <w:sz w:val="24"/>
          <w:szCs w:val="24"/>
        </w:rPr>
        <w:t>s</w:t>
      </w:r>
      <w:r w:rsidRPr="00C71C8D">
        <w:rPr>
          <w:sz w:val="24"/>
          <w:szCs w:val="24"/>
        </w:rPr>
        <w:t xml:space="preserve"> anterior</w:t>
      </w:r>
      <w:r w:rsidR="0004556D">
        <w:rPr>
          <w:sz w:val="24"/>
          <w:szCs w:val="24"/>
        </w:rPr>
        <w:t>es</w:t>
      </w:r>
      <w:r w:rsidRPr="00C71C8D">
        <w:rPr>
          <w:sz w:val="24"/>
          <w:szCs w:val="24"/>
        </w:rPr>
        <w:t>.</w:t>
      </w:r>
    </w:p>
    <w:p w:rsidR="007E0705" w:rsidRPr="00C71C8D" w:rsidRDefault="007E0705" w:rsidP="007E0705">
      <w:pPr>
        <w:rPr>
          <w:sz w:val="24"/>
          <w:szCs w:val="24"/>
        </w:rPr>
      </w:pPr>
      <w:r w:rsidRPr="00C71C8D">
        <w:rPr>
          <w:sz w:val="24"/>
          <w:szCs w:val="24"/>
        </w:rPr>
        <w:t>Tras la fecha límite mencionada, los resultados de esta consulta s</w:t>
      </w:r>
      <w:r w:rsidR="0004556D">
        <w:rPr>
          <w:sz w:val="24"/>
          <w:szCs w:val="24"/>
        </w:rPr>
        <w:t>e comunicarán mediante Circular </w:t>
      </w:r>
      <w:r w:rsidRPr="00C71C8D">
        <w:rPr>
          <w:sz w:val="24"/>
          <w:szCs w:val="24"/>
        </w:rPr>
        <w:t>Administrativa y las Recomendaciones aprobadas se publicarán tan pronto como sea posible (véase</w:t>
      </w:r>
      <w:r w:rsidR="0004556D">
        <w:rPr>
          <w:sz w:val="24"/>
          <w:szCs w:val="24"/>
        </w:rPr>
        <w:t> </w:t>
      </w:r>
      <w:hyperlink r:id="rId8" w:history="1">
        <w:r w:rsidRPr="00C71C8D">
          <w:rPr>
            <w:color w:val="0000FF"/>
            <w:sz w:val="24"/>
            <w:szCs w:val="24"/>
            <w:u w:val="single"/>
          </w:rPr>
          <w:t>http://www.itu.int/pub/R-REC</w:t>
        </w:r>
      </w:hyperlink>
      <w:r w:rsidRPr="00C71C8D">
        <w:rPr>
          <w:sz w:val="24"/>
          <w:szCs w:val="24"/>
        </w:rPr>
        <w:t>).</w:t>
      </w:r>
    </w:p>
    <w:p w:rsidR="007E0705" w:rsidRPr="00C71C8D" w:rsidRDefault="007E0705" w:rsidP="007E0705">
      <w:pPr>
        <w:tabs>
          <w:tab w:val="clear" w:pos="794"/>
          <w:tab w:val="clear" w:pos="1191"/>
          <w:tab w:val="clear" w:pos="1588"/>
          <w:tab w:val="clear" w:pos="1985"/>
        </w:tabs>
        <w:overflowPunct/>
        <w:autoSpaceDE/>
        <w:autoSpaceDN/>
        <w:adjustRightInd/>
        <w:spacing w:before="0"/>
        <w:textAlignment w:val="auto"/>
        <w:rPr>
          <w:sz w:val="24"/>
          <w:szCs w:val="24"/>
        </w:rPr>
      </w:pPr>
      <w:r w:rsidRPr="00C71C8D">
        <w:rPr>
          <w:sz w:val="24"/>
          <w:szCs w:val="24"/>
        </w:rPr>
        <w:br w:type="page"/>
      </w:r>
    </w:p>
    <w:p w:rsidR="007E0705" w:rsidRPr="00C71C8D" w:rsidRDefault="007E0705" w:rsidP="00D85CFE">
      <w:pPr>
        <w:rPr>
          <w:sz w:val="24"/>
          <w:szCs w:val="24"/>
        </w:rPr>
      </w:pPr>
      <w:r w:rsidRPr="00C71C8D">
        <w:rPr>
          <w:sz w:val="24"/>
          <w:szCs w:val="24"/>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9" w:history="1">
        <w:r w:rsidR="00D85CFE" w:rsidRPr="00C71C8D">
          <w:rPr>
            <w:rStyle w:val="Hyperlink"/>
            <w:rFonts w:cs="Calibri"/>
            <w:sz w:val="24"/>
            <w:szCs w:val="24"/>
          </w:rPr>
          <w:t>http://www.itu.int/en/ITU-T/ipr/Pages/policy.aspx</w:t>
        </w:r>
      </w:hyperlink>
      <w:r w:rsidRPr="00C71C8D">
        <w:rPr>
          <w:sz w:val="24"/>
          <w:szCs w:val="24"/>
        </w:rPr>
        <w:t>.</w:t>
      </w:r>
    </w:p>
    <w:p w:rsidR="007E0705" w:rsidRPr="00C71C8D" w:rsidRDefault="007E0705" w:rsidP="00FD63D4">
      <w:pPr>
        <w:spacing w:before="1440"/>
        <w:jc w:val="left"/>
        <w:rPr>
          <w:sz w:val="24"/>
          <w:szCs w:val="24"/>
        </w:rPr>
      </w:pPr>
      <w:r w:rsidRPr="00C71C8D">
        <w:rPr>
          <w:sz w:val="24"/>
          <w:szCs w:val="24"/>
        </w:rPr>
        <w:t>Francois Rancy</w:t>
      </w:r>
      <w:r w:rsidR="00D85CFE" w:rsidRPr="00C71C8D">
        <w:rPr>
          <w:sz w:val="24"/>
          <w:szCs w:val="24"/>
        </w:rPr>
        <w:br/>
      </w:r>
      <w:r w:rsidRPr="00C71C8D">
        <w:rPr>
          <w:sz w:val="24"/>
          <w:szCs w:val="24"/>
        </w:rPr>
        <w:t>Director</w:t>
      </w:r>
    </w:p>
    <w:p w:rsidR="007E0705" w:rsidRPr="00C71C8D" w:rsidRDefault="007E0705" w:rsidP="0004556D">
      <w:pPr>
        <w:spacing w:before="720"/>
        <w:rPr>
          <w:sz w:val="24"/>
          <w:szCs w:val="24"/>
        </w:rPr>
      </w:pPr>
      <w:r w:rsidRPr="00C71C8D">
        <w:rPr>
          <w:b/>
          <w:bCs/>
          <w:sz w:val="24"/>
          <w:szCs w:val="24"/>
        </w:rPr>
        <w:t>Anexo:</w:t>
      </w:r>
      <w:r w:rsidR="0004556D">
        <w:rPr>
          <w:sz w:val="24"/>
          <w:szCs w:val="24"/>
        </w:rPr>
        <w:tab/>
      </w:r>
      <w:r w:rsidR="0004556D">
        <w:rPr>
          <w:sz w:val="24"/>
          <w:szCs w:val="24"/>
        </w:rPr>
        <w:tab/>
      </w:r>
      <w:r w:rsidR="0004556D">
        <w:rPr>
          <w:sz w:val="24"/>
          <w:szCs w:val="24"/>
        </w:rPr>
        <w:tab/>
      </w:r>
      <w:r w:rsidRPr="00C71C8D">
        <w:rPr>
          <w:sz w:val="24"/>
          <w:szCs w:val="24"/>
        </w:rPr>
        <w:t>Títulos y resúmenes de los proyectos de Recomendaciones</w:t>
      </w:r>
    </w:p>
    <w:p w:rsidR="007E0705" w:rsidRPr="00C71C8D" w:rsidRDefault="007E0705" w:rsidP="0004556D">
      <w:pPr>
        <w:spacing w:before="480"/>
        <w:rPr>
          <w:sz w:val="24"/>
          <w:szCs w:val="24"/>
        </w:rPr>
      </w:pPr>
      <w:r w:rsidRPr="00C71C8D">
        <w:rPr>
          <w:b/>
          <w:bCs/>
          <w:sz w:val="24"/>
          <w:szCs w:val="24"/>
        </w:rPr>
        <w:t>Documentos:</w:t>
      </w:r>
      <w:r w:rsidRPr="00C71C8D">
        <w:rPr>
          <w:sz w:val="24"/>
          <w:szCs w:val="24"/>
        </w:rPr>
        <w:t xml:space="preserve"> </w:t>
      </w:r>
      <w:r w:rsidR="0004556D">
        <w:rPr>
          <w:sz w:val="24"/>
          <w:szCs w:val="24"/>
        </w:rPr>
        <w:tab/>
      </w:r>
      <w:r w:rsidRPr="00C71C8D">
        <w:rPr>
          <w:sz w:val="24"/>
          <w:szCs w:val="24"/>
        </w:rPr>
        <w:t xml:space="preserve">Documentos </w:t>
      </w:r>
      <w:r w:rsidR="0004556D">
        <w:rPr>
          <w:sz w:val="24"/>
          <w:szCs w:val="24"/>
        </w:rPr>
        <w:t>5/18</w:t>
      </w:r>
      <w:r w:rsidRPr="00C71C8D">
        <w:rPr>
          <w:sz w:val="24"/>
          <w:szCs w:val="24"/>
        </w:rPr>
        <w:t xml:space="preserve">(Rev.1), </w:t>
      </w:r>
      <w:r w:rsidR="0004556D">
        <w:rPr>
          <w:sz w:val="24"/>
          <w:szCs w:val="24"/>
        </w:rPr>
        <w:t>5/20</w:t>
      </w:r>
      <w:r w:rsidRPr="00C71C8D">
        <w:rPr>
          <w:sz w:val="24"/>
          <w:szCs w:val="24"/>
        </w:rPr>
        <w:t xml:space="preserve">(Rev.1), </w:t>
      </w:r>
      <w:r w:rsidR="0004556D">
        <w:rPr>
          <w:sz w:val="24"/>
          <w:szCs w:val="24"/>
        </w:rPr>
        <w:t>5/21</w:t>
      </w:r>
      <w:r w:rsidR="0004556D" w:rsidRPr="00C71C8D">
        <w:rPr>
          <w:sz w:val="24"/>
          <w:szCs w:val="24"/>
        </w:rPr>
        <w:t xml:space="preserve">(Rev.1), </w:t>
      </w:r>
      <w:r w:rsidR="0004556D">
        <w:rPr>
          <w:sz w:val="24"/>
          <w:szCs w:val="24"/>
        </w:rPr>
        <w:t>5/22(Rev.1)</w:t>
      </w:r>
    </w:p>
    <w:p w:rsidR="007E0705" w:rsidRPr="00C71C8D" w:rsidRDefault="007E0705" w:rsidP="0004556D">
      <w:pPr>
        <w:jc w:val="left"/>
        <w:rPr>
          <w:sz w:val="24"/>
          <w:szCs w:val="24"/>
        </w:rPr>
      </w:pPr>
      <w:r w:rsidRPr="00C71C8D">
        <w:rPr>
          <w:sz w:val="24"/>
          <w:szCs w:val="24"/>
        </w:rPr>
        <w:t>Estos documentos están disponibles en formato electrónico en la dirección:</w:t>
      </w:r>
      <w:r w:rsidR="00FD63D4" w:rsidRPr="00C71C8D">
        <w:rPr>
          <w:sz w:val="24"/>
          <w:szCs w:val="24"/>
        </w:rPr>
        <w:t xml:space="preserve"> </w:t>
      </w:r>
      <w:hyperlink r:id="rId10" w:history="1">
        <w:r w:rsidR="0004556D" w:rsidRPr="00953FA2">
          <w:rPr>
            <w:rStyle w:val="Hyperlink"/>
            <w:rFonts w:cs="Calibri"/>
            <w:sz w:val="24"/>
            <w:szCs w:val="24"/>
          </w:rPr>
          <w:t>http://www.itu.int/md/R15-SG05-C/en</w:t>
        </w:r>
      </w:hyperlink>
      <w:r w:rsidR="00C42DD7">
        <w:rPr>
          <w:sz w:val="24"/>
          <w:szCs w:val="24"/>
        </w:rPr>
        <w:t xml:space="preserve"> </w:t>
      </w:r>
    </w:p>
    <w:p w:rsidR="007E0705" w:rsidRPr="000266B0" w:rsidRDefault="007E0705" w:rsidP="0004556D">
      <w:pPr>
        <w:tabs>
          <w:tab w:val="left" w:pos="284"/>
          <w:tab w:val="left" w:pos="568"/>
        </w:tabs>
        <w:spacing w:before="1920"/>
        <w:rPr>
          <w:b/>
          <w:bCs/>
          <w:sz w:val="18"/>
          <w:szCs w:val="18"/>
        </w:rPr>
      </w:pPr>
      <w:r w:rsidRPr="000266B0">
        <w:rPr>
          <w:b/>
          <w:bCs/>
          <w:sz w:val="18"/>
          <w:szCs w:val="18"/>
        </w:rPr>
        <w:t>Distribución:</w:t>
      </w:r>
    </w:p>
    <w:p w:rsidR="007E0705" w:rsidRPr="000266B0" w:rsidRDefault="007E0705" w:rsidP="0004556D">
      <w:pPr>
        <w:tabs>
          <w:tab w:val="left" w:pos="567"/>
          <w:tab w:val="left" w:pos="6237"/>
        </w:tabs>
        <w:spacing w:before="0" w:line="240" w:lineRule="auto"/>
        <w:ind w:left="567" w:hanging="567"/>
        <w:rPr>
          <w:sz w:val="18"/>
          <w:szCs w:val="18"/>
        </w:rPr>
      </w:pPr>
      <w:r w:rsidRPr="000266B0">
        <w:rPr>
          <w:sz w:val="18"/>
          <w:szCs w:val="18"/>
        </w:rPr>
        <w:t>–</w:t>
      </w:r>
      <w:r w:rsidRPr="000266B0">
        <w:rPr>
          <w:sz w:val="18"/>
          <w:szCs w:val="18"/>
        </w:rPr>
        <w:tab/>
        <w:t xml:space="preserve">Administraciones de los Estados </w:t>
      </w:r>
      <w:r w:rsidR="0004556D">
        <w:rPr>
          <w:sz w:val="18"/>
          <w:szCs w:val="18"/>
        </w:rPr>
        <w:t xml:space="preserve">Miembros de la UIT y </w:t>
      </w:r>
      <w:r w:rsidRPr="000266B0">
        <w:rPr>
          <w:sz w:val="18"/>
          <w:szCs w:val="18"/>
        </w:rPr>
        <w:t xml:space="preserve">Miembros del Sector de Radiocomunicaciones que participan en los trabajos de la Comisión de </w:t>
      </w:r>
      <w:r w:rsidR="0004556D">
        <w:rPr>
          <w:sz w:val="18"/>
          <w:szCs w:val="18"/>
        </w:rPr>
        <w:t>Estudio 5</w:t>
      </w:r>
      <w:r w:rsidRPr="000266B0">
        <w:rPr>
          <w:sz w:val="18"/>
          <w:szCs w:val="18"/>
        </w:rPr>
        <w:t xml:space="preserve"> de Radiocomunicaciones </w:t>
      </w:r>
    </w:p>
    <w:p w:rsidR="007E0705" w:rsidRPr="000266B0" w:rsidRDefault="007E0705" w:rsidP="0004556D">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Asociados del UIT-R que participan en los trabajos de la Comisión de Estudio </w:t>
      </w:r>
      <w:r w:rsidR="0004556D">
        <w:rPr>
          <w:sz w:val="18"/>
          <w:szCs w:val="18"/>
        </w:rPr>
        <w:t>5</w:t>
      </w:r>
      <w:r w:rsidRPr="000266B0">
        <w:rPr>
          <w:sz w:val="18"/>
          <w:szCs w:val="18"/>
        </w:rPr>
        <w:t xml:space="preserve"> de Radiocomunicaciones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r>
      <w:r>
        <w:rPr>
          <w:sz w:val="18"/>
          <w:szCs w:val="18"/>
        </w:rPr>
        <w:t>Instituciones Académicas de la UIT</w:t>
      </w:r>
      <w:r w:rsidRPr="000266B0">
        <w:rPr>
          <w:sz w:val="18"/>
          <w:szCs w:val="18"/>
        </w:rPr>
        <w:t xml:space="preserve"> </w:t>
      </w:r>
    </w:p>
    <w:p w:rsidR="007E0705" w:rsidRPr="000266B0" w:rsidRDefault="007E0705" w:rsidP="00FD63D4">
      <w:pPr>
        <w:tabs>
          <w:tab w:val="left" w:pos="567"/>
          <w:tab w:val="left" w:pos="6237"/>
        </w:tabs>
        <w:spacing w:before="0" w:line="240" w:lineRule="auto"/>
        <w:ind w:left="567" w:hanging="567"/>
        <w:rPr>
          <w:sz w:val="18"/>
          <w:szCs w:val="18"/>
        </w:rPr>
      </w:pPr>
      <w:r w:rsidRPr="000266B0">
        <w:rPr>
          <w:sz w:val="18"/>
          <w:szCs w:val="18"/>
        </w:rPr>
        <w:t>–</w:t>
      </w:r>
      <w:r w:rsidRPr="000266B0">
        <w:rPr>
          <w:sz w:val="18"/>
          <w:szCs w:val="18"/>
        </w:rPr>
        <w:tab/>
        <w:t xml:space="preserve">Presidente y Vicepresidentes de las Comisiones de Estudio de Radiocomunicaciones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Presidente y Vicepresidentes de la Reunión Preparatoria de la Conferencia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Miembros de la Junta del Reglamento de Radiocomunicaciones </w:t>
      </w:r>
    </w:p>
    <w:p w:rsidR="00C42DD7" w:rsidRDefault="007E0705" w:rsidP="00400AF2">
      <w:pPr>
        <w:tabs>
          <w:tab w:val="left" w:pos="567"/>
          <w:tab w:val="left" w:pos="6237"/>
        </w:tabs>
        <w:overflowPunct/>
        <w:autoSpaceDE/>
        <w:autoSpaceDN/>
        <w:adjustRightInd/>
        <w:spacing w:before="0" w:line="240" w:lineRule="auto"/>
        <w:ind w:left="567" w:hanging="567"/>
        <w:textAlignment w:val="auto"/>
        <w:rPr>
          <w:sz w:val="18"/>
          <w:szCs w:val="18"/>
        </w:rPr>
      </w:pPr>
      <w:r w:rsidRPr="000266B0">
        <w:rPr>
          <w:sz w:val="18"/>
          <w:szCs w:val="18"/>
        </w:rPr>
        <w:t>–</w:t>
      </w:r>
      <w:r w:rsidRPr="000266B0">
        <w:rPr>
          <w:sz w:val="18"/>
          <w:szCs w:val="18"/>
        </w:rPr>
        <w:tab/>
        <w:t>Secretario General de la UIT, Director de la Oficina de Normalización de las Telecomunicaciones, Director de la Oficina de Desarrollo</w:t>
      </w:r>
      <w:r w:rsidR="00400AF2">
        <w:rPr>
          <w:sz w:val="18"/>
          <w:szCs w:val="18"/>
        </w:rPr>
        <w:t xml:space="preserve"> de Telecomunicaciones</w:t>
      </w:r>
    </w:p>
    <w:p w:rsidR="00C42DD7" w:rsidRDefault="00C42DD7">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7E0705" w:rsidRPr="00437A87" w:rsidRDefault="0004556D" w:rsidP="0004556D">
      <w:pPr>
        <w:pStyle w:val="AnnexNotitle0"/>
        <w:rPr>
          <w:rFonts w:asciiTheme="minorHAnsi" w:hAnsiTheme="minorHAnsi"/>
        </w:rPr>
      </w:pPr>
      <w:r>
        <w:rPr>
          <w:rFonts w:asciiTheme="minorHAnsi" w:hAnsiTheme="minorHAnsi"/>
        </w:rPr>
        <w:lastRenderedPageBreak/>
        <w:t xml:space="preserve">Anexo </w:t>
      </w:r>
      <w:r w:rsidR="00F31C52" w:rsidRPr="00437A87">
        <w:rPr>
          <w:rFonts w:asciiTheme="minorHAnsi" w:hAnsiTheme="minorHAnsi"/>
        </w:rPr>
        <w:br/>
      </w:r>
      <w:r w:rsidR="00F31C52" w:rsidRPr="00437A87">
        <w:rPr>
          <w:rFonts w:asciiTheme="minorHAnsi" w:hAnsiTheme="minorHAnsi"/>
        </w:rPr>
        <w:br/>
      </w:r>
      <w:r w:rsidR="007E0705" w:rsidRPr="00437A87">
        <w:rPr>
          <w:rFonts w:asciiTheme="minorHAnsi" w:hAnsiTheme="minorHAnsi"/>
        </w:rPr>
        <w:t xml:space="preserve">Títulos y resúmenes de los proyectos de Recomendaciones adoptados </w:t>
      </w:r>
      <w:r w:rsidR="007E0705" w:rsidRPr="00437A87">
        <w:rPr>
          <w:rFonts w:asciiTheme="minorHAnsi" w:hAnsiTheme="minorHAnsi"/>
        </w:rPr>
        <w:br/>
        <w:t xml:space="preserve">por la Comisión de Estudio </w:t>
      </w:r>
      <w:r>
        <w:rPr>
          <w:rFonts w:asciiTheme="minorHAnsi" w:hAnsiTheme="minorHAnsi"/>
        </w:rPr>
        <w:t>5</w:t>
      </w:r>
      <w:r w:rsidR="007E0705" w:rsidRPr="00437A87">
        <w:rPr>
          <w:rFonts w:asciiTheme="minorHAnsi" w:hAnsiTheme="minorHAnsi"/>
        </w:rPr>
        <w:t xml:space="preserve"> de Radiocomunicaciones</w:t>
      </w:r>
    </w:p>
    <w:p w:rsidR="00392522" w:rsidRPr="00392522" w:rsidRDefault="00392522" w:rsidP="00392522">
      <w:pPr>
        <w:tabs>
          <w:tab w:val="clear" w:pos="794"/>
          <w:tab w:val="clear" w:pos="1191"/>
          <w:tab w:val="clear" w:pos="1588"/>
          <w:tab w:val="clear" w:pos="1985"/>
          <w:tab w:val="right" w:pos="9639"/>
        </w:tabs>
        <w:spacing w:before="360"/>
        <w:rPr>
          <w:sz w:val="24"/>
          <w:szCs w:val="24"/>
          <w:u w:val="single"/>
        </w:rPr>
      </w:pPr>
      <w:r w:rsidRPr="00392522">
        <w:rPr>
          <w:sz w:val="24"/>
          <w:szCs w:val="24"/>
          <w:u w:val="single"/>
        </w:rPr>
        <w:t>Proyecto de nueva Recomendación UIT-R M.[IMT.MODEL]</w:t>
      </w:r>
      <w:r w:rsidRPr="00392522">
        <w:rPr>
          <w:sz w:val="24"/>
          <w:szCs w:val="24"/>
        </w:rPr>
        <w:tab/>
        <w:t>Doc. 5/22</w:t>
      </w:r>
      <w:r>
        <w:rPr>
          <w:sz w:val="24"/>
          <w:szCs w:val="24"/>
        </w:rPr>
        <w:t>(Rev.1)</w:t>
      </w:r>
    </w:p>
    <w:p w:rsidR="00392522" w:rsidRPr="00655845" w:rsidRDefault="00392522" w:rsidP="00392522">
      <w:pPr>
        <w:pStyle w:val="Rectitle"/>
        <w:rPr>
          <w:szCs w:val="24"/>
        </w:rPr>
      </w:pPr>
      <w:r w:rsidRPr="00655845">
        <w:rPr>
          <w:lang w:eastAsia="zh-CN"/>
        </w:rPr>
        <w:t xml:space="preserve">Modelización y simulación </w:t>
      </w:r>
      <w:r w:rsidRPr="00655845">
        <w:t>de</w:t>
      </w:r>
      <w:r w:rsidRPr="00655845">
        <w:rPr>
          <w:lang w:eastAsia="zh-CN"/>
        </w:rPr>
        <w:t xml:space="preserve"> redes IMT para utilización en estudios de compartición y compatibilidad</w:t>
      </w:r>
    </w:p>
    <w:p w:rsidR="00392522" w:rsidRPr="00392522" w:rsidRDefault="00392522" w:rsidP="00392522">
      <w:pPr>
        <w:pStyle w:val="Normalaftertitle"/>
        <w:spacing w:before="360"/>
        <w:rPr>
          <w:sz w:val="24"/>
          <w:szCs w:val="24"/>
        </w:rPr>
      </w:pPr>
      <w:r w:rsidRPr="00392522">
        <w:rPr>
          <w:sz w:val="24"/>
          <w:szCs w:val="24"/>
        </w:rPr>
        <w:t>Esta Recomendación contiene la metodología para la modelización y simulación de redes IMT con miras a su utilización en estudios de compartición y compatibilidad entre las IMT y otros sistemas y/o aplicaciones. Como tal, no hace ninguna suposición en cuanto a los parámetros de sistema ni a la modelización de esos otros sistemas o aplicaciones y se limita estrictamente a facilitar información para los sistemas IMT.</w:t>
      </w:r>
    </w:p>
    <w:p w:rsidR="00392522" w:rsidRPr="00392522" w:rsidRDefault="00392522" w:rsidP="00392522">
      <w:pPr>
        <w:tabs>
          <w:tab w:val="clear" w:pos="794"/>
          <w:tab w:val="clear" w:pos="1191"/>
          <w:tab w:val="clear" w:pos="1588"/>
          <w:tab w:val="clear" w:pos="1985"/>
          <w:tab w:val="right" w:pos="9639"/>
        </w:tabs>
        <w:spacing w:before="360"/>
        <w:rPr>
          <w:sz w:val="24"/>
          <w:szCs w:val="24"/>
        </w:rPr>
      </w:pPr>
      <w:r w:rsidRPr="00392522">
        <w:rPr>
          <w:sz w:val="24"/>
          <w:szCs w:val="24"/>
          <w:u w:val="single"/>
        </w:rPr>
        <w:t>Proyecto de revisión de la Recomendación UIT-R M.1457-12</w:t>
      </w:r>
      <w:r w:rsidRPr="00392522">
        <w:rPr>
          <w:sz w:val="24"/>
          <w:szCs w:val="24"/>
        </w:rPr>
        <w:tab/>
        <w:t>Doc. 5/18</w:t>
      </w:r>
      <w:r>
        <w:rPr>
          <w:sz w:val="24"/>
          <w:szCs w:val="24"/>
        </w:rPr>
        <w:t>(Rev.1)</w:t>
      </w:r>
    </w:p>
    <w:p w:rsidR="00392522" w:rsidRPr="00655845" w:rsidRDefault="00392522" w:rsidP="00392522">
      <w:pPr>
        <w:pStyle w:val="Rectitle"/>
      </w:pPr>
      <w:r w:rsidRPr="00655845">
        <w:t>Especificaciones detalladas de las interfaces radioeléctricas terrenales de las telecomunicaciones móviles internacionales-2000 (IMT-2000)</w:t>
      </w:r>
    </w:p>
    <w:p w:rsidR="00392522" w:rsidRPr="00392522" w:rsidRDefault="00392522" w:rsidP="00392522">
      <w:pPr>
        <w:pStyle w:val="Normalaftertitle"/>
        <w:spacing w:before="360"/>
        <w:rPr>
          <w:sz w:val="24"/>
          <w:szCs w:val="24"/>
          <w:lang w:eastAsia="ja-JP"/>
        </w:rPr>
      </w:pPr>
      <w:r w:rsidRPr="00392522">
        <w:rPr>
          <w:sz w:val="24"/>
          <w:szCs w:val="24"/>
        </w:rPr>
        <w:t>Esta modificación de la Recomendación UIT-R M.1457 tiene por objeto mantener actualizadas las tecnologías especificadas de la componente terrenal de las IMT-2000. Los cambios principales incluyen la adición de capacidades mejoradas para las tecnologías de interfaces radioeléctricas (RIT) CDMA DS, CDMA MC, CDMA TDD, TDMA SC y FDMA/TDMA, y las correspondientes modificaciones en los puntos sobre «visión general» del texto, así como las especificaciones globales básicas. Además, se han actualizado las referencias de la transposición en las secciones 5.1, 5.2, 5.3, 5.4 y también 5.5. La RIT OFDMA TDD WMAN no dispone de actualización, y la sección 5.6 se mantiene sin cambios respecto de la Revisión 12.</w:t>
      </w:r>
    </w:p>
    <w:p w:rsidR="00392522" w:rsidRPr="00392522" w:rsidRDefault="00392522" w:rsidP="004E7F05">
      <w:pPr>
        <w:rPr>
          <w:sz w:val="24"/>
          <w:szCs w:val="24"/>
          <w:lang w:eastAsia="ja-JP"/>
        </w:rPr>
      </w:pPr>
      <w:r w:rsidRPr="00392522">
        <w:rPr>
          <w:sz w:val="24"/>
          <w:szCs w:val="24"/>
        </w:rPr>
        <w:t>Se observó que la Revisión 12 de la Recomendación UIT-R M.1457 se había convertido en un documento complicado y de gran extensión, y que el proceso de revisión se había vuelto en cierto modo gravoso para las organizaciones externas y para la BR. Como consecuencia de ello, el GT 5D consideró la posibilidad de racionalizar la información contenida en la Recomendación UIT</w:t>
      </w:r>
      <w:r w:rsidRPr="00392522">
        <w:rPr>
          <w:sz w:val="24"/>
          <w:szCs w:val="24"/>
        </w:rPr>
        <w:noBreakHyphen/>
        <w:t>R M.1457 comenzando con la presente revisión. Dicha racionalización consiste en no reiterar la información de versiones anteriores más allá de cierto punto. Se coordinó la racionalización propuesta con las organizaciones exteriores al comienzo</w:t>
      </w:r>
      <w:r w:rsidRPr="00392522">
        <w:rPr>
          <w:sz w:val="24"/>
          <w:szCs w:val="24"/>
          <w:lang w:eastAsia="ja-JP"/>
        </w:rPr>
        <w:t xml:space="preserve"> de la elaboración de la puesta al día de la Revisión 13, en una contribución de Proponentes de las GCS de CDMA DS y CDMA TDD, que también fue apoyada por el Proponente de las GCS TDMA SC, se propuso añadir el texto </w:t>
      </w:r>
      <w:r w:rsidR="004E7F05" w:rsidRPr="00392522">
        <w:rPr>
          <w:sz w:val="24"/>
          <w:szCs w:val="24"/>
        </w:rPr>
        <w:t>«</w:t>
      </w:r>
      <w:r w:rsidRPr="00392522">
        <w:rPr>
          <w:sz w:val="24"/>
          <w:szCs w:val="24"/>
          <w:lang w:eastAsia="ja-JP"/>
        </w:rPr>
        <w:t>Sólo las especificaciones enumeradas a continuación son pertinentes para esta Recomendación</w:t>
      </w:r>
      <w:r w:rsidRPr="00392522">
        <w:rPr>
          <w:rFonts w:eastAsia="SimSun"/>
          <w:color w:val="000000"/>
          <w:sz w:val="24"/>
          <w:szCs w:val="28"/>
          <w:lang w:eastAsia="zh-CN"/>
        </w:rPr>
        <w:t>. Para obtener información sobre versiones anteriores a la versión 8, véase la Recomendación UIT</w:t>
      </w:r>
      <w:r w:rsidRPr="00392522">
        <w:rPr>
          <w:rFonts w:eastAsia="SimSun"/>
          <w:color w:val="000000"/>
          <w:sz w:val="24"/>
          <w:szCs w:val="28"/>
          <w:lang w:eastAsia="zh-CN"/>
        </w:rPr>
        <w:noBreakHyphen/>
        <w:t>R M.1457-12</w:t>
      </w:r>
      <w:r w:rsidRPr="00392522">
        <w:rPr>
          <w:color w:val="000000"/>
          <w:sz w:val="24"/>
          <w:szCs w:val="28"/>
        </w:rPr>
        <w:t>.</w:t>
      </w:r>
      <w:r w:rsidR="004E7F05" w:rsidRPr="00392522">
        <w:rPr>
          <w:sz w:val="24"/>
          <w:szCs w:val="24"/>
        </w:rPr>
        <w:t>»</w:t>
      </w:r>
      <w:r w:rsidRPr="00392522">
        <w:rPr>
          <w:sz w:val="24"/>
          <w:szCs w:val="24"/>
          <w:lang w:eastAsia="ja-JP"/>
        </w:rPr>
        <w:t xml:space="preserve"> en las secciones 5.1.2 y 5.3.2. Dicha propuesta fue acordada en el GT 5D y se reflejó en las citadas secciones</w:t>
      </w:r>
      <w:r w:rsidRPr="00392522">
        <w:rPr>
          <w:sz w:val="24"/>
          <w:szCs w:val="24"/>
        </w:rPr>
        <w:t>.</w:t>
      </w:r>
    </w:p>
    <w:p w:rsidR="00392522" w:rsidRPr="00392522" w:rsidRDefault="00392522" w:rsidP="00392522">
      <w:pPr>
        <w:rPr>
          <w:sz w:val="24"/>
          <w:szCs w:val="24"/>
        </w:rPr>
      </w:pPr>
      <w:r w:rsidRPr="00392522">
        <w:rPr>
          <w:sz w:val="24"/>
          <w:szCs w:val="24"/>
        </w:rPr>
        <w:t>Desde la actualización citada, se ha añadido una nueva organización de normalización (TSDSI) a las Organizaciones de Transposición para las secciones 5.1.2 y 5.3.2. (CDMA DS y CDMA TDD).</w:t>
      </w:r>
    </w:p>
    <w:p w:rsidR="00392522" w:rsidRPr="00392522" w:rsidRDefault="00392522" w:rsidP="00392522">
      <w:pPr>
        <w:rPr>
          <w:sz w:val="24"/>
          <w:szCs w:val="24"/>
        </w:rPr>
      </w:pPr>
      <w:r w:rsidRPr="00392522">
        <w:rPr>
          <w:sz w:val="24"/>
          <w:szCs w:val="24"/>
        </w:rPr>
        <w:t>La Organización de Trasposición para la sección 5.4.2 (TDMA SC) pasa a ser únicamente ATIS.</w:t>
      </w:r>
    </w:p>
    <w:p w:rsidR="00392522" w:rsidRPr="00392522" w:rsidRDefault="00392522" w:rsidP="00392522">
      <w:pPr>
        <w:tabs>
          <w:tab w:val="clear" w:pos="794"/>
          <w:tab w:val="clear" w:pos="1191"/>
          <w:tab w:val="clear" w:pos="1588"/>
          <w:tab w:val="clear" w:pos="1985"/>
          <w:tab w:val="right" w:pos="9639"/>
        </w:tabs>
        <w:spacing w:before="360"/>
        <w:rPr>
          <w:sz w:val="24"/>
          <w:szCs w:val="24"/>
        </w:rPr>
      </w:pPr>
      <w:r w:rsidRPr="00392522">
        <w:rPr>
          <w:sz w:val="24"/>
          <w:szCs w:val="24"/>
          <w:u w:val="single"/>
        </w:rPr>
        <w:lastRenderedPageBreak/>
        <w:t>Proyecto de revisión de la Recomendación UIT-R M.2070-0</w:t>
      </w:r>
      <w:r w:rsidRPr="00392522">
        <w:rPr>
          <w:sz w:val="24"/>
          <w:szCs w:val="24"/>
          <w:u w:val="single"/>
          <w:cs/>
        </w:rPr>
        <w:t>‎</w:t>
      </w:r>
      <w:r w:rsidRPr="00392522">
        <w:rPr>
          <w:sz w:val="24"/>
          <w:szCs w:val="24"/>
        </w:rPr>
        <w:tab/>
        <w:t>Doc. 5/20</w:t>
      </w:r>
      <w:r>
        <w:rPr>
          <w:sz w:val="24"/>
          <w:szCs w:val="24"/>
        </w:rPr>
        <w:t>(Rev.1)</w:t>
      </w:r>
    </w:p>
    <w:p w:rsidR="00392522" w:rsidRPr="00655845" w:rsidRDefault="00392522" w:rsidP="00392522">
      <w:pPr>
        <w:pStyle w:val="Rectitle"/>
        <w:tabs>
          <w:tab w:val="clear" w:pos="1191"/>
          <w:tab w:val="clear" w:pos="1588"/>
          <w:tab w:val="clear" w:pos="1985"/>
          <w:tab w:val="left" w:pos="5370"/>
        </w:tabs>
      </w:pPr>
      <w:r w:rsidRPr="00655845">
        <w:t>Características genéricas de las emisiones no deseadas procedentes</w:t>
      </w:r>
      <w:r w:rsidRPr="00655845">
        <w:br/>
        <w:t xml:space="preserve">de </w:t>
      </w:r>
      <w:r w:rsidRPr="00655845">
        <w:rPr>
          <w:cs/>
        </w:rPr>
        <w:t>‎</w:t>
      </w:r>
      <w:r w:rsidRPr="00655845">
        <w:t>estaciones de base que utilizan las interfaces radioeléctricas</w:t>
      </w:r>
      <w:r w:rsidRPr="00655845">
        <w:br/>
        <w:t xml:space="preserve">terrenales de las </w:t>
      </w:r>
      <w:r w:rsidRPr="00655845">
        <w:rPr>
          <w:cs/>
        </w:rPr>
        <w:t>‎</w:t>
      </w:r>
      <w:r w:rsidRPr="00655845">
        <w:t>IMT-Avanzadas</w:t>
      </w:r>
    </w:p>
    <w:p w:rsidR="00392522" w:rsidRPr="00392522" w:rsidRDefault="00392522" w:rsidP="00392522">
      <w:pPr>
        <w:pStyle w:val="Normalaftertitle"/>
        <w:spacing w:before="360"/>
        <w:rPr>
          <w:sz w:val="24"/>
          <w:szCs w:val="24"/>
        </w:rPr>
      </w:pPr>
      <w:r w:rsidRPr="00392522">
        <w:rPr>
          <w:sz w:val="24"/>
          <w:szCs w:val="24"/>
        </w:rPr>
        <w:t>En esta revisión se efectúan los cambios siguientes:</w:t>
      </w:r>
    </w:p>
    <w:p w:rsidR="00392522" w:rsidRPr="00392522" w:rsidRDefault="00392522" w:rsidP="00392522">
      <w:pPr>
        <w:pStyle w:val="enumlev1"/>
        <w:rPr>
          <w:sz w:val="24"/>
          <w:szCs w:val="24"/>
        </w:rPr>
      </w:pPr>
      <w:r w:rsidRPr="00392522">
        <w:rPr>
          <w:sz w:val="24"/>
          <w:szCs w:val="24"/>
        </w:rPr>
        <w:t>–</w:t>
      </w:r>
      <w:r w:rsidRPr="00392522">
        <w:rPr>
          <w:sz w:val="24"/>
          <w:szCs w:val="24"/>
        </w:rPr>
        <w:tab/>
        <w:t xml:space="preserve">Se ha incorporado material el 3GPP (Documentos </w:t>
      </w:r>
      <w:hyperlink r:id="rId11" w:history="1">
        <w:r w:rsidRPr="00392522">
          <w:rPr>
            <w:rStyle w:val="Hyperlink"/>
            <w:sz w:val="24"/>
            <w:szCs w:val="24"/>
          </w:rPr>
          <w:t>5D/35</w:t>
        </w:r>
      </w:hyperlink>
      <w:r w:rsidRPr="00392522">
        <w:rPr>
          <w:sz w:val="24"/>
          <w:szCs w:val="24"/>
        </w:rPr>
        <w:t xml:space="preserve">, </w:t>
      </w:r>
      <w:hyperlink r:id="rId12" w:history="1">
        <w:r w:rsidRPr="00392522">
          <w:rPr>
            <w:rStyle w:val="Hyperlink"/>
            <w:sz w:val="24"/>
            <w:szCs w:val="24"/>
          </w:rPr>
          <w:t>5D/204</w:t>
        </w:r>
      </w:hyperlink>
      <w:r w:rsidRPr="00392522">
        <w:rPr>
          <w:sz w:val="24"/>
          <w:szCs w:val="24"/>
        </w:rPr>
        <w:t xml:space="preserve">, </w:t>
      </w:r>
      <w:hyperlink r:id="rId13" w:history="1">
        <w:r w:rsidRPr="00392522">
          <w:rPr>
            <w:rStyle w:val="Hyperlink"/>
            <w:sz w:val="24"/>
            <w:szCs w:val="24"/>
          </w:rPr>
          <w:t>5D/275</w:t>
        </w:r>
      </w:hyperlink>
      <w:r w:rsidRPr="00392522">
        <w:rPr>
          <w:sz w:val="24"/>
          <w:szCs w:val="24"/>
        </w:rPr>
        <w:t>) para reflejar la última versión de 3GPP TS 36.101 Ediciones 11 y 12 (p.ej. límites de emisiones no deseadas de terminales móviles LTE-avanzadas que funcionan en banda clase 28).</w:t>
      </w:r>
    </w:p>
    <w:p w:rsidR="00392522" w:rsidRPr="00392522" w:rsidRDefault="00392522" w:rsidP="00392522">
      <w:pPr>
        <w:pStyle w:val="enumlev1"/>
        <w:rPr>
          <w:sz w:val="24"/>
          <w:szCs w:val="24"/>
        </w:rPr>
      </w:pPr>
      <w:r w:rsidRPr="00392522">
        <w:rPr>
          <w:sz w:val="24"/>
          <w:szCs w:val="24"/>
        </w:rPr>
        <w:t>–</w:t>
      </w:r>
      <w:r w:rsidRPr="00392522">
        <w:rPr>
          <w:sz w:val="24"/>
          <w:szCs w:val="24"/>
        </w:rPr>
        <w:tab/>
        <w:t>Se han ampliado los cuadros pertinentes de las Recomendaciones UIT-R M.2070 y UIT</w:t>
      </w:r>
      <w:r w:rsidRPr="00392522">
        <w:rPr>
          <w:sz w:val="24"/>
          <w:szCs w:val="24"/>
        </w:rPr>
        <w:noBreakHyphen/>
        <w:t>R M.2071 para incorporar las últimas evoluciones respecto de la agregación de portadora.</w:t>
      </w:r>
    </w:p>
    <w:p w:rsidR="00392522" w:rsidRPr="00392522" w:rsidRDefault="00392522" w:rsidP="004E7F05">
      <w:pPr>
        <w:pStyle w:val="enumlev1"/>
        <w:rPr>
          <w:sz w:val="24"/>
          <w:szCs w:val="24"/>
        </w:rPr>
      </w:pPr>
      <w:r w:rsidRPr="00392522">
        <w:rPr>
          <w:sz w:val="24"/>
          <w:szCs w:val="24"/>
        </w:rPr>
        <w:t>–</w:t>
      </w:r>
      <w:r w:rsidRPr="00392522">
        <w:rPr>
          <w:sz w:val="24"/>
          <w:szCs w:val="24"/>
        </w:rPr>
        <w:tab/>
        <w:t xml:space="preserve">Se han revisado ambas recomendaciones con respecto a las bandas de frecuencias </w:t>
      </w:r>
      <w:r w:rsidR="004E7F05" w:rsidRPr="00392522">
        <w:rPr>
          <w:sz w:val="24"/>
          <w:szCs w:val="24"/>
        </w:rPr>
        <w:t>«</w:t>
      </w:r>
      <w:r w:rsidRPr="00392522">
        <w:rPr>
          <w:sz w:val="24"/>
          <w:szCs w:val="24"/>
        </w:rPr>
        <w:t>que no están identificadas para IMT en el Reglamento de Radiocomunicaciones</w:t>
      </w:r>
      <w:r w:rsidR="004E7F05" w:rsidRPr="00392522">
        <w:rPr>
          <w:sz w:val="24"/>
          <w:szCs w:val="24"/>
        </w:rPr>
        <w:t>»</w:t>
      </w:r>
      <w:r w:rsidRPr="00392522">
        <w:rPr>
          <w:sz w:val="24"/>
          <w:szCs w:val="24"/>
        </w:rPr>
        <w:t xml:space="preserve"> contenidas en esas recomendaciones y se han actualizado las entradas correspondientes, teniendo también en cuenta los resultados de la CMR-15 y nuevas combinaciones de agregación de portadora.</w:t>
      </w:r>
    </w:p>
    <w:p w:rsidR="00392522" w:rsidRPr="00392522" w:rsidRDefault="00392522" w:rsidP="00392522">
      <w:pPr>
        <w:tabs>
          <w:tab w:val="clear" w:pos="794"/>
          <w:tab w:val="clear" w:pos="1191"/>
          <w:tab w:val="clear" w:pos="1588"/>
          <w:tab w:val="clear" w:pos="1985"/>
          <w:tab w:val="right" w:pos="9639"/>
        </w:tabs>
        <w:spacing w:before="360"/>
        <w:rPr>
          <w:sz w:val="24"/>
          <w:szCs w:val="24"/>
        </w:rPr>
      </w:pPr>
      <w:r w:rsidRPr="00392522">
        <w:rPr>
          <w:sz w:val="24"/>
          <w:szCs w:val="24"/>
          <w:u w:val="single"/>
        </w:rPr>
        <w:t>Proyecto de revisión de la Recomendación UIT-R M.2071-0</w:t>
      </w:r>
      <w:r w:rsidRPr="00392522">
        <w:rPr>
          <w:sz w:val="24"/>
          <w:szCs w:val="24"/>
          <w:u w:val="single"/>
          <w:cs/>
        </w:rPr>
        <w:t>‎</w:t>
      </w:r>
      <w:r w:rsidRPr="00392522">
        <w:rPr>
          <w:sz w:val="24"/>
          <w:szCs w:val="24"/>
        </w:rPr>
        <w:tab/>
        <w:t>Doc. 5/21</w:t>
      </w:r>
      <w:r>
        <w:rPr>
          <w:sz w:val="24"/>
          <w:szCs w:val="24"/>
        </w:rPr>
        <w:t>(Rev.1)</w:t>
      </w:r>
    </w:p>
    <w:p w:rsidR="00392522" w:rsidRPr="00655845" w:rsidRDefault="00392522" w:rsidP="00392522">
      <w:pPr>
        <w:pStyle w:val="Rectitle"/>
      </w:pPr>
      <w:r w:rsidRPr="00655845">
        <w:t>Características genéricas de las emisiones no deseadas procedentes</w:t>
      </w:r>
      <w:r w:rsidRPr="00655845">
        <w:br/>
        <w:t xml:space="preserve">de </w:t>
      </w:r>
      <w:r w:rsidRPr="00655845">
        <w:rPr>
          <w:cs/>
        </w:rPr>
        <w:t>‎</w:t>
      </w:r>
      <w:r w:rsidRPr="00655845">
        <w:t>estaciones móviles que utilizan las interfaces radioeléctricas</w:t>
      </w:r>
      <w:r w:rsidRPr="00655845">
        <w:br/>
        <w:t xml:space="preserve">terrenales de las </w:t>
      </w:r>
      <w:r w:rsidRPr="00655845">
        <w:rPr>
          <w:cs/>
        </w:rPr>
        <w:t>‎</w:t>
      </w:r>
      <w:r w:rsidRPr="00655845">
        <w:t>IMT-Avanzadas</w:t>
      </w:r>
    </w:p>
    <w:p w:rsidR="00392522" w:rsidRPr="00392522" w:rsidRDefault="00392522" w:rsidP="00392522">
      <w:pPr>
        <w:pStyle w:val="Normalaftertitle"/>
        <w:spacing w:before="360"/>
        <w:rPr>
          <w:sz w:val="24"/>
          <w:szCs w:val="24"/>
        </w:rPr>
      </w:pPr>
      <w:r w:rsidRPr="00392522">
        <w:rPr>
          <w:sz w:val="24"/>
          <w:szCs w:val="24"/>
        </w:rPr>
        <w:t>En esta revisión se efectúan los cambios siguientes:</w:t>
      </w:r>
    </w:p>
    <w:p w:rsidR="00392522" w:rsidRPr="00392522" w:rsidRDefault="00392522" w:rsidP="00392522">
      <w:pPr>
        <w:pStyle w:val="enumlev1"/>
        <w:rPr>
          <w:sz w:val="24"/>
          <w:szCs w:val="24"/>
        </w:rPr>
      </w:pPr>
      <w:r w:rsidRPr="00392522">
        <w:rPr>
          <w:sz w:val="24"/>
          <w:szCs w:val="24"/>
        </w:rPr>
        <w:t>–</w:t>
      </w:r>
      <w:r w:rsidRPr="00392522">
        <w:rPr>
          <w:sz w:val="24"/>
          <w:szCs w:val="24"/>
        </w:rPr>
        <w:tab/>
        <w:t xml:space="preserve">Se ha incorporado material el 3GPP (Documentos </w:t>
      </w:r>
      <w:hyperlink r:id="rId14" w:history="1">
        <w:r w:rsidRPr="00392522">
          <w:rPr>
            <w:rStyle w:val="Hyperlink"/>
            <w:rFonts w:asciiTheme="minorHAnsi" w:hAnsiTheme="minorHAnsi"/>
            <w:sz w:val="24"/>
            <w:szCs w:val="24"/>
          </w:rPr>
          <w:t>5D/35</w:t>
        </w:r>
      </w:hyperlink>
      <w:r w:rsidRPr="00392522">
        <w:rPr>
          <w:sz w:val="24"/>
          <w:szCs w:val="24"/>
        </w:rPr>
        <w:t xml:space="preserve">, </w:t>
      </w:r>
      <w:hyperlink r:id="rId15" w:history="1">
        <w:r w:rsidRPr="00392522">
          <w:rPr>
            <w:rStyle w:val="Hyperlink"/>
            <w:rFonts w:asciiTheme="minorHAnsi" w:hAnsiTheme="minorHAnsi"/>
            <w:sz w:val="24"/>
            <w:szCs w:val="24"/>
          </w:rPr>
          <w:t>5D/204</w:t>
        </w:r>
      </w:hyperlink>
      <w:r w:rsidRPr="00392522">
        <w:rPr>
          <w:sz w:val="24"/>
          <w:szCs w:val="24"/>
        </w:rPr>
        <w:t xml:space="preserve">, </w:t>
      </w:r>
      <w:hyperlink r:id="rId16" w:history="1">
        <w:r w:rsidRPr="00392522">
          <w:rPr>
            <w:rStyle w:val="Hyperlink"/>
            <w:rFonts w:asciiTheme="minorHAnsi" w:hAnsiTheme="minorHAnsi"/>
            <w:sz w:val="24"/>
            <w:szCs w:val="24"/>
          </w:rPr>
          <w:t>5D/275</w:t>
        </w:r>
      </w:hyperlink>
      <w:r w:rsidRPr="00392522">
        <w:rPr>
          <w:sz w:val="24"/>
          <w:szCs w:val="24"/>
        </w:rPr>
        <w:t>) para reflejar la última versión de 3GPP TS 36.101 Ediciones 11 y 12 (p.ej. límites de emisiones no deseadas de terminales móviles LTE-avanzadas que funcionan en banda clase 28).</w:t>
      </w:r>
    </w:p>
    <w:p w:rsidR="00392522" w:rsidRPr="00392522" w:rsidRDefault="00392522" w:rsidP="00392522">
      <w:pPr>
        <w:pStyle w:val="enumlev1"/>
        <w:rPr>
          <w:sz w:val="24"/>
          <w:szCs w:val="24"/>
        </w:rPr>
      </w:pPr>
      <w:r w:rsidRPr="00392522">
        <w:rPr>
          <w:sz w:val="24"/>
          <w:szCs w:val="24"/>
        </w:rPr>
        <w:t>–</w:t>
      </w:r>
      <w:r w:rsidRPr="00392522">
        <w:rPr>
          <w:sz w:val="24"/>
          <w:szCs w:val="24"/>
        </w:rPr>
        <w:tab/>
        <w:t>Se han ampliado los cuadros pertinentes de las Recomendaciones UIT-R M.2070 y UIT</w:t>
      </w:r>
      <w:r w:rsidRPr="00392522">
        <w:rPr>
          <w:sz w:val="24"/>
          <w:szCs w:val="24"/>
        </w:rPr>
        <w:noBreakHyphen/>
        <w:t>R M.2071 para incorporar las últimas evoluciones respecto de la agregación de portadora.</w:t>
      </w:r>
    </w:p>
    <w:p w:rsidR="007E0705" w:rsidRPr="000266B0" w:rsidRDefault="00392522" w:rsidP="004E7F05">
      <w:pPr>
        <w:pStyle w:val="enumlev1"/>
      </w:pPr>
      <w:r w:rsidRPr="00392522">
        <w:rPr>
          <w:sz w:val="24"/>
          <w:szCs w:val="24"/>
        </w:rPr>
        <w:t>–</w:t>
      </w:r>
      <w:r w:rsidRPr="00392522">
        <w:rPr>
          <w:sz w:val="24"/>
          <w:szCs w:val="24"/>
        </w:rPr>
        <w:tab/>
        <w:t xml:space="preserve">Se han revisado ambas </w:t>
      </w:r>
      <w:r w:rsidR="004E7F05" w:rsidRPr="00392522">
        <w:rPr>
          <w:sz w:val="24"/>
          <w:szCs w:val="24"/>
        </w:rPr>
        <w:t xml:space="preserve">Recomendaciones </w:t>
      </w:r>
      <w:r w:rsidRPr="00392522">
        <w:rPr>
          <w:sz w:val="24"/>
          <w:szCs w:val="24"/>
        </w:rPr>
        <w:t xml:space="preserve">con respecto a las bandas de frecuencias </w:t>
      </w:r>
      <w:r w:rsidR="004E7F05" w:rsidRPr="00392522">
        <w:rPr>
          <w:sz w:val="24"/>
          <w:szCs w:val="24"/>
        </w:rPr>
        <w:t>«</w:t>
      </w:r>
      <w:r w:rsidRPr="00392522">
        <w:rPr>
          <w:sz w:val="24"/>
          <w:szCs w:val="24"/>
        </w:rPr>
        <w:t>que no están identificadas para IMT en el Reglamento de Radiocomunicaciones</w:t>
      </w:r>
      <w:r w:rsidR="004E7F05" w:rsidRPr="00392522">
        <w:rPr>
          <w:sz w:val="24"/>
          <w:szCs w:val="24"/>
        </w:rPr>
        <w:t>»</w:t>
      </w:r>
      <w:r w:rsidRPr="00392522">
        <w:rPr>
          <w:sz w:val="24"/>
          <w:szCs w:val="24"/>
        </w:rPr>
        <w:t xml:space="preserve"> contenidas en esas </w:t>
      </w:r>
      <w:r w:rsidR="004E7F05" w:rsidRPr="00392522">
        <w:rPr>
          <w:sz w:val="24"/>
          <w:szCs w:val="24"/>
        </w:rPr>
        <w:t xml:space="preserve">Recomendaciones </w:t>
      </w:r>
      <w:r w:rsidRPr="00392522">
        <w:rPr>
          <w:sz w:val="24"/>
          <w:szCs w:val="24"/>
        </w:rPr>
        <w:t xml:space="preserve">y se han actualizado las entradas correspondientes, teniendo también en cuenta los resultados de la CMR-15 y nuevas combinaciones de agregación de portadora. </w:t>
      </w:r>
    </w:p>
    <w:p w:rsidR="000C03C7" w:rsidRDefault="000C03C7" w:rsidP="007E0705"/>
    <w:p w:rsidR="00F31C52" w:rsidRPr="004E7F05" w:rsidRDefault="00F31C52" w:rsidP="0032202E">
      <w:pPr>
        <w:pStyle w:val="Reasons"/>
        <w:rPr>
          <w:lang w:val="es-ES_tradnl"/>
        </w:rPr>
      </w:pPr>
    </w:p>
    <w:p w:rsidR="00F31C52" w:rsidRPr="00F42C8C" w:rsidRDefault="00F31C52" w:rsidP="000B2A41">
      <w:pPr>
        <w:jc w:val="center"/>
      </w:pPr>
      <w:r>
        <w:t>______________</w:t>
      </w:r>
    </w:p>
    <w:sectPr w:rsidR="00F31C52" w:rsidRPr="00F42C8C" w:rsidSect="00235A29">
      <w:headerReference w:type="even" r:id="rId17"/>
      <w:headerReference w:type="default" r:id="rId18"/>
      <w:headerReference w:type="firs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05" w:rsidRDefault="007E0705">
      <w:r>
        <w:separator/>
      </w:r>
    </w:p>
  </w:endnote>
  <w:endnote w:type="continuationSeparator" w:id="0">
    <w:p w:rsidR="007E0705" w:rsidRDefault="007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BA" w:rsidRPr="00836C8A" w:rsidRDefault="00350BBA" w:rsidP="00350BBA">
    <w:pPr>
      <w:pStyle w:val="FirstFooter"/>
      <w:spacing w:line="240" w:lineRule="auto"/>
      <w:ind w:left="-397" w:right="-397"/>
      <w:jc w:val="center"/>
      <w:rPr>
        <w:color w:val="3E8EDE"/>
        <w:sz w:val="18"/>
        <w:szCs w:val="18"/>
      </w:rPr>
    </w:pPr>
    <w:r w:rsidRPr="00836C8A">
      <w:rPr>
        <w:color w:val="3E8EDE"/>
        <w:sz w:val="18"/>
        <w:szCs w:val="18"/>
      </w:rPr>
      <w:t xml:space="preserve">Unión Internacional de Telecomunicaciones • Place des </w:t>
    </w:r>
    <w:proofErr w:type="spellStart"/>
    <w:r w:rsidRPr="00836C8A">
      <w:rPr>
        <w:color w:val="3E8EDE"/>
        <w:sz w:val="18"/>
        <w:szCs w:val="18"/>
      </w:rPr>
      <w:t>Nations</w:t>
    </w:r>
    <w:proofErr w:type="spellEnd"/>
    <w:r w:rsidRPr="00836C8A">
      <w:rPr>
        <w:color w:val="3E8EDE"/>
        <w:sz w:val="18"/>
        <w:szCs w:val="18"/>
      </w:rPr>
      <w:t xml:space="preserve"> • CH</w:t>
    </w:r>
    <w:r w:rsidRPr="00836C8A">
      <w:rPr>
        <w:color w:val="3E8EDE"/>
        <w:sz w:val="18"/>
        <w:szCs w:val="18"/>
      </w:rPr>
      <w:noBreakHyphen/>
      <w:t>1211 Ginebra 20 • Suiza</w:t>
    </w:r>
    <w:r w:rsidRPr="00836C8A">
      <w:rPr>
        <w:color w:val="3E8EDE"/>
        <w:sz w:val="18"/>
        <w:szCs w:val="18"/>
      </w:rPr>
      <w:br/>
      <w:t xml:space="preserve">Tel: +41 22 730 5111 • Fax: +41 22 733 7256 • </w:t>
    </w:r>
  </w:p>
  <w:p w:rsidR="00350BBA" w:rsidRPr="00A05567" w:rsidRDefault="00350BBA" w:rsidP="000E5E18">
    <w:pPr>
      <w:pStyle w:val="FirstFooter"/>
      <w:spacing w:line="240" w:lineRule="auto"/>
      <w:ind w:left="-397" w:right="-397"/>
      <w:jc w:val="center"/>
      <w:rPr>
        <w:sz w:val="18"/>
        <w:szCs w:val="18"/>
      </w:rPr>
    </w:pPr>
    <w:r w:rsidRPr="00836C8A">
      <w:rPr>
        <w:color w:val="3E8EDE"/>
        <w:sz w:val="18"/>
        <w:szCs w:val="18"/>
      </w:rPr>
      <w:t xml:space="preserve">Correo-e: </w:t>
    </w:r>
    <w:hyperlink r:id="rId1" w:history="1">
      <w:r w:rsidR="000E5E18">
        <w:rPr>
          <w:rStyle w:val="Hyperlink"/>
          <w:color w:val="3E8EDE"/>
          <w:sz w:val="18"/>
          <w:szCs w:val="18"/>
        </w:rPr>
        <w:t>itumail@itu.int</w:t>
      </w:r>
    </w:hyperlink>
    <w:r w:rsidR="000E5E18">
      <w:rPr>
        <w:color w:val="3E8EDE"/>
        <w:sz w:val="18"/>
        <w:szCs w:val="18"/>
      </w:rPr>
      <w:t xml:space="preserve"> • </w:t>
    </w:r>
    <w:hyperlink r:id="rId2" w:history="1">
      <w:r w:rsidR="000E5E18">
        <w:rPr>
          <w:rStyle w:val="Hyperlink"/>
          <w:color w:val="3E8EDE"/>
          <w:sz w:val="18"/>
          <w:szCs w:val="18"/>
        </w:rPr>
        <w:t>www.itu.int</w:t>
      </w:r>
    </w:hyperlink>
    <w:r w:rsidR="000E5E18">
      <w:rPr>
        <w:color w:val="3E8EDE"/>
        <w:sz w:val="18"/>
        <w:szCs w:val="18"/>
      </w:rPr>
      <w:t xml:space="preserve"> • </w:t>
    </w:r>
    <w:hyperlink r:id="rId3" w:history="1">
      <w:r w:rsidR="000E5E18">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05" w:rsidRDefault="007E0705">
      <w:r>
        <w:t>____________________</w:t>
      </w:r>
    </w:p>
  </w:footnote>
  <w:footnote w:type="continuationSeparator" w:id="0">
    <w:p w:rsidR="007E0705" w:rsidRDefault="007E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85CFE" w:rsidRDefault="00D15CFA" w:rsidP="00D85CFE">
    <w:pPr>
      <w:pStyle w:val="Header"/>
      <w:jc w:val="center"/>
      <w:rPr>
        <w:sz w:val="18"/>
        <w:szCs w:val="18"/>
      </w:rPr>
    </w:pPr>
    <w:r w:rsidRPr="00D85CFE">
      <w:rPr>
        <w:sz w:val="18"/>
        <w:szCs w:val="18"/>
      </w:rPr>
      <w:t xml:space="preserve">- </w:t>
    </w:r>
    <w:r w:rsidR="00026CF8" w:rsidRPr="00D85CFE">
      <w:rPr>
        <w:rStyle w:val="PageNumber"/>
        <w:rFonts w:cs="Calibri"/>
        <w:sz w:val="18"/>
        <w:szCs w:val="18"/>
      </w:rPr>
      <w:fldChar w:fldCharType="begin"/>
    </w:r>
    <w:r w:rsidR="00026CF8" w:rsidRPr="00D85CFE">
      <w:rPr>
        <w:rStyle w:val="PageNumber"/>
        <w:rFonts w:cs="Calibri"/>
        <w:sz w:val="18"/>
        <w:szCs w:val="18"/>
      </w:rPr>
      <w:instrText xml:space="preserve"> PAGE </w:instrText>
    </w:r>
    <w:r w:rsidR="00026CF8" w:rsidRPr="00D85CFE">
      <w:rPr>
        <w:rStyle w:val="PageNumber"/>
        <w:rFonts w:cs="Calibri"/>
        <w:sz w:val="18"/>
        <w:szCs w:val="18"/>
      </w:rPr>
      <w:fldChar w:fldCharType="separate"/>
    </w:r>
    <w:r w:rsidR="00B34B31">
      <w:rPr>
        <w:rStyle w:val="PageNumber"/>
        <w:rFonts w:cs="Calibri"/>
        <w:noProof/>
        <w:sz w:val="18"/>
        <w:szCs w:val="18"/>
      </w:rPr>
      <w:t>2</w:t>
    </w:r>
    <w:r w:rsidR="00026CF8" w:rsidRPr="00D85CFE">
      <w:rPr>
        <w:rStyle w:val="PageNumber"/>
        <w:rFonts w:cs="Calibri"/>
        <w:sz w:val="18"/>
        <w:szCs w:val="18"/>
      </w:rPr>
      <w:fldChar w:fldCharType="end"/>
    </w:r>
    <w:r w:rsidRPr="00D85CFE">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52" w:rsidRPr="00D85CFE" w:rsidRDefault="00F31C52" w:rsidP="00D85CFE">
    <w:pPr>
      <w:pStyle w:val="Header"/>
      <w:jc w:val="center"/>
      <w:rPr>
        <w:sz w:val="18"/>
        <w:szCs w:val="18"/>
      </w:rPr>
    </w:pPr>
    <w:r w:rsidRPr="00D85CFE">
      <w:rPr>
        <w:sz w:val="18"/>
        <w:szCs w:val="18"/>
      </w:rPr>
      <w:t xml:space="preserve">- </w:t>
    </w:r>
    <w:r w:rsidRPr="00D85CFE">
      <w:rPr>
        <w:rStyle w:val="PageNumber"/>
        <w:rFonts w:cs="Calibri"/>
        <w:sz w:val="18"/>
        <w:szCs w:val="18"/>
      </w:rPr>
      <w:fldChar w:fldCharType="begin"/>
    </w:r>
    <w:r w:rsidRPr="00D85CFE">
      <w:rPr>
        <w:rStyle w:val="PageNumber"/>
        <w:rFonts w:cs="Calibri"/>
        <w:sz w:val="18"/>
        <w:szCs w:val="18"/>
      </w:rPr>
      <w:instrText xml:space="preserve"> PAGE </w:instrText>
    </w:r>
    <w:r w:rsidRPr="00D85CFE">
      <w:rPr>
        <w:rStyle w:val="PageNumber"/>
        <w:rFonts w:cs="Calibri"/>
        <w:sz w:val="18"/>
        <w:szCs w:val="18"/>
      </w:rPr>
      <w:fldChar w:fldCharType="separate"/>
    </w:r>
    <w:r w:rsidR="00B34B31">
      <w:rPr>
        <w:rStyle w:val="PageNumber"/>
        <w:rFonts w:cs="Calibri"/>
        <w:noProof/>
        <w:sz w:val="18"/>
        <w:szCs w:val="18"/>
      </w:rPr>
      <w:t>3</w:t>
    </w:r>
    <w:r w:rsidRPr="00D85CFE">
      <w:rPr>
        <w:rStyle w:val="PageNumber"/>
        <w:rFonts w:cs="Calibri"/>
        <w:sz w:val="18"/>
        <w:szCs w:val="18"/>
      </w:rPr>
      <w:fldChar w:fldCharType="end"/>
    </w:r>
    <w:r w:rsidRPr="00D85CFE">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50BBA" w:rsidRPr="007B275E" w:rsidTr="00350BBA">
      <w:tc>
        <w:tcPr>
          <w:tcW w:w="5031" w:type="dxa"/>
        </w:tcPr>
        <w:p w:rsidR="00350BBA" w:rsidRPr="007B275E" w:rsidRDefault="00350BBA" w:rsidP="00350BBA">
          <w:pPr>
            <w:tabs>
              <w:tab w:val="clear" w:pos="794"/>
              <w:tab w:val="clear" w:pos="1191"/>
              <w:tab w:val="clear" w:pos="1588"/>
              <w:tab w:val="clear" w:pos="1985"/>
              <w:tab w:val="center" w:pos="9639"/>
            </w:tabs>
            <w:spacing w:before="120" w:line="360" w:lineRule="auto"/>
            <w:jc w:val="left"/>
          </w:pPr>
          <w:r w:rsidRPr="007B275E">
            <w:rPr>
              <w:b/>
              <w:bCs/>
              <w:noProof/>
              <w:lang w:val="en-US" w:eastAsia="zh-CN"/>
            </w:rPr>
            <w:drawing>
              <wp:inline distT="0" distB="0" distL="0" distR="0" wp14:anchorId="3C05C71E" wp14:editId="44B4A84F">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50BBA" w:rsidRPr="007B275E" w:rsidRDefault="00350BBA" w:rsidP="00350BBA">
          <w:pPr>
            <w:tabs>
              <w:tab w:val="clear" w:pos="794"/>
              <w:tab w:val="clear" w:pos="1191"/>
              <w:tab w:val="clear" w:pos="1588"/>
              <w:tab w:val="clear" w:pos="1985"/>
              <w:tab w:val="center" w:pos="9639"/>
            </w:tabs>
            <w:spacing w:before="0" w:line="360" w:lineRule="auto"/>
            <w:jc w:val="right"/>
          </w:pPr>
          <w:r w:rsidRPr="007B275E">
            <w:rPr>
              <w:rFonts w:cs="Arial"/>
              <w:noProof/>
              <w:lang w:val="en-US" w:eastAsia="zh-CN"/>
            </w:rPr>
            <w:drawing>
              <wp:inline distT="0" distB="0" distL="0" distR="0" wp14:anchorId="61A9B371" wp14:editId="4655E099">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50BBA" w:rsidRPr="00A05567" w:rsidRDefault="00350BBA" w:rsidP="00350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E0705"/>
    <w:rsid w:val="00010E30"/>
    <w:rsid w:val="00026CF8"/>
    <w:rsid w:val="00031E64"/>
    <w:rsid w:val="00040DF5"/>
    <w:rsid w:val="0004556D"/>
    <w:rsid w:val="00054534"/>
    <w:rsid w:val="00070258"/>
    <w:rsid w:val="00072B9B"/>
    <w:rsid w:val="00072E16"/>
    <w:rsid w:val="0007323C"/>
    <w:rsid w:val="00086D03"/>
    <w:rsid w:val="00094683"/>
    <w:rsid w:val="000A7051"/>
    <w:rsid w:val="000B2A41"/>
    <w:rsid w:val="000C03C7"/>
    <w:rsid w:val="000D786F"/>
    <w:rsid w:val="000E3DEE"/>
    <w:rsid w:val="000E5E18"/>
    <w:rsid w:val="00103C76"/>
    <w:rsid w:val="00105660"/>
    <w:rsid w:val="0011265F"/>
    <w:rsid w:val="00145AA2"/>
    <w:rsid w:val="0016308F"/>
    <w:rsid w:val="00196710"/>
    <w:rsid w:val="00197324"/>
    <w:rsid w:val="001B1CE8"/>
    <w:rsid w:val="001D7070"/>
    <w:rsid w:val="001F5A49"/>
    <w:rsid w:val="00200936"/>
    <w:rsid w:val="00201097"/>
    <w:rsid w:val="00201B6E"/>
    <w:rsid w:val="002240B2"/>
    <w:rsid w:val="0023453E"/>
    <w:rsid w:val="00235A29"/>
    <w:rsid w:val="002861E6"/>
    <w:rsid w:val="002A2700"/>
    <w:rsid w:val="002D3428"/>
    <w:rsid w:val="002D6688"/>
    <w:rsid w:val="002F0890"/>
    <w:rsid w:val="003370B8"/>
    <w:rsid w:val="00337394"/>
    <w:rsid w:val="00350BBA"/>
    <w:rsid w:val="003519FA"/>
    <w:rsid w:val="003666FF"/>
    <w:rsid w:val="003741EE"/>
    <w:rsid w:val="00392522"/>
    <w:rsid w:val="003A4DB5"/>
    <w:rsid w:val="003B2BDA"/>
    <w:rsid w:val="003B55EC"/>
    <w:rsid w:val="003C4471"/>
    <w:rsid w:val="003E504F"/>
    <w:rsid w:val="00400AF2"/>
    <w:rsid w:val="00405EAD"/>
    <w:rsid w:val="004326DB"/>
    <w:rsid w:val="0043682E"/>
    <w:rsid w:val="00437A87"/>
    <w:rsid w:val="004815EB"/>
    <w:rsid w:val="00496920"/>
    <w:rsid w:val="004B7C9A"/>
    <w:rsid w:val="004E0DC4"/>
    <w:rsid w:val="004E0FB5"/>
    <w:rsid w:val="004E43BB"/>
    <w:rsid w:val="004E7F05"/>
    <w:rsid w:val="004F178E"/>
    <w:rsid w:val="004F6466"/>
    <w:rsid w:val="00505309"/>
    <w:rsid w:val="0050789B"/>
    <w:rsid w:val="00515771"/>
    <w:rsid w:val="00542A47"/>
    <w:rsid w:val="005430D3"/>
    <w:rsid w:val="00543DF8"/>
    <w:rsid w:val="00546101"/>
    <w:rsid w:val="00553DD7"/>
    <w:rsid w:val="0057469A"/>
    <w:rsid w:val="00580814"/>
    <w:rsid w:val="005A03A3"/>
    <w:rsid w:val="005B214C"/>
    <w:rsid w:val="00602D53"/>
    <w:rsid w:val="00621E6C"/>
    <w:rsid w:val="00650346"/>
    <w:rsid w:val="00651777"/>
    <w:rsid w:val="0067458B"/>
    <w:rsid w:val="00674F4F"/>
    <w:rsid w:val="00692D08"/>
    <w:rsid w:val="006B0590"/>
    <w:rsid w:val="006B49DA"/>
    <w:rsid w:val="006C18EB"/>
    <w:rsid w:val="00700636"/>
    <w:rsid w:val="00707216"/>
    <w:rsid w:val="007234B1"/>
    <w:rsid w:val="00730B9A"/>
    <w:rsid w:val="00783681"/>
    <w:rsid w:val="00786E9F"/>
    <w:rsid w:val="007921A7"/>
    <w:rsid w:val="007A5C27"/>
    <w:rsid w:val="007B3DB1"/>
    <w:rsid w:val="007D183E"/>
    <w:rsid w:val="007E0705"/>
    <w:rsid w:val="007E304D"/>
    <w:rsid w:val="007E3F13"/>
    <w:rsid w:val="007E480E"/>
    <w:rsid w:val="00800012"/>
    <w:rsid w:val="00813653"/>
    <w:rsid w:val="0081513E"/>
    <w:rsid w:val="00823210"/>
    <w:rsid w:val="00843445"/>
    <w:rsid w:val="00847D46"/>
    <w:rsid w:val="00854131"/>
    <w:rsid w:val="0085652D"/>
    <w:rsid w:val="0087694B"/>
    <w:rsid w:val="008F4F21"/>
    <w:rsid w:val="00904D4A"/>
    <w:rsid w:val="009151BA"/>
    <w:rsid w:val="009277BC"/>
    <w:rsid w:val="00927D57"/>
    <w:rsid w:val="00941D23"/>
    <w:rsid w:val="0095010C"/>
    <w:rsid w:val="00963D9D"/>
    <w:rsid w:val="00976AAD"/>
    <w:rsid w:val="00981B54"/>
    <w:rsid w:val="009842C3"/>
    <w:rsid w:val="009A6BB6"/>
    <w:rsid w:val="009B3F43"/>
    <w:rsid w:val="009C161F"/>
    <w:rsid w:val="009D2E88"/>
    <w:rsid w:val="009E4AEC"/>
    <w:rsid w:val="009E5BD8"/>
    <w:rsid w:val="009E681E"/>
    <w:rsid w:val="00A34D6F"/>
    <w:rsid w:val="00A41F91"/>
    <w:rsid w:val="00A9168B"/>
    <w:rsid w:val="00A963DF"/>
    <w:rsid w:val="00AC3896"/>
    <w:rsid w:val="00AE6CFA"/>
    <w:rsid w:val="00AF3325"/>
    <w:rsid w:val="00B34B31"/>
    <w:rsid w:val="00B34CF9"/>
    <w:rsid w:val="00B67004"/>
    <w:rsid w:val="00B754DD"/>
    <w:rsid w:val="00B90C45"/>
    <w:rsid w:val="00B933BE"/>
    <w:rsid w:val="00BB4069"/>
    <w:rsid w:val="00BD7E5E"/>
    <w:rsid w:val="00BE6574"/>
    <w:rsid w:val="00C17C22"/>
    <w:rsid w:val="00C42DD7"/>
    <w:rsid w:val="00C57E2C"/>
    <w:rsid w:val="00C608B7"/>
    <w:rsid w:val="00C66F24"/>
    <w:rsid w:val="00C71C8D"/>
    <w:rsid w:val="00C764BA"/>
    <w:rsid w:val="00C9291E"/>
    <w:rsid w:val="00CA3F44"/>
    <w:rsid w:val="00CA4E58"/>
    <w:rsid w:val="00CB3771"/>
    <w:rsid w:val="00CB5153"/>
    <w:rsid w:val="00CC0DA0"/>
    <w:rsid w:val="00CF6752"/>
    <w:rsid w:val="00D10BA0"/>
    <w:rsid w:val="00D15CFA"/>
    <w:rsid w:val="00D2339B"/>
    <w:rsid w:val="00D24EB5"/>
    <w:rsid w:val="00D41571"/>
    <w:rsid w:val="00D416A0"/>
    <w:rsid w:val="00D47672"/>
    <w:rsid w:val="00D509E3"/>
    <w:rsid w:val="00D5123C"/>
    <w:rsid w:val="00D51C9E"/>
    <w:rsid w:val="00D55560"/>
    <w:rsid w:val="00D61C5A"/>
    <w:rsid w:val="00D85CFE"/>
    <w:rsid w:val="00DB3A18"/>
    <w:rsid w:val="00DC003B"/>
    <w:rsid w:val="00DE66A5"/>
    <w:rsid w:val="00DF2B50"/>
    <w:rsid w:val="00E003F5"/>
    <w:rsid w:val="00E04C86"/>
    <w:rsid w:val="00E20F30"/>
    <w:rsid w:val="00E27BBA"/>
    <w:rsid w:val="00E34CD1"/>
    <w:rsid w:val="00E35E8F"/>
    <w:rsid w:val="00E438E8"/>
    <w:rsid w:val="00E520E2"/>
    <w:rsid w:val="00E64254"/>
    <w:rsid w:val="00E7474D"/>
    <w:rsid w:val="00E77ED9"/>
    <w:rsid w:val="00EA15B3"/>
    <w:rsid w:val="00EB2358"/>
    <w:rsid w:val="00EB3EB8"/>
    <w:rsid w:val="00F31C52"/>
    <w:rsid w:val="00F42C8C"/>
    <w:rsid w:val="00F468C5"/>
    <w:rsid w:val="00F51F3E"/>
    <w:rsid w:val="00F52F39"/>
    <w:rsid w:val="00F55EAB"/>
    <w:rsid w:val="00F914DD"/>
    <w:rsid w:val="00F938C0"/>
    <w:rsid w:val="00FA2358"/>
    <w:rsid w:val="00FB2592"/>
    <w:rsid w:val="00FB2810"/>
    <w:rsid w:val="00FC2947"/>
    <w:rsid w:val="00FD63D4"/>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0D5415CF-5AC5-47AF-BEE2-86D8092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7E0705"/>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uiPriority w:val="99"/>
    <w:locked/>
    <w:rsid w:val="007E0705"/>
    <w:rPr>
      <w:szCs w:val="22"/>
      <w:lang w:val="es-ES_tradnl" w:eastAsia="en-US"/>
    </w:rPr>
  </w:style>
  <w:style w:type="character" w:customStyle="1" w:styleId="TableheadChar">
    <w:name w:val="Table_head Char"/>
    <w:basedOn w:val="DefaultParagraphFont"/>
    <w:link w:val="Tablehead"/>
    <w:uiPriority w:val="99"/>
    <w:locked/>
    <w:rsid w:val="007E0705"/>
    <w:rPr>
      <w:b/>
      <w:szCs w:val="22"/>
      <w:lang w:val="es-ES_tradnl" w:eastAsia="en-US"/>
    </w:rPr>
  </w:style>
  <w:style w:type="paragraph" w:customStyle="1" w:styleId="Reasons">
    <w:name w:val="Reasons"/>
    <w:basedOn w:val="Normal"/>
    <w:qFormat/>
    <w:rsid w:val="007E07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04556D"/>
    <w:rPr>
      <w:color w:val="800080" w:themeColor="followedHyperlink"/>
      <w:u w:val="single"/>
    </w:rPr>
  </w:style>
  <w:style w:type="character" w:customStyle="1" w:styleId="RectitleChar">
    <w:name w:val="Rec_title Char"/>
    <w:basedOn w:val="DefaultParagraphFont"/>
    <w:link w:val="Rectitle"/>
    <w:rsid w:val="00392522"/>
    <w:rPr>
      <w:b/>
      <w:sz w:val="28"/>
      <w:szCs w:val="22"/>
      <w:lang w:val="es-ES_tradnl" w:eastAsia="en-US"/>
    </w:rPr>
  </w:style>
  <w:style w:type="character" w:customStyle="1" w:styleId="enumlev1Char">
    <w:name w:val="enumlev1 Char"/>
    <w:link w:val="enumlev1"/>
    <w:locked/>
    <w:rsid w:val="00392522"/>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WP5D-C-0275/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rsgd@itu.int" TargetMode="External"/><Relationship Id="rId12" Type="http://schemas.openxmlformats.org/officeDocument/2006/relationships/hyperlink" Target="http://www.itu.int/md/R15-WP5D-C-0204/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5-WP5D-C-0275/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WP5D-C-0035/en" TargetMode="External"/><Relationship Id="rId5" Type="http://schemas.openxmlformats.org/officeDocument/2006/relationships/footnotes" Target="footnotes.xml"/><Relationship Id="rId15" Type="http://schemas.openxmlformats.org/officeDocument/2006/relationships/hyperlink" Target="http://www.itu.int/md/R15-WP5D-C-0204/en" TargetMode="External"/><Relationship Id="rId10" Type="http://schemas.openxmlformats.org/officeDocument/2006/relationships/hyperlink" Target="http://www.itu.int/md/R15-SG05-C/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5-WP5D-C-0035/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111</TotalTime>
  <Pages>4</Pages>
  <Words>1221</Words>
  <Characters>7679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Fernandez Jimenez, Virginia</cp:lastModifiedBy>
  <cp:revision>6</cp:revision>
  <cp:lastPrinted>2016-12-07T10:57:00Z</cp:lastPrinted>
  <dcterms:created xsi:type="dcterms:W3CDTF">2016-12-01T10:29:00Z</dcterms:created>
  <dcterms:modified xsi:type="dcterms:W3CDTF">2016-12-07T10:57:00Z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