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EF76F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EF76F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EF76F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EF76F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EF76F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EF76F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EF76F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0E2EF8" w:rsidRPr="00EF76F2" w:rsidRDefault="000E2EF8" w:rsidP="000E2EF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C0503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C05034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C05034" w:rsidP="00C0503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C05034"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Pr="00C05034">
              <w:rPr>
                <w:rFonts w:eastAsiaTheme="minorEastAsia"/>
                <w:b/>
                <w:bCs/>
                <w:lang w:val="en-GB" w:eastAsia="zh-CN" w:bidi="ar-SY"/>
              </w:rPr>
              <w:t>817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6B0E30" w:rsidP="007266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7</w:t>
            </w:r>
            <w:r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يوليو</w:t>
            </w:r>
            <w:r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AF70F6">
              <w:rPr>
                <w:rFonts w:eastAsiaTheme="minorEastAsia"/>
                <w:lang w:eastAsia="zh-CN" w:bidi="ar-SY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79145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79145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C05034" w:rsidP="00C0503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6510F6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6510F6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6510F6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C05034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C0503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Pr="00C05034">
              <w:rPr>
                <w:rFonts w:eastAsiaTheme="minorEastAsia"/>
                <w:b/>
                <w:bCs/>
                <w:lang w:val="en-GB" w:eastAsia="zh-CN"/>
              </w:rPr>
              <w:t>6</w:t>
            </w:r>
            <w:r w:rsidRPr="00C05034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C05034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0E2EF8" w:rsidRPr="00AF70F6" w:rsidTr="00E06C56">
        <w:tc>
          <w:tcPr>
            <w:tcW w:w="5000" w:type="pct"/>
            <w:gridSpan w:val="3"/>
            <w:shd w:val="clear" w:color="auto" w:fill="auto"/>
          </w:tcPr>
          <w:p w:rsidR="000E2EF8" w:rsidRPr="00AF70F6" w:rsidRDefault="000E2EF8" w:rsidP="000E2EF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0E2EF8" w:rsidRPr="00AF70F6" w:rsidTr="00E06C56">
        <w:tc>
          <w:tcPr>
            <w:tcW w:w="5000" w:type="pct"/>
            <w:gridSpan w:val="3"/>
            <w:shd w:val="clear" w:color="auto" w:fill="auto"/>
          </w:tcPr>
          <w:p w:rsidR="000E2EF8" w:rsidRPr="00AF70F6" w:rsidRDefault="000E2EF8" w:rsidP="000E2EF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C05034" w:rsidRPr="00C05034" w:rsidRDefault="00C05034" w:rsidP="00C05034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C05034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C05034">
              <w:rPr>
                <w:b/>
                <w:bCs/>
                <w:lang w:bidi="ar-EG"/>
              </w:rPr>
              <w:t>6</w:t>
            </w:r>
            <w:r w:rsidRPr="00C05034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C05034">
              <w:rPr>
                <w:rFonts w:hint="cs"/>
                <w:b/>
                <w:bCs/>
                <w:rtl/>
                <w:lang w:bidi="ar-EG"/>
              </w:rPr>
              <w:t>ة (الخدمة الإذاعية)</w:t>
            </w:r>
          </w:p>
          <w:p w:rsidR="00AF70F6" w:rsidRPr="00AF70F6" w:rsidRDefault="00C05034" w:rsidP="00C05034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C05034">
              <w:rPr>
                <w:rFonts w:hint="cs"/>
                <w:b/>
                <w:bCs/>
                <w:rtl/>
                <w:lang w:bidi="ar-EG"/>
              </w:rPr>
              <w:t>-</w:t>
            </w:r>
            <w:r w:rsidRPr="00C05034">
              <w:rPr>
                <w:b/>
                <w:bCs/>
                <w:rtl/>
                <w:lang w:bidi="ar-EG"/>
              </w:rPr>
              <w:tab/>
            </w:r>
            <w:r w:rsidRPr="00C05034">
              <w:rPr>
                <w:rFonts w:hint="cs"/>
                <w:b/>
                <w:bCs/>
                <w:rtl/>
                <w:lang w:bidi="ar-EG"/>
              </w:rPr>
              <w:t xml:space="preserve">اعتماد توصية جديدة واحدة ومراجعة </w:t>
            </w:r>
            <w:r w:rsidRPr="00C05034">
              <w:rPr>
                <w:b/>
                <w:bCs/>
                <w:lang w:bidi="ar-EG"/>
              </w:rPr>
              <w:t>7</w:t>
            </w:r>
            <w:r w:rsidRPr="00C05034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 والموافقة عليها في</w:t>
            </w:r>
            <w:r w:rsidRPr="00C0503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C05034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C05034">
              <w:rPr>
                <w:b/>
                <w:bCs/>
                <w:lang w:bidi="ar-EG"/>
              </w:rPr>
              <w:t>4.2.6.A2</w:t>
            </w:r>
            <w:r w:rsidRPr="00C05034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C05034">
              <w:rPr>
                <w:b/>
                <w:bCs/>
                <w:lang w:bidi="ar-EG"/>
              </w:rPr>
              <w:t>ITU</w:t>
            </w:r>
            <w:r w:rsidRPr="00C05034">
              <w:rPr>
                <w:b/>
                <w:bCs/>
                <w:lang w:bidi="ar-EG"/>
              </w:rPr>
              <w:noBreakHyphen/>
              <w:t>R 1</w:t>
            </w:r>
            <w:r w:rsidRPr="00C05034">
              <w:rPr>
                <w:b/>
                <w:bCs/>
                <w:lang w:bidi="ar-EG"/>
              </w:rPr>
              <w:noBreakHyphen/>
              <w:t>7</w:t>
            </w:r>
            <w:r w:rsidRPr="00C05034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Pr="00C0503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C05034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  <w:tr w:rsidR="00AF70F6" w:rsidRPr="00AF70F6" w:rsidTr="00726462">
        <w:trPr>
          <w:trHeight w:val="227"/>
        </w:trPr>
        <w:tc>
          <w:tcPr>
            <w:tcW w:w="699" w:type="pct"/>
            <w:shd w:val="clear" w:color="auto" w:fill="auto"/>
          </w:tcPr>
          <w:p w:rsidR="00AF70F6" w:rsidRPr="00AF70F6" w:rsidRDefault="00AF70F6" w:rsidP="0072646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AF70F6" w:rsidRDefault="00AF70F6" w:rsidP="0072646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</w:tbl>
    <w:p w:rsidR="00C05034" w:rsidRPr="00C05034" w:rsidRDefault="00C05034" w:rsidP="00726462">
      <w:pPr>
        <w:spacing w:before="240"/>
        <w:rPr>
          <w:rtl/>
        </w:rPr>
      </w:pPr>
      <w:r w:rsidRPr="00C05034">
        <w:rPr>
          <w:rtl/>
          <w:lang w:bidi="ar-EG"/>
        </w:rPr>
        <w:t xml:space="preserve">تم بموجب </w:t>
      </w:r>
      <w:r w:rsidRPr="00C05034">
        <w:rPr>
          <w:rFonts w:hint="cs"/>
          <w:rtl/>
          <w:lang w:bidi="ar-EG"/>
        </w:rPr>
        <w:t>الرسالة</w:t>
      </w:r>
      <w:r w:rsidRPr="00C05034">
        <w:rPr>
          <w:rtl/>
          <w:lang w:bidi="ar-EG"/>
        </w:rPr>
        <w:t xml:space="preserve"> الإدارية</w:t>
      </w:r>
      <w:r w:rsidRPr="00C05034">
        <w:rPr>
          <w:rFonts w:hint="cs"/>
          <w:rtl/>
          <w:lang w:bidi="ar-EG"/>
        </w:rPr>
        <w:t xml:space="preserve"> المعممة</w:t>
      </w:r>
      <w:r w:rsidRPr="00C05034">
        <w:rPr>
          <w:rtl/>
          <w:lang w:bidi="ar-EG"/>
        </w:rPr>
        <w:t xml:space="preserve"> </w:t>
      </w:r>
      <w:r w:rsidRPr="00C05034">
        <w:rPr>
          <w:lang w:bidi="ar-EG"/>
        </w:rPr>
        <w:t>CACE/804</w:t>
      </w:r>
      <w:r w:rsidRPr="00C05034">
        <w:rPr>
          <w:rtl/>
          <w:lang w:bidi="ar-EG"/>
        </w:rPr>
        <w:t xml:space="preserve"> المؤرخة </w:t>
      </w:r>
      <w:r w:rsidRPr="00C05034">
        <w:rPr>
          <w:lang w:bidi="ar-EG"/>
        </w:rPr>
        <w:t>20</w:t>
      </w:r>
      <w:r w:rsidRPr="00C05034">
        <w:rPr>
          <w:rFonts w:hint="cs"/>
          <w:rtl/>
          <w:lang w:bidi="ar-EG"/>
        </w:rPr>
        <w:t xml:space="preserve"> أبريل </w:t>
      </w:r>
      <w:r w:rsidRPr="00C05034">
        <w:rPr>
          <w:lang w:bidi="ar-EG"/>
        </w:rPr>
        <w:t>2017</w:t>
      </w:r>
      <w:r w:rsidRPr="00C05034">
        <w:rPr>
          <w:rtl/>
          <w:lang w:bidi="ar-EG"/>
        </w:rPr>
        <w:t xml:space="preserve">، تقديم </w:t>
      </w:r>
      <w:r w:rsidRPr="00C05034">
        <w:rPr>
          <w:rFonts w:hint="cs"/>
          <w:rtl/>
        </w:rPr>
        <w:t>مشروع توصية جديدة واحدة و</w:t>
      </w:r>
      <w:r w:rsidRPr="00C05034">
        <w:rPr>
          <w:rFonts w:hint="cs"/>
          <w:rtl/>
          <w:lang w:bidi="ar-EG"/>
        </w:rPr>
        <w:t>مشاريع مراجعة</w:t>
      </w:r>
      <w:r w:rsidRPr="00C05034">
        <w:rPr>
          <w:rFonts w:hint="cs"/>
          <w:rtl/>
        </w:rPr>
        <w:t xml:space="preserve"> </w:t>
      </w:r>
      <w:r w:rsidRPr="00C05034">
        <w:rPr>
          <w:lang w:bidi="ar-EG"/>
        </w:rPr>
        <w:t>7</w:t>
      </w:r>
      <w:r w:rsidR="00D225E1">
        <w:rPr>
          <w:rFonts w:hint="eastAsia"/>
          <w:rtl/>
        </w:rPr>
        <w:t> </w:t>
      </w:r>
      <w:r w:rsidRPr="00C05034">
        <w:rPr>
          <w:rFonts w:hint="cs"/>
          <w:rtl/>
        </w:rPr>
        <w:t>توصيات</w:t>
      </w:r>
      <w:r w:rsidRPr="00C05034">
        <w:rPr>
          <w:rtl/>
          <w:lang w:bidi="ar-EG"/>
        </w:rPr>
        <w:t xml:space="preserve"> </w:t>
      </w:r>
      <w:r w:rsidRPr="00C05034">
        <w:rPr>
          <w:rFonts w:hint="cs"/>
          <w:rtl/>
          <w:lang w:bidi="ar-EG"/>
        </w:rPr>
        <w:t xml:space="preserve">لقطاع الاتصالات الراديوية </w:t>
      </w:r>
      <w:r w:rsidRPr="00C05034">
        <w:rPr>
          <w:rtl/>
          <w:lang w:bidi="ar-EG"/>
        </w:rPr>
        <w:t>لاعتمادها والموافقة عليها في نفس الوقت عن طريق المراسلة</w:t>
      </w:r>
      <w:r w:rsidRPr="00C05034">
        <w:rPr>
          <w:rFonts w:hint="cs"/>
          <w:rtl/>
          <w:lang w:bidi="ar-EG"/>
        </w:rPr>
        <w:t xml:space="preserve"> </w:t>
      </w:r>
      <w:r w:rsidRPr="00C05034">
        <w:rPr>
          <w:lang w:bidi="ar-EG"/>
        </w:rPr>
        <w:t>(PSAA)</w:t>
      </w:r>
      <w:r w:rsidRPr="00C05034">
        <w:rPr>
          <w:rtl/>
          <w:lang w:bidi="ar-EG"/>
        </w:rPr>
        <w:t xml:space="preserve"> وفقاً للإجراء المنصوص عليه في</w:t>
      </w:r>
      <w:r w:rsidRPr="00C05034">
        <w:rPr>
          <w:rFonts w:hint="cs"/>
          <w:rtl/>
          <w:lang w:bidi="ar-EG"/>
        </w:rPr>
        <w:t> </w:t>
      </w:r>
      <w:r w:rsidRPr="00C05034">
        <w:rPr>
          <w:rtl/>
          <w:lang w:bidi="ar-EG"/>
        </w:rPr>
        <w:t>القرار</w:t>
      </w:r>
      <w:r w:rsidRPr="00C05034">
        <w:rPr>
          <w:rFonts w:hint="cs"/>
          <w:rtl/>
          <w:lang w:bidi="ar-EG"/>
        </w:rPr>
        <w:t> </w:t>
      </w:r>
      <w:r w:rsidRPr="00C05034">
        <w:rPr>
          <w:lang w:bidi="ar-EG"/>
        </w:rPr>
        <w:t>ITU</w:t>
      </w:r>
      <w:r w:rsidR="00D225E1">
        <w:rPr>
          <w:lang w:bidi="ar-EG"/>
        </w:rPr>
        <w:noBreakHyphen/>
      </w:r>
      <w:r w:rsidRPr="00C05034">
        <w:rPr>
          <w:lang w:bidi="ar-EG"/>
        </w:rPr>
        <w:t>R 1</w:t>
      </w:r>
      <w:r w:rsidR="00D225E1">
        <w:rPr>
          <w:lang w:bidi="ar-EG"/>
        </w:rPr>
        <w:noBreakHyphen/>
      </w:r>
      <w:r w:rsidRPr="00C05034">
        <w:rPr>
          <w:lang w:bidi="ar-EG"/>
        </w:rPr>
        <w:t>7</w:t>
      </w:r>
      <w:r w:rsidRPr="00C05034">
        <w:rPr>
          <w:rtl/>
          <w:lang w:bidi="ar-EG"/>
        </w:rPr>
        <w:t xml:space="preserve"> (الفقرة </w:t>
      </w:r>
      <w:r w:rsidRPr="00C05034">
        <w:rPr>
          <w:lang w:bidi="ar-EG"/>
        </w:rPr>
        <w:t>4.2.6.A2</w:t>
      </w:r>
      <w:r w:rsidRPr="00C05034">
        <w:rPr>
          <w:rtl/>
          <w:lang w:bidi="ar-EG"/>
        </w:rPr>
        <w:t>).</w:t>
      </w:r>
    </w:p>
    <w:p w:rsidR="006157A3" w:rsidRDefault="00C05034" w:rsidP="00C05034">
      <w:pPr>
        <w:rPr>
          <w:rtl/>
          <w:lang w:bidi="ar-EG"/>
        </w:rPr>
      </w:pPr>
      <w:r w:rsidRPr="00C05034">
        <w:rPr>
          <w:rtl/>
          <w:lang w:bidi="ar-EG"/>
        </w:rPr>
        <w:t xml:space="preserve">وقد استوفيت الشروط </w:t>
      </w:r>
      <w:r w:rsidRPr="00C05034">
        <w:rPr>
          <w:rFonts w:hint="cs"/>
          <w:rtl/>
          <w:lang w:bidi="ar-EG"/>
        </w:rPr>
        <w:t xml:space="preserve">التي تحكم هذا </w:t>
      </w:r>
      <w:r w:rsidRPr="00C05034">
        <w:rPr>
          <w:rtl/>
          <w:lang w:bidi="ar-EG"/>
        </w:rPr>
        <w:t xml:space="preserve">الإجراء في </w:t>
      </w:r>
      <w:r w:rsidRPr="00C05034">
        <w:rPr>
          <w:lang w:bidi="ar-EG"/>
        </w:rPr>
        <w:t>20</w:t>
      </w:r>
      <w:r w:rsidRPr="00C05034">
        <w:rPr>
          <w:rFonts w:hint="cs"/>
          <w:rtl/>
          <w:lang w:bidi="ar-EG"/>
        </w:rPr>
        <w:t xml:space="preserve"> يونيو </w:t>
      </w:r>
      <w:r w:rsidRPr="00C05034">
        <w:rPr>
          <w:lang w:bidi="ar-EG"/>
        </w:rPr>
        <w:t>2017</w:t>
      </w:r>
      <w:r w:rsidRPr="00C05034">
        <w:rPr>
          <w:rFonts w:hint="cs"/>
          <w:rtl/>
          <w:lang w:bidi="ar-EG"/>
        </w:rPr>
        <w:t>.</w:t>
      </w:r>
    </w:p>
    <w:p w:rsidR="00AF70F6" w:rsidRDefault="00C05034" w:rsidP="00726462">
      <w:pPr>
        <w:rPr>
          <w:rtl/>
        </w:rPr>
      </w:pPr>
      <w:r w:rsidRPr="00C05034">
        <w:rPr>
          <w:rtl/>
          <w:lang w:bidi="ar-EG"/>
        </w:rPr>
        <w:t xml:space="preserve">وسينشر </w:t>
      </w:r>
      <w:r w:rsidR="00D225E1">
        <w:rPr>
          <w:rFonts w:hint="cs"/>
          <w:rtl/>
          <w:lang w:bidi="ar-EG"/>
        </w:rPr>
        <w:t>الاتحاد</w:t>
      </w:r>
      <w:r w:rsidRPr="00C05034">
        <w:rPr>
          <w:rtl/>
          <w:lang w:bidi="ar-EG"/>
        </w:rPr>
        <w:t xml:space="preserve"> </w:t>
      </w:r>
      <w:r w:rsidRPr="00C05034">
        <w:rPr>
          <w:rFonts w:hint="cs"/>
          <w:rtl/>
          <w:lang w:bidi="ar-EG"/>
        </w:rPr>
        <w:t xml:space="preserve">التوصيات </w:t>
      </w:r>
      <w:r w:rsidR="00D225E1">
        <w:rPr>
          <w:rFonts w:hint="cs"/>
          <w:rtl/>
          <w:lang w:bidi="ar-EG"/>
        </w:rPr>
        <w:t>الموافَق</w:t>
      </w:r>
      <w:r w:rsidRPr="00C05034">
        <w:rPr>
          <w:rtl/>
          <w:lang w:bidi="ar-EG"/>
        </w:rPr>
        <w:t xml:space="preserve"> عليها، ويتضمن </w:t>
      </w:r>
      <w:r w:rsidR="00D225E1">
        <w:rPr>
          <w:rFonts w:hint="cs"/>
          <w:rtl/>
          <w:lang w:bidi="ar-EG"/>
        </w:rPr>
        <w:t>الملحق</w:t>
      </w:r>
      <w:r w:rsidRPr="00C05034">
        <w:rPr>
          <w:rFonts w:hint="cs"/>
          <w:rtl/>
          <w:lang w:bidi="ar-EG"/>
        </w:rPr>
        <w:t> ب</w:t>
      </w:r>
      <w:r w:rsidRPr="00C05034">
        <w:rPr>
          <w:rtl/>
          <w:lang w:bidi="ar-EG"/>
        </w:rPr>
        <w:t xml:space="preserve">هذه </w:t>
      </w:r>
      <w:r w:rsidRPr="00C05034">
        <w:rPr>
          <w:rFonts w:hint="cs"/>
          <w:rtl/>
          <w:lang w:bidi="ar-EG"/>
        </w:rPr>
        <w:t xml:space="preserve">الرسالة </w:t>
      </w:r>
      <w:r w:rsidR="00D225E1">
        <w:rPr>
          <w:rFonts w:hint="cs"/>
          <w:rtl/>
          <w:lang w:bidi="ar-EG"/>
        </w:rPr>
        <w:t>المعممة</w:t>
      </w:r>
      <w:r w:rsidRPr="00C05034">
        <w:rPr>
          <w:rtl/>
          <w:lang w:bidi="ar-EG"/>
        </w:rPr>
        <w:t xml:space="preserve"> </w:t>
      </w:r>
      <w:r w:rsidRPr="00C05034">
        <w:rPr>
          <w:rFonts w:hint="cs"/>
          <w:rtl/>
          <w:lang w:bidi="ar-EG"/>
        </w:rPr>
        <w:t xml:space="preserve">عناوين هذه التوصيات والأرقام </w:t>
      </w:r>
      <w:r w:rsidR="00D225E1">
        <w:rPr>
          <w:rFonts w:hint="cs"/>
          <w:rtl/>
          <w:lang w:bidi="ar-EG"/>
        </w:rPr>
        <w:t>المخصصة</w:t>
      </w:r>
      <w:r w:rsidRPr="00C05034">
        <w:rPr>
          <w:rtl/>
          <w:lang w:bidi="ar-EG"/>
        </w:rPr>
        <w:t xml:space="preserve"> لها.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726462">
      <w:pPr>
        <w:spacing w:before="120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="001C6041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726462">
      <w:pPr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C05034">
        <w:rPr>
          <w:lang w:bidi="ar-EG"/>
        </w:rPr>
        <w:t>1</w:t>
      </w:r>
    </w:p>
    <w:p w:rsidR="00AF70F6" w:rsidRPr="00E45690" w:rsidRDefault="00AF70F6" w:rsidP="00726462">
      <w:pPr>
        <w:tabs>
          <w:tab w:val="left" w:pos="283"/>
        </w:tabs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AF70F6" w:rsidRPr="00415359" w:rsidRDefault="00AF70F6" w:rsidP="00C05034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 w:rsidR="00C05034">
        <w:rPr>
          <w:sz w:val="18"/>
          <w:szCs w:val="24"/>
          <w:lang w:val="fr-CH" w:bidi="ar-EG"/>
        </w:rPr>
        <w:t>6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AF70F6" w:rsidRPr="00415359" w:rsidRDefault="00AF70F6" w:rsidP="00C05034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C05034">
        <w:rPr>
          <w:sz w:val="18"/>
          <w:szCs w:val="24"/>
          <w:lang w:bidi="ar-EG"/>
        </w:rPr>
        <w:t>6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الأكاديمية المنضمة إلى </w:t>
      </w:r>
      <w:r>
        <w:rPr>
          <w:rFonts w:hint="cs"/>
          <w:sz w:val="18"/>
          <w:szCs w:val="24"/>
          <w:rtl/>
        </w:rPr>
        <w:t>الاتحاد</w:t>
      </w:r>
    </w:p>
    <w:p w:rsidR="00AF70F6" w:rsidRPr="00415359" w:rsidRDefault="00AF70F6" w:rsidP="00C05034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رؤساء لجان دراسات الاتصالات الراديوية ونوابهم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رئيس الاجتماع التحضيري للمؤتمر ونوابه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أعضاء لجنة لوائح الراديو</w:t>
      </w:r>
    </w:p>
    <w:p w:rsidR="00AF70F6" w:rsidRDefault="00AF70F6" w:rsidP="00726462">
      <w:pPr>
        <w:tabs>
          <w:tab w:val="left" w:pos="425"/>
        </w:tabs>
        <w:spacing w:before="0" w:line="168" w:lineRule="auto"/>
        <w:rPr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  <w:r>
        <w:rPr>
          <w:rtl/>
          <w:lang w:bidi="ar-EG"/>
        </w:rPr>
        <w:br w:type="page"/>
      </w:r>
    </w:p>
    <w:p w:rsidR="00AF70F6" w:rsidRPr="00AF70F6" w:rsidRDefault="005455B3" w:rsidP="005455B3">
      <w:pPr>
        <w:pStyle w:val="AnnexN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C05034" w:rsidP="00D10056">
      <w:pPr>
        <w:pStyle w:val="Annextitle"/>
        <w:rPr>
          <w:rFonts w:eastAsiaTheme="minorEastAsia"/>
          <w:rtl/>
          <w:lang w:eastAsia="zh-CN" w:bidi="ar-SY"/>
        </w:rPr>
      </w:pPr>
      <w:r w:rsidRPr="00C05034">
        <w:rPr>
          <w:rFonts w:eastAsiaTheme="minorEastAsia" w:hint="cs"/>
          <w:rtl/>
          <w:lang w:eastAsia="zh-CN"/>
        </w:rPr>
        <w:t>عناوين توصيات قطاع الاتصالات الراديوية</w:t>
      </w:r>
      <w:r w:rsidRPr="00C05034">
        <w:rPr>
          <w:rFonts w:eastAsiaTheme="minorEastAsia"/>
          <w:rtl/>
          <w:lang w:eastAsia="zh-CN"/>
        </w:rPr>
        <w:t xml:space="preserve"> </w:t>
      </w:r>
      <w:r w:rsidRPr="00C05034">
        <w:rPr>
          <w:rFonts w:eastAsiaTheme="minorEastAsia" w:hint="eastAsia"/>
          <w:rtl/>
          <w:lang w:eastAsia="zh-CN"/>
        </w:rPr>
        <w:t>المواف</w:t>
      </w:r>
      <w:r w:rsidRPr="00C05034">
        <w:rPr>
          <w:rFonts w:eastAsiaTheme="minorEastAsia" w:hint="cs"/>
          <w:rtl/>
          <w:lang w:eastAsia="zh-CN"/>
        </w:rPr>
        <w:t>َ</w:t>
      </w:r>
      <w:r w:rsidRPr="00C05034">
        <w:rPr>
          <w:rFonts w:eastAsiaTheme="minorEastAsia" w:hint="eastAsia"/>
          <w:rtl/>
          <w:lang w:eastAsia="zh-CN"/>
        </w:rPr>
        <w:t>ق</w:t>
      </w:r>
      <w:r w:rsidRPr="00C05034">
        <w:rPr>
          <w:rFonts w:eastAsiaTheme="minorEastAsia"/>
          <w:rtl/>
          <w:lang w:eastAsia="zh-CN"/>
        </w:rPr>
        <w:t xml:space="preserve"> </w:t>
      </w:r>
      <w:r w:rsidRPr="00C05034">
        <w:rPr>
          <w:rFonts w:eastAsiaTheme="minorEastAsia" w:hint="eastAsia"/>
          <w:rtl/>
          <w:lang w:eastAsia="zh-CN"/>
        </w:rPr>
        <w:t>عليها</w:t>
      </w:r>
    </w:p>
    <w:p w:rsidR="00AF70F6" w:rsidRPr="00AF70F6" w:rsidRDefault="00C05034" w:rsidP="006B0E30">
      <w:pPr>
        <w:tabs>
          <w:tab w:val="clear" w:pos="1134"/>
          <w:tab w:val="right" w:pos="9639"/>
        </w:tabs>
        <w:spacing w:before="360"/>
        <w:rPr>
          <w:rFonts w:eastAsiaTheme="minorEastAsia"/>
          <w:rtl/>
          <w:lang w:eastAsia="zh-CN" w:bidi="ar-EG"/>
        </w:rPr>
      </w:pPr>
      <w:r w:rsidRPr="00C05034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C05034">
        <w:rPr>
          <w:rFonts w:eastAsiaTheme="minorEastAsia"/>
          <w:u w:val="single"/>
          <w:lang w:val="fr-CH" w:eastAsia="zh-CN"/>
        </w:rPr>
        <w:t>ITU-R</w:t>
      </w:r>
      <w:r w:rsidR="003F3F14">
        <w:rPr>
          <w:rFonts w:eastAsiaTheme="minorEastAsia"/>
          <w:u w:val="single"/>
          <w:lang w:val="fr-CH" w:eastAsia="zh-CN"/>
        </w:rPr>
        <w:t> </w:t>
      </w:r>
      <w:r w:rsidRPr="00C05034">
        <w:rPr>
          <w:rFonts w:eastAsiaTheme="minorEastAsia"/>
          <w:u w:val="single"/>
          <w:lang w:val="fr-CH" w:eastAsia="zh-CN"/>
        </w:rPr>
        <w:t>BS.2107-0</w:t>
      </w:r>
      <w:r w:rsidR="00AF70F6" w:rsidRPr="00AF70F6">
        <w:rPr>
          <w:rFonts w:eastAsiaTheme="minorEastAsia"/>
          <w:rtl/>
          <w:lang w:eastAsia="zh-CN" w:bidi="ar-EG"/>
        </w:rPr>
        <w:tab/>
      </w:r>
      <w:r w:rsidRPr="00C05034">
        <w:rPr>
          <w:rFonts w:eastAsiaTheme="minorEastAsia" w:hint="cs"/>
          <w:rtl/>
          <w:lang w:eastAsia="zh-CN" w:bidi="ar-EG"/>
        </w:rPr>
        <w:t xml:space="preserve">الوثيقة </w:t>
      </w:r>
      <w:hyperlink r:id="rId10" w:history="1">
        <w:r w:rsidR="005455B3" w:rsidRPr="005455B3">
          <w:rPr>
            <w:rStyle w:val="Hyperlink"/>
            <w:rFonts w:ascii="Calibri" w:hAnsi="Calibri"/>
          </w:rPr>
          <w:t>6/104</w:t>
        </w:r>
      </w:hyperlink>
      <w:r w:rsidR="005455B3">
        <w:t xml:space="preserve"> </w:t>
      </w:r>
      <w:r w:rsidR="005455B3" w:rsidRPr="005455B3">
        <w:t>(Rev.</w:t>
      </w:r>
      <w:r w:rsidR="006B0E30">
        <w:t>2</w:t>
      </w:r>
      <w:r w:rsidR="005455B3" w:rsidRPr="005455B3">
        <w:t>)</w:t>
      </w:r>
    </w:p>
    <w:p w:rsidR="00AF70F6" w:rsidRPr="003F3F14" w:rsidRDefault="00C05034" w:rsidP="003F3F14">
      <w:pPr>
        <w:pStyle w:val="Restitle"/>
        <w:rPr>
          <w:rFonts w:eastAsiaTheme="minorEastAsia"/>
          <w:spacing w:val="-6"/>
          <w:rtl/>
          <w:lang w:eastAsia="zh-CN" w:bidi="ar-SY"/>
        </w:rPr>
      </w:pPr>
      <w:r w:rsidRPr="003F3F14">
        <w:rPr>
          <w:rFonts w:eastAsiaTheme="minorEastAsia"/>
          <w:spacing w:val="-6"/>
          <w:rtl/>
          <w:lang w:eastAsia="zh-CN"/>
        </w:rPr>
        <w:t>استعمال ترددات الاتصالات الراديوية الدولية من أجل الإغاثة في حالات</w:t>
      </w:r>
      <w:r w:rsidR="003F3F14" w:rsidRPr="003F3F14">
        <w:rPr>
          <w:rFonts w:eastAsiaTheme="minorEastAsia" w:hint="cs"/>
          <w:spacing w:val="-6"/>
          <w:rtl/>
          <w:lang w:eastAsia="zh-CN"/>
        </w:rPr>
        <w:t> </w:t>
      </w:r>
      <w:r w:rsidRPr="003F3F14">
        <w:rPr>
          <w:rFonts w:eastAsiaTheme="minorEastAsia"/>
          <w:spacing w:val="-6"/>
          <w:rtl/>
          <w:lang w:eastAsia="zh-CN"/>
        </w:rPr>
        <w:t>الكوارث</w:t>
      </w:r>
      <w:r w:rsidR="005455B3" w:rsidRPr="003F3F14">
        <w:rPr>
          <w:rFonts w:eastAsiaTheme="minorEastAsia" w:hint="eastAsia"/>
          <w:spacing w:val="-6"/>
          <w:rtl/>
          <w:lang w:eastAsia="zh-CN" w:bidi="ar-SY"/>
        </w:rPr>
        <w:t> </w:t>
      </w:r>
      <w:r w:rsidRPr="003F3F14">
        <w:rPr>
          <w:rFonts w:eastAsiaTheme="minorEastAsia"/>
          <w:spacing w:val="-6"/>
          <w:lang w:eastAsia="zh-CN" w:bidi="ar-SY"/>
        </w:rPr>
        <w:t>(IRDR)</w:t>
      </w:r>
      <w:r w:rsidRPr="003F3F14">
        <w:rPr>
          <w:rFonts w:eastAsiaTheme="minorEastAsia" w:hint="cs"/>
          <w:spacing w:val="-6"/>
          <w:rtl/>
          <w:lang w:eastAsia="zh-CN"/>
        </w:rPr>
        <w:t xml:space="preserve"> </w:t>
      </w:r>
      <w:r w:rsidRPr="003F3F14">
        <w:rPr>
          <w:rFonts w:eastAsiaTheme="minorEastAsia"/>
          <w:spacing w:val="-6"/>
          <w:rtl/>
          <w:lang w:eastAsia="zh-CN"/>
        </w:rPr>
        <w:t>لأغراض الإذاعة في نطاقات الترددات العالية</w:t>
      </w:r>
      <w:r w:rsidR="005455B3" w:rsidRPr="003F3F14">
        <w:rPr>
          <w:rFonts w:eastAsiaTheme="minorEastAsia" w:hint="cs"/>
          <w:spacing w:val="-6"/>
          <w:rtl/>
          <w:lang w:eastAsia="zh-CN" w:bidi="ar-SY"/>
        </w:rPr>
        <w:t xml:space="preserve"> </w:t>
      </w:r>
      <w:r w:rsidRPr="003F3F14">
        <w:rPr>
          <w:rFonts w:eastAsiaTheme="minorEastAsia"/>
          <w:spacing w:val="-6"/>
          <w:lang w:eastAsia="zh-CN" w:bidi="ar-SY"/>
        </w:rPr>
        <w:t>(HF)</w:t>
      </w:r>
      <w:r w:rsidR="005455B3" w:rsidRPr="003F3F14">
        <w:rPr>
          <w:rFonts w:eastAsiaTheme="minorEastAsia" w:hint="cs"/>
          <w:spacing w:val="-6"/>
          <w:rtl/>
          <w:lang w:eastAsia="zh-CN" w:bidi="ar-SY"/>
        </w:rPr>
        <w:t xml:space="preserve"> </w:t>
      </w:r>
      <w:r w:rsidRPr="003F3F14">
        <w:rPr>
          <w:rFonts w:eastAsiaTheme="minorEastAsia"/>
          <w:spacing w:val="-6"/>
          <w:rtl/>
          <w:lang w:eastAsia="zh-CN"/>
        </w:rPr>
        <w:t>في حالات الطوارئ</w:t>
      </w:r>
    </w:p>
    <w:p w:rsidR="00C05034" w:rsidRPr="008B7120" w:rsidRDefault="00C05034" w:rsidP="00C9640A">
      <w:pPr>
        <w:tabs>
          <w:tab w:val="right" w:pos="9639"/>
        </w:tabs>
        <w:spacing w:before="36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F07B43">
        <w:rPr>
          <w:szCs w:val="24"/>
          <w:u w:val="single"/>
        </w:rPr>
        <w:t>ITU-R</w:t>
      </w:r>
      <w:r w:rsidR="001B047C">
        <w:rPr>
          <w:szCs w:val="24"/>
          <w:u w:val="single"/>
        </w:rPr>
        <w:t> </w:t>
      </w:r>
      <w:r w:rsidRPr="00F07B43">
        <w:rPr>
          <w:szCs w:val="24"/>
          <w:u w:val="single"/>
        </w:rPr>
        <w:t>BT.2095-1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1" w:history="1">
        <w:r w:rsidR="005455B3" w:rsidRPr="005455B3">
          <w:rPr>
            <w:rStyle w:val="Hyperlink"/>
            <w:rFonts w:ascii="Calibri" w:hAnsi="Calibri"/>
          </w:rPr>
          <w:t>6/106</w:t>
        </w:r>
      </w:hyperlink>
    </w:p>
    <w:p w:rsidR="00C05034" w:rsidRPr="00C05034" w:rsidRDefault="00C05034" w:rsidP="00C05034">
      <w:pPr>
        <w:pStyle w:val="Restitle"/>
        <w:rPr>
          <w:rFonts w:eastAsiaTheme="minorEastAsia"/>
          <w:rtl/>
          <w:lang w:eastAsia="zh-CN"/>
        </w:rPr>
      </w:pPr>
      <w:r w:rsidRPr="00C05034">
        <w:rPr>
          <w:rFonts w:eastAsiaTheme="minorEastAsia"/>
          <w:rtl/>
          <w:lang w:eastAsia="zh-CN"/>
        </w:rPr>
        <w:t>التقييم الذاتي لجودة الفيديو باستعمال بروتوكول مشاهدة الخبراء</w:t>
      </w:r>
    </w:p>
    <w:p w:rsidR="00C05034" w:rsidRPr="008B7120" w:rsidRDefault="00C05034" w:rsidP="00C9640A">
      <w:pPr>
        <w:tabs>
          <w:tab w:val="right" w:pos="9639"/>
        </w:tabs>
        <w:spacing w:before="36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773B45">
        <w:rPr>
          <w:szCs w:val="24"/>
          <w:u w:val="single"/>
        </w:rPr>
        <w:t>ITU-R</w:t>
      </w:r>
      <w:r w:rsidR="00793BC3">
        <w:rPr>
          <w:szCs w:val="24"/>
          <w:u w:val="single"/>
        </w:rPr>
        <w:t> </w:t>
      </w:r>
      <w:r w:rsidRPr="00773B45">
        <w:rPr>
          <w:szCs w:val="24"/>
          <w:u w:val="single"/>
        </w:rPr>
        <w:t>BT.2100-</w:t>
      </w:r>
      <w:r>
        <w:rPr>
          <w:szCs w:val="24"/>
          <w:u w:val="single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2" w:history="1">
        <w:r w:rsidR="005455B3" w:rsidRPr="005455B3">
          <w:rPr>
            <w:rStyle w:val="Hyperlink"/>
            <w:rFonts w:ascii="Calibri" w:hAnsi="Calibri"/>
          </w:rPr>
          <w:t>6/112</w:t>
        </w:r>
      </w:hyperlink>
    </w:p>
    <w:p w:rsidR="00C05034" w:rsidRPr="00C05034" w:rsidRDefault="00C05034" w:rsidP="00793BC3">
      <w:pPr>
        <w:pStyle w:val="Restitle"/>
        <w:rPr>
          <w:rFonts w:eastAsiaTheme="minorEastAsia"/>
          <w:rtl/>
          <w:lang w:eastAsia="zh-CN"/>
        </w:rPr>
      </w:pPr>
      <w:r w:rsidRPr="00C05034">
        <w:rPr>
          <w:rFonts w:eastAsiaTheme="minorEastAsia"/>
          <w:rtl/>
          <w:lang w:eastAsia="zh-CN"/>
        </w:rPr>
        <w:t>قيم معلمات الصور لأنظمة التلفزيون ذات المدى الدينامي العالي</w:t>
      </w:r>
      <w:r w:rsidR="00793BC3">
        <w:rPr>
          <w:rFonts w:eastAsiaTheme="minorEastAsia"/>
          <w:lang w:eastAsia="zh-CN"/>
        </w:rPr>
        <w:br/>
      </w:r>
      <w:r w:rsidRPr="00C05034">
        <w:rPr>
          <w:rFonts w:eastAsiaTheme="minorEastAsia"/>
          <w:rtl/>
          <w:lang w:eastAsia="zh-CN"/>
        </w:rPr>
        <w:t>من أجل الاستعمال في</w:t>
      </w:r>
      <w:r w:rsidR="005455B3">
        <w:rPr>
          <w:rFonts w:eastAsiaTheme="minorEastAsia" w:hint="cs"/>
          <w:rtl/>
          <w:lang w:eastAsia="zh-CN"/>
        </w:rPr>
        <w:t> </w:t>
      </w:r>
      <w:r w:rsidRPr="00C05034">
        <w:rPr>
          <w:rFonts w:eastAsiaTheme="minorEastAsia"/>
          <w:rtl/>
          <w:lang w:eastAsia="zh-CN"/>
        </w:rPr>
        <w:t>إنتاج البرامج وتبادلها دولياً</w:t>
      </w:r>
    </w:p>
    <w:p w:rsidR="00C05034" w:rsidRPr="003050AD" w:rsidRDefault="00C05034" w:rsidP="00C9640A">
      <w:pPr>
        <w:tabs>
          <w:tab w:val="right" w:pos="9639"/>
        </w:tabs>
        <w:spacing w:before="360"/>
        <w:rPr>
          <w:rFonts w:cstheme="minorBidi"/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776DFB">
        <w:rPr>
          <w:szCs w:val="24"/>
          <w:u w:val="single"/>
          <w:lang w:val="fr-CH"/>
        </w:rPr>
        <w:t>ITU-R</w:t>
      </w:r>
      <w:r w:rsidR="00AA1273">
        <w:rPr>
          <w:u w:val="single"/>
          <w:lang w:val="fr-CH"/>
        </w:rPr>
        <w:t> </w:t>
      </w:r>
      <w:r w:rsidRPr="00776DFB">
        <w:rPr>
          <w:u w:val="single"/>
          <w:lang w:val="fr-CH"/>
        </w:rPr>
        <w:t>BS.2051-1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3" w:history="1">
        <w:r w:rsidR="005455B3" w:rsidRPr="005455B3">
          <w:rPr>
            <w:rStyle w:val="Hyperlink"/>
            <w:rFonts w:ascii="Calibri" w:hAnsi="Calibri"/>
          </w:rPr>
          <w:t>6/114</w:t>
        </w:r>
      </w:hyperlink>
      <w:r w:rsidR="005455B3">
        <w:t xml:space="preserve"> </w:t>
      </w:r>
      <w:r w:rsidR="005455B3" w:rsidRPr="005455B3">
        <w:t>(Rev.1)</w:t>
      </w:r>
    </w:p>
    <w:p w:rsidR="00C05034" w:rsidRPr="00C05034" w:rsidRDefault="00C05034" w:rsidP="00C05034">
      <w:pPr>
        <w:pStyle w:val="Restitle"/>
        <w:rPr>
          <w:rFonts w:eastAsiaTheme="minorEastAsia"/>
          <w:rtl/>
          <w:lang w:eastAsia="zh-CN"/>
        </w:rPr>
      </w:pPr>
      <w:r w:rsidRPr="00C05034">
        <w:rPr>
          <w:rFonts w:eastAsiaTheme="minorEastAsia"/>
          <w:rtl/>
          <w:lang w:eastAsia="zh-CN"/>
        </w:rPr>
        <w:t>نظام صوتي متطور لإنتاج البرامج</w:t>
      </w:r>
    </w:p>
    <w:p w:rsidR="00C05034" w:rsidRPr="003050AD" w:rsidRDefault="00C05034" w:rsidP="00C9640A">
      <w:pPr>
        <w:tabs>
          <w:tab w:val="right" w:pos="9639"/>
        </w:tabs>
        <w:spacing w:before="36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0E751B">
        <w:rPr>
          <w:u w:val="single"/>
        </w:rPr>
        <w:t>ITU-R</w:t>
      </w:r>
      <w:r w:rsidR="00AA1273">
        <w:rPr>
          <w:u w:val="single"/>
        </w:rPr>
        <w:t> </w:t>
      </w:r>
      <w:r w:rsidRPr="000E751B">
        <w:rPr>
          <w:u w:val="single"/>
        </w:rPr>
        <w:t>BT.1368-</w:t>
      </w:r>
      <w:r>
        <w:rPr>
          <w:u w:val="single"/>
        </w:rPr>
        <w:t>13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4" w:history="1">
        <w:r w:rsidR="005455B3" w:rsidRPr="005455B3">
          <w:rPr>
            <w:rStyle w:val="Hyperlink"/>
            <w:rFonts w:ascii="Calibri" w:hAnsi="Calibri"/>
          </w:rPr>
          <w:t>6/121</w:t>
        </w:r>
      </w:hyperlink>
      <w:r w:rsidR="005455B3">
        <w:t xml:space="preserve"> </w:t>
      </w:r>
      <w:r w:rsidR="005455B3" w:rsidRPr="005455B3">
        <w:t>(Rev.1)</w:t>
      </w:r>
    </w:p>
    <w:p w:rsidR="00C05034" w:rsidRPr="00C05034" w:rsidRDefault="00C05034" w:rsidP="00AA1273">
      <w:pPr>
        <w:pStyle w:val="Restitle"/>
        <w:rPr>
          <w:rFonts w:eastAsiaTheme="minorEastAsia"/>
          <w:rtl/>
          <w:lang w:eastAsia="zh-CN"/>
        </w:rPr>
      </w:pPr>
      <w:r w:rsidRPr="00C05034">
        <w:rPr>
          <w:rFonts w:eastAsiaTheme="minorEastAsia"/>
          <w:rtl/>
          <w:lang w:eastAsia="zh-CN"/>
        </w:rPr>
        <w:t>معايير التخطيط لخدمات التلفزيون الرقمي للأرض في نطاقات الموجات المترية</w:t>
      </w:r>
      <w:r w:rsidR="005455B3">
        <w:rPr>
          <w:rFonts w:eastAsiaTheme="minorEastAsia" w:hint="eastAsia"/>
          <w:rtl/>
          <w:lang w:eastAsia="zh-CN"/>
        </w:rPr>
        <w:t> </w:t>
      </w:r>
      <w:r w:rsidRPr="00C05034">
        <w:rPr>
          <w:rFonts w:eastAsiaTheme="minorEastAsia"/>
          <w:lang w:eastAsia="zh-CN"/>
        </w:rPr>
        <w:t>(VHF)</w:t>
      </w:r>
      <w:r w:rsidR="00E72B85">
        <w:rPr>
          <w:rFonts w:eastAsiaTheme="minorEastAsia" w:hint="cs"/>
          <w:rtl/>
          <w:lang w:eastAsia="zh-CN"/>
        </w:rPr>
        <w:t xml:space="preserve"> </w:t>
      </w:r>
      <w:r w:rsidRPr="00C05034">
        <w:rPr>
          <w:rFonts w:eastAsiaTheme="minorEastAsia"/>
          <w:rtl/>
          <w:lang w:eastAsia="zh-CN"/>
        </w:rPr>
        <w:t>والديسيمترية</w:t>
      </w:r>
      <w:r w:rsidR="00AA1273">
        <w:rPr>
          <w:rFonts w:eastAsiaTheme="minorEastAsia" w:hint="eastAsia"/>
          <w:rtl/>
          <w:lang w:eastAsia="zh-CN"/>
        </w:rPr>
        <w:t> </w:t>
      </w:r>
      <w:r w:rsidRPr="00C05034">
        <w:rPr>
          <w:rFonts w:eastAsiaTheme="minorEastAsia"/>
          <w:lang w:eastAsia="zh-CN"/>
        </w:rPr>
        <w:t>(UHF)</w:t>
      </w:r>
      <w:r w:rsidRPr="00C05034">
        <w:rPr>
          <w:rFonts w:eastAsiaTheme="minorEastAsia"/>
          <w:rtl/>
          <w:lang w:eastAsia="zh-CN"/>
        </w:rPr>
        <w:t>، بما في ذلك نسب الحماية</w:t>
      </w:r>
    </w:p>
    <w:p w:rsidR="00C05034" w:rsidRPr="008816AD" w:rsidRDefault="00C05034" w:rsidP="00C9640A">
      <w:pPr>
        <w:tabs>
          <w:tab w:val="right" w:pos="9639"/>
        </w:tabs>
        <w:spacing w:before="36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F07B43">
        <w:rPr>
          <w:szCs w:val="24"/>
          <w:u w:val="single"/>
        </w:rPr>
        <w:t>ITU-R</w:t>
      </w:r>
      <w:r w:rsidR="00C9640A">
        <w:rPr>
          <w:szCs w:val="24"/>
          <w:u w:val="single"/>
          <w:lang w:eastAsia="ja-JP"/>
        </w:rPr>
        <w:t> </w:t>
      </w:r>
      <w:r w:rsidRPr="00F07B43">
        <w:rPr>
          <w:szCs w:val="24"/>
          <w:u w:val="single"/>
          <w:lang w:eastAsia="ja-JP"/>
        </w:rPr>
        <w:t>BT.2077</w:t>
      </w:r>
      <w:r w:rsidRPr="00F07B43">
        <w:rPr>
          <w:rFonts w:hint="eastAsia"/>
          <w:szCs w:val="24"/>
          <w:u w:val="single"/>
          <w:lang w:eastAsia="ja-JP"/>
        </w:rPr>
        <w:t>-</w:t>
      </w:r>
      <w:r w:rsidRPr="00F07B43">
        <w:rPr>
          <w:szCs w:val="24"/>
          <w:u w:val="single"/>
          <w:lang w:eastAsia="ja-JP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5" w:history="1">
        <w:r w:rsidR="005455B3" w:rsidRPr="005455B3">
          <w:rPr>
            <w:rStyle w:val="Hyperlink"/>
            <w:rFonts w:ascii="Calibri" w:hAnsi="Calibri"/>
          </w:rPr>
          <w:t>6/128</w:t>
        </w:r>
      </w:hyperlink>
    </w:p>
    <w:p w:rsidR="00C05034" w:rsidRPr="00C05034" w:rsidRDefault="00C05034" w:rsidP="005455B3">
      <w:pPr>
        <w:pStyle w:val="Restitle"/>
        <w:rPr>
          <w:rFonts w:eastAsiaTheme="minorEastAsia"/>
          <w:rtl/>
          <w:lang w:eastAsia="zh-CN"/>
        </w:rPr>
      </w:pPr>
      <w:r w:rsidRPr="00C05034">
        <w:rPr>
          <w:rFonts w:eastAsiaTheme="minorEastAsia"/>
          <w:rtl/>
          <w:lang w:eastAsia="zh-CN"/>
        </w:rPr>
        <w:t>السطوح البينية الرقمية التسلسلية في الوقت الفعلي من أجل</w:t>
      </w:r>
      <w:r w:rsidR="005455B3">
        <w:rPr>
          <w:rFonts w:eastAsiaTheme="minorEastAsia"/>
          <w:rtl/>
          <w:lang w:eastAsia="zh-CN"/>
        </w:rPr>
        <w:br/>
      </w:r>
      <w:r w:rsidRPr="00C05034">
        <w:rPr>
          <w:rFonts w:eastAsiaTheme="minorEastAsia"/>
          <w:rtl/>
          <w:lang w:eastAsia="zh-CN"/>
        </w:rPr>
        <w:t>إشارات التلفزيون فائق الوضوح</w:t>
      </w:r>
    </w:p>
    <w:p w:rsidR="00C05034" w:rsidRPr="0096052E" w:rsidRDefault="00C05034" w:rsidP="00C9640A">
      <w:pPr>
        <w:tabs>
          <w:tab w:val="right" w:pos="9639"/>
        </w:tabs>
        <w:spacing w:before="36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F07B43">
        <w:rPr>
          <w:szCs w:val="24"/>
          <w:u w:val="single"/>
          <w:lang w:val="fr-CH"/>
        </w:rPr>
        <w:t>ITU-R</w:t>
      </w:r>
      <w:r w:rsidR="00C9640A">
        <w:rPr>
          <w:rStyle w:val="href"/>
          <w:szCs w:val="24"/>
          <w:u w:val="single"/>
          <w:lang w:val="fr-CH"/>
        </w:rPr>
        <w:t> </w:t>
      </w:r>
      <w:r w:rsidRPr="00F07B43">
        <w:rPr>
          <w:rStyle w:val="href"/>
          <w:szCs w:val="24"/>
          <w:u w:val="single"/>
          <w:lang w:val="fr-CH"/>
        </w:rPr>
        <w:t>BS.2076-1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6" w:history="1">
        <w:r w:rsidR="005455B3" w:rsidRPr="005455B3">
          <w:rPr>
            <w:rStyle w:val="Hyperlink"/>
            <w:rFonts w:ascii="Calibri" w:hAnsi="Calibri"/>
          </w:rPr>
          <w:t>6/134</w:t>
        </w:r>
      </w:hyperlink>
    </w:p>
    <w:p w:rsidR="00C05034" w:rsidRPr="00C05034" w:rsidRDefault="00C05034" w:rsidP="00521959">
      <w:pPr>
        <w:pStyle w:val="Restitle"/>
        <w:keepNext w:val="0"/>
        <w:keepLines w:val="0"/>
        <w:rPr>
          <w:rFonts w:eastAsiaTheme="minorEastAsia"/>
          <w:rtl/>
          <w:lang w:eastAsia="zh-CN"/>
        </w:rPr>
      </w:pPr>
      <w:r w:rsidRPr="00C05034">
        <w:rPr>
          <w:rFonts w:eastAsiaTheme="minorEastAsia" w:hint="cs"/>
          <w:rtl/>
          <w:lang w:eastAsia="zh-CN"/>
        </w:rPr>
        <w:t>نموذج التعريف السمعي</w:t>
      </w:r>
    </w:p>
    <w:p w:rsidR="00C05034" w:rsidRPr="00F61E2E" w:rsidRDefault="00C05034" w:rsidP="00C9640A">
      <w:pPr>
        <w:tabs>
          <w:tab w:val="right" w:pos="9639"/>
        </w:tabs>
        <w:spacing w:before="360"/>
        <w:rPr>
          <w:rtl/>
          <w:lang w:bidi="ar-EG"/>
        </w:rPr>
      </w:pPr>
      <w:r w:rsidRPr="00345067">
        <w:rPr>
          <w:rFonts w:hint="cs"/>
          <w:u w:val="single"/>
          <w:rtl/>
        </w:rPr>
        <w:t xml:space="preserve">التوصية </w:t>
      </w:r>
      <w:r w:rsidRPr="00776DFB">
        <w:rPr>
          <w:rFonts w:asciiTheme="minorHAnsi" w:hAnsiTheme="minorHAnsi" w:cstheme="minorHAnsi"/>
          <w:szCs w:val="24"/>
          <w:u w:val="single"/>
          <w:lang w:val="fr-CH"/>
        </w:rPr>
        <w:t>ITU-R</w:t>
      </w:r>
      <w:r w:rsidR="00C9640A">
        <w:rPr>
          <w:rFonts w:asciiTheme="minorHAnsi" w:hAnsiTheme="minorHAnsi" w:cstheme="minorHAnsi"/>
          <w:szCs w:val="24"/>
          <w:u w:val="single"/>
          <w:lang w:val="fr-CH"/>
        </w:rPr>
        <w:t> </w:t>
      </w:r>
      <w:r w:rsidRPr="00776DFB">
        <w:rPr>
          <w:rFonts w:asciiTheme="minorHAnsi" w:hAnsiTheme="minorHAnsi" w:cstheme="minorHAnsi"/>
          <w:szCs w:val="24"/>
          <w:u w:val="single"/>
          <w:lang w:val="fr-CH"/>
        </w:rPr>
        <w:t>BS.2</w:t>
      </w:r>
      <w:r>
        <w:rPr>
          <w:rFonts w:asciiTheme="minorHAnsi" w:hAnsiTheme="minorHAnsi" w:cstheme="minorHAnsi"/>
          <w:szCs w:val="24"/>
          <w:u w:val="single"/>
          <w:lang w:val="fr-CH"/>
        </w:rPr>
        <w:t>094</w:t>
      </w:r>
      <w:r w:rsidRPr="00776DFB">
        <w:rPr>
          <w:rFonts w:asciiTheme="minorHAnsi" w:hAnsiTheme="minorHAnsi" w:cstheme="minorHAnsi"/>
          <w:szCs w:val="24"/>
          <w:u w:val="single"/>
          <w:lang w:val="fr-CH"/>
        </w:rPr>
        <w:t>-</w:t>
      </w:r>
      <w:r>
        <w:rPr>
          <w:rFonts w:asciiTheme="minorHAnsi" w:hAnsiTheme="minorHAnsi" w:cstheme="minorHAnsi"/>
          <w:szCs w:val="24"/>
          <w:u w:val="single"/>
          <w:lang w:val="fr-CH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الوثيقة </w:t>
      </w:r>
      <w:hyperlink r:id="rId17" w:history="1">
        <w:r w:rsidR="005455B3" w:rsidRPr="005455B3">
          <w:rPr>
            <w:rStyle w:val="Hyperlink"/>
            <w:rFonts w:ascii="Calibri" w:hAnsi="Calibri"/>
          </w:rPr>
          <w:t>6/135</w:t>
        </w:r>
      </w:hyperlink>
    </w:p>
    <w:p w:rsidR="00AF70F6" w:rsidRPr="00C05034" w:rsidRDefault="00C05034" w:rsidP="001C3B69">
      <w:pPr>
        <w:pStyle w:val="Restitle"/>
        <w:keepNext w:val="0"/>
        <w:keepLines w:val="0"/>
        <w:rPr>
          <w:rFonts w:eastAsiaTheme="minorEastAsia"/>
          <w:rtl/>
          <w:lang w:eastAsia="zh-CN"/>
        </w:rPr>
      </w:pPr>
      <w:r w:rsidRPr="00C05034">
        <w:rPr>
          <w:rFonts w:eastAsiaTheme="minorEastAsia"/>
          <w:rtl/>
          <w:lang w:eastAsia="zh-CN"/>
        </w:rPr>
        <w:t xml:space="preserve">تعاريف مشتركة لنموذج </w:t>
      </w:r>
      <w:r w:rsidRPr="00C05034">
        <w:rPr>
          <w:rFonts w:eastAsiaTheme="minorEastAsia" w:hint="cs"/>
          <w:rtl/>
          <w:lang w:eastAsia="zh-CN"/>
        </w:rPr>
        <w:t>التعريف السمعي</w:t>
      </w:r>
    </w:p>
    <w:p w:rsidR="00AF70F6" w:rsidRDefault="00AF70F6" w:rsidP="001C3B69">
      <w:pPr>
        <w:spacing w:before="0" w:line="120" w:lineRule="auto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AF70F6" w:rsidSect="008B5B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1A" w:rsidRDefault="00694F1A" w:rsidP="00E07379">
      <w:pPr>
        <w:spacing w:before="0" w:line="240" w:lineRule="auto"/>
      </w:pPr>
      <w:r>
        <w:separator/>
      </w:r>
    </w:p>
  </w:endnote>
  <w:endnote w:type="continuationSeparator" w:id="0">
    <w:p w:rsidR="00694F1A" w:rsidRDefault="00694F1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0" w:rsidRDefault="006B0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0" w:rsidRDefault="006B0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734C8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  <w:r w:rsidR="009734C8">
      <w:rPr>
        <w:rFonts w:cs="Calibri"/>
        <w:sz w:val="18"/>
        <w:szCs w:val="18"/>
        <w:rtl/>
      </w:rPr>
      <w:br/>
    </w:r>
    <w:r w:rsidR="009734C8" w:rsidRPr="00C05034">
      <w:rPr>
        <w:rFonts w:cs="Calibri"/>
        <w:b/>
        <w:bCs/>
        <w:color w:val="1F4E79" w:themeColor="accent1" w:themeShade="80"/>
        <w:sz w:val="18"/>
        <w:szCs w:val="18"/>
      </w:rPr>
      <w:t>90</w:t>
    </w:r>
    <w:r w:rsidR="009734C8" w:rsidRPr="00C05034">
      <w:rPr>
        <w:rFonts w:cs="Calibri"/>
        <w:b/>
        <w:bCs/>
        <w:color w:val="1F4E79" w:themeColor="accent1" w:themeShade="80"/>
        <w:sz w:val="18"/>
        <w:szCs w:val="18"/>
        <w:vertAlign w:val="superscript"/>
      </w:rPr>
      <w:t>th</w:t>
    </w:r>
    <w:r w:rsidR="009734C8" w:rsidRPr="00C05034">
      <w:rPr>
        <w:rFonts w:cs="Calibri"/>
        <w:b/>
        <w:bCs/>
        <w:color w:val="1F4E79" w:themeColor="accent1" w:themeShade="80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1A" w:rsidRDefault="00694F1A" w:rsidP="00E07379">
      <w:pPr>
        <w:spacing w:before="0" w:line="240" w:lineRule="auto"/>
      </w:pPr>
      <w:r>
        <w:separator/>
      </w:r>
    </w:p>
  </w:footnote>
  <w:footnote w:type="continuationSeparator" w:id="0">
    <w:p w:rsidR="00694F1A" w:rsidRDefault="00694F1A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0" w:rsidRDefault="006B0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bookmarkStart w:id="0" w:name="_GoBack"/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6B0E30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33E83" w:rsidTr="00933E83">
      <w:tc>
        <w:tcPr>
          <w:tcW w:w="4814" w:type="dxa"/>
        </w:tcPr>
        <w:p w:rsidR="00933E83" w:rsidRDefault="00933E83" w:rsidP="00933E83">
          <w:pPr>
            <w:pStyle w:val="Header"/>
            <w:spacing w:before="120"/>
            <w:jc w:val="left"/>
            <w:rPr>
              <w:rtl/>
            </w:rPr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2C25CCF" wp14:editId="456F2BB8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933E83" w:rsidRDefault="00933E83" w:rsidP="00933E83">
          <w:pPr>
            <w:pStyle w:val="Header"/>
            <w:jc w:val="right"/>
            <w:rPr>
              <w:rtl/>
            </w:rPr>
          </w:pPr>
          <w:r w:rsidRPr="00A03501">
            <w:rPr>
              <w:noProof/>
              <w:lang w:eastAsia="zh-CN"/>
            </w:rPr>
            <w:drawing>
              <wp:inline distT="0" distB="0" distL="0" distR="0" wp14:anchorId="1B4618BD" wp14:editId="6B2FCCF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A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E2EF8"/>
    <w:rsid w:val="000F0B1C"/>
    <w:rsid w:val="000F1D42"/>
    <w:rsid w:val="000F4D07"/>
    <w:rsid w:val="00102A03"/>
    <w:rsid w:val="001040A3"/>
    <w:rsid w:val="00173915"/>
    <w:rsid w:val="001B047C"/>
    <w:rsid w:val="001C3B69"/>
    <w:rsid w:val="001C6041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17245"/>
    <w:rsid w:val="003231B9"/>
    <w:rsid w:val="003275AC"/>
    <w:rsid w:val="00333D29"/>
    <w:rsid w:val="003409F4"/>
    <w:rsid w:val="00353389"/>
    <w:rsid w:val="00357185"/>
    <w:rsid w:val="003C475F"/>
    <w:rsid w:val="003E4132"/>
    <w:rsid w:val="003F3F14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21959"/>
    <w:rsid w:val="00530420"/>
    <w:rsid w:val="00541680"/>
    <w:rsid w:val="005455B3"/>
    <w:rsid w:val="00547386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10F6"/>
    <w:rsid w:val="0065591D"/>
    <w:rsid w:val="00662C5A"/>
    <w:rsid w:val="00670AF5"/>
    <w:rsid w:val="00694F1A"/>
    <w:rsid w:val="006B0E30"/>
    <w:rsid w:val="006C1556"/>
    <w:rsid w:val="006F267F"/>
    <w:rsid w:val="006F63F7"/>
    <w:rsid w:val="006F6F03"/>
    <w:rsid w:val="00706D7A"/>
    <w:rsid w:val="00726462"/>
    <w:rsid w:val="0072667C"/>
    <w:rsid w:val="00726AEC"/>
    <w:rsid w:val="007462D8"/>
    <w:rsid w:val="007530CA"/>
    <w:rsid w:val="00783A16"/>
    <w:rsid w:val="00791452"/>
    <w:rsid w:val="00793BC3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A56F2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1273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7DB0"/>
    <w:rsid w:val="00B66B9A"/>
    <w:rsid w:val="00B82089"/>
    <w:rsid w:val="00B970AE"/>
    <w:rsid w:val="00BA1427"/>
    <w:rsid w:val="00BE49D0"/>
    <w:rsid w:val="00BF2C38"/>
    <w:rsid w:val="00C05034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9640A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0056"/>
    <w:rsid w:val="00D14BEB"/>
    <w:rsid w:val="00D21C89"/>
    <w:rsid w:val="00D225E1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2702"/>
    <w:rsid w:val="00E72B85"/>
    <w:rsid w:val="00E7380C"/>
    <w:rsid w:val="00E74BE7"/>
    <w:rsid w:val="00E86CC9"/>
    <w:rsid w:val="00E96624"/>
    <w:rsid w:val="00EF76F2"/>
    <w:rsid w:val="00F126F1"/>
    <w:rsid w:val="00F2106A"/>
    <w:rsid w:val="00F36D8B"/>
    <w:rsid w:val="00F3777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8D0FB65-0931-4094-8A21-364CD90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D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ef">
    <w:name w:val="href"/>
    <w:basedOn w:val="DefaultParagraphFont"/>
    <w:uiPriority w:val="99"/>
    <w:rsid w:val="00C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6-C-0114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SG06-C-0112/en" TargetMode="External"/><Relationship Id="rId17" Type="http://schemas.openxmlformats.org/officeDocument/2006/relationships/hyperlink" Target="https://www.itu.int/md/R15-SG06-C-0135/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R15-SG06-C-0134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SG06-C-0106/e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tu.int/md/R15-SG06-C-0128/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R15-SG06-C-0104/en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6-C-0121/en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terms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25388-CB6C-4C25-A4F9-A192ADFD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90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Detraz, Laurence</cp:lastModifiedBy>
  <cp:revision>28</cp:revision>
  <cp:lastPrinted>2017-07-06T12:17:00Z</cp:lastPrinted>
  <dcterms:created xsi:type="dcterms:W3CDTF">2017-06-26T09:38:00Z</dcterms:created>
  <dcterms:modified xsi:type="dcterms:W3CDTF">2017-07-06T12:20:00Z</dcterms:modified>
  <cp:category>Conference document</cp:category>
</cp:coreProperties>
</file>