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AF70F6" w:rsidRPr="00AF70F6" w:rsidTr="0029677E">
        <w:tc>
          <w:tcPr>
            <w:tcW w:w="5000" w:type="pct"/>
            <w:gridSpan w:val="3"/>
            <w:shd w:val="clear" w:color="auto" w:fill="auto"/>
          </w:tcPr>
          <w:p w:rsidR="00AF70F6" w:rsidRDefault="00AF70F6" w:rsidP="006876D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line="340" w:lineRule="exact"/>
              <w:rPr>
                <w:rFonts w:eastAsiaTheme="minorEastAsia"/>
                <w:b/>
                <w:bCs/>
                <w:color w:val="808080"/>
                <w:sz w:val="28"/>
                <w:szCs w:val="36"/>
                <w:rtl/>
                <w:lang w:eastAsia="zh-CN" w:bidi="ar-EG"/>
              </w:rPr>
            </w:pPr>
            <w:r w:rsidRPr="000C1AE6">
              <w:rPr>
                <w:rFonts w:eastAsiaTheme="minorEastAsia"/>
                <w:b/>
                <w:bCs/>
                <w:color w:val="808080"/>
                <w:sz w:val="28"/>
                <w:szCs w:val="36"/>
                <w:rtl/>
                <w:lang w:eastAsia="zh-CN"/>
              </w:rPr>
              <w:t>مكتب</w:t>
            </w:r>
            <w:r w:rsidRPr="000C1AE6">
              <w:rPr>
                <w:rFonts w:eastAsiaTheme="minorEastAsia" w:hint="cs"/>
                <w:b/>
                <w:bCs/>
                <w:color w:val="808080"/>
                <w:sz w:val="28"/>
                <w:szCs w:val="36"/>
                <w:rtl/>
                <w:lang w:eastAsia="zh-CN"/>
              </w:rPr>
              <w:t xml:space="preserve"> </w:t>
            </w:r>
            <w:r w:rsidRPr="000C1AE6">
              <w:rPr>
                <w:rFonts w:eastAsiaTheme="minorEastAsia"/>
                <w:b/>
                <w:bCs/>
                <w:color w:val="808080"/>
                <w:sz w:val="28"/>
                <w:szCs w:val="36"/>
                <w:rtl/>
                <w:lang w:eastAsia="zh-CN"/>
              </w:rPr>
              <w:t>الاتصالات</w:t>
            </w:r>
            <w:r w:rsidRPr="000C1AE6">
              <w:rPr>
                <w:rFonts w:eastAsiaTheme="minorEastAsia" w:hint="cs"/>
                <w:b/>
                <w:bCs/>
                <w:color w:val="808080"/>
                <w:sz w:val="28"/>
                <w:szCs w:val="36"/>
                <w:rtl/>
                <w:lang w:eastAsia="zh-CN"/>
              </w:rPr>
              <w:t xml:space="preserve"> </w:t>
            </w:r>
            <w:r w:rsidRPr="000C1AE6">
              <w:rPr>
                <w:rFonts w:eastAsiaTheme="minorEastAsia"/>
                <w:b/>
                <w:bCs/>
                <w:color w:val="808080"/>
                <w:sz w:val="28"/>
                <w:szCs w:val="36"/>
                <w:rtl/>
                <w:lang w:eastAsia="zh-CN"/>
              </w:rPr>
              <w:t>الراديوية</w:t>
            </w:r>
            <w:r w:rsidRPr="000C1AE6">
              <w:rPr>
                <w:rFonts w:eastAsiaTheme="minorEastAsia" w:hint="cs"/>
                <w:b/>
                <w:bCs/>
                <w:color w:val="808080"/>
                <w:sz w:val="28"/>
                <w:szCs w:val="36"/>
                <w:rtl/>
                <w:lang w:eastAsia="zh-CN"/>
              </w:rPr>
              <w:t xml:space="preserve"> </w:t>
            </w:r>
            <w:r w:rsidRPr="000C1AE6">
              <w:rPr>
                <w:rFonts w:eastAsiaTheme="minorEastAsia"/>
                <w:b/>
                <w:bCs/>
                <w:color w:val="808080"/>
                <w:sz w:val="28"/>
                <w:szCs w:val="36"/>
                <w:lang w:eastAsia="zh-CN" w:bidi="ar-SY"/>
              </w:rPr>
              <w:t>(BR)</w:t>
            </w:r>
          </w:p>
          <w:p w:rsidR="006876D8" w:rsidRDefault="006876D8" w:rsidP="006876D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340" w:lineRule="exact"/>
              <w:rPr>
                <w:rFonts w:eastAsiaTheme="minorEastAsia"/>
                <w:b/>
                <w:bCs/>
                <w:color w:val="808080"/>
                <w:sz w:val="28"/>
                <w:szCs w:val="36"/>
                <w:rtl/>
                <w:lang w:eastAsia="zh-CN" w:bidi="ar-EG"/>
              </w:rPr>
            </w:pPr>
          </w:p>
          <w:p w:rsidR="006876D8" w:rsidRPr="000C1AE6" w:rsidRDefault="006876D8" w:rsidP="006876D8">
            <w:pPr>
              <w:tabs>
                <w:tab w:val="clear" w:pos="1134"/>
              </w:tabs>
              <w:spacing w:before="0" w:line="340" w:lineRule="exact"/>
              <w:rPr>
                <w:rFonts w:eastAsiaTheme="minorEastAsia"/>
                <w:b/>
                <w:bCs/>
                <w:color w:val="808080"/>
                <w:sz w:val="28"/>
                <w:szCs w:val="36"/>
                <w:rtl/>
                <w:lang w:eastAsia="zh-CN" w:bidi="ar-EG"/>
              </w:rPr>
            </w:pPr>
          </w:p>
        </w:tc>
      </w:tr>
      <w:tr w:rsidR="00AF70F6" w:rsidRPr="00AF70F6" w:rsidTr="0029677E">
        <w:tc>
          <w:tcPr>
            <w:tcW w:w="2707" w:type="pct"/>
            <w:gridSpan w:val="2"/>
            <w:shd w:val="clear" w:color="auto" w:fill="auto"/>
          </w:tcPr>
          <w:p w:rsidR="00AF70F6" w:rsidRPr="00AF70F6" w:rsidRDefault="00AF70F6" w:rsidP="00B861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lang w:eastAsia="zh-CN" w:bidi="ar-SY"/>
              </w:rPr>
            </w:pPr>
            <w:r w:rsidRPr="00B86151">
              <w:rPr>
                <w:rFonts w:eastAsiaTheme="minorEastAsia" w:hint="cs"/>
                <w:rtl/>
                <w:lang w:eastAsia="zh-CN" w:bidi="ar-AE"/>
              </w:rPr>
              <w:t>الرسالة الإدارية المعممة</w:t>
            </w:r>
          </w:p>
          <w:p w:rsidR="00AF70F6" w:rsidRPr="00AF70F6" w:rsidRDefault="00B86151" w:rsidP="00B861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left"/>
              <w:rPr>
                <w:rFonts w:eastAsiaTheme="minorEastAsia"/>
                <w:rtl/>
                <w:lang w:eastAsia="zh-CN" w:bidi="ar-SY"/>
              </w:rPr>
            </w:pPr>
            <w:r>
              <w:rPr>
                <w:rFonts w:eastAsiaTheme="minorEastAsia"/>
                <w:b/>
                <w:bCs/>
                <w:lang w:eastAsia="zh-CN" w:bidi="ar-SY"/>
              </w:rPr>
              <w:t>CACE</w:t>
            </w:r>
            <w:r w:rsidR="00AF70F6" w:rsidRPr="00AF70F6">
              <w:rPr>
                <w:rFonts w:eastAsiaTheme="minorEastAsia"/>
                <w:b/>
                <w:bCs/>
                <w:lang w:val="en-GB" w:eastAsia="zh-CN" w:bidi="ar-SY"/>
              </w:rPr>
              <w:t>/</w:t>
            </w:r>
            <w:r>
              <w:rPr>
                <w:rFonts w:eastAsiaTheme="minorEastAsia"/>
                <w:b/>
                <w:bCs/>
                <w:lang w:eastAsia="zh-CN" w:bidi="ar-SY"/>
              </w:rPr>
              <w:t>821</w:t>
            </w:r>
          </w:p>
        </w:tc>
        <w:tc>
          <w:tcPr>
            <w:tcW w:w="2293" w:type="pct"/>
            <w:shd w:val="clear" w:color="auto" w:fill="auto"/>
          </w:tcPr>
          <w:p w:rsidR="00AF70F6" w:rsidRPr="00AF70F6" w:rsidRDefault="00B86151" w:rsidP="00B861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right"/>
              <w:rPr>
                <w:rFonts w:eastAsiaTheme="minorEastAsia"/>
                <w:rtl/>
                <w:lang w:eastAsia="zh-CN" w:bidi="ar-EG"/>
              </w:rPr>
            </w:pPr>
            <w:r>
              <w:rPr>
                <w:rFonts w:eastAsiaTheme="minorEastAsia"/>
                <w:lang w:val="fr-FR" w:eastAsia="zh-CN" w:bidi="ar-SY"/>
              </w:rPr>
              <w:t>6</w:t>
            </w:r>
            <w:r w:rsidR="00AF70F6" w:rsidRPr="00AF70F6">
              <w:rPr>
                <w:rFonts w:eastAsiaTheme="minorEastAsia" w:hint="cs"/>
                <w:rtl/>
                <w:lang w:eastAsia="zh-CN" w:bidi="ar-SY"/>
              </w:rPr>
              <w:t xml:space="preserve"> </w:t>
            </w:r>
            <w:r>
              <w:rPr>
                <w:rFonts w:eastAsiaTheme="minorEastAsia" w:hint="cs"/>
                <w:rtl/>
                <w:lang w:eastAsia="zh-CN" w:bidi="ar-SY"/>
              </w:rPr>
              <w:t>يوليو</w:t>
            </w:r>
            <w:r w:rsidR="00AF70F6" w:rsidRPr="00AF70F6">
              <w:rPr>
                <w:rFonts w:eastAsiaTheme="minorEastAsia" w:hint="cs"/>
                <w:rtl/>
                <w:lang w:eastAsia="zh-CN" w:bidi="ar-SY"/>
              </w:rPr>
              <w:t xml:space="preserve"> </w:t>
            </w:r>
            <w:r w:rsidR="00AF70F6" w:rsidRPr="00AF70F6">
              <w:rPr>
                <w:rFonts w:eastAsiaTheme="minorEastAsia"/>
                <w:lang w:eastAsia="zh-CN" w:bidi="ar-SY"/>
              </w:rPr>
              <w:t>2017</w:t>
            </w:r>
          </w:p>
        </w:tc>
      </w:tr>
      <w:tr w:rsidR="00AF70F6" w:rsidRPr="00AF70F6" w:rsidTr="0029677E">
        <w:tc>
          <w:tcPr>
            <w:tcW w:w="5000" w:type="pct"/>
            <w:gridSpan w:val="3"/>
            <w:shd w:val="clear" w:color="auto" w:fill="auto"/>
          </w:tcPr>
          <w:p w:rsidR="00AF70F6" w:rsidRPr="00AF70F6" w:rsidRDefault="00AF70F6" w:rsidP="00AF70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rtl/>
                <w:lang w:eastAsia="zh-CN" w:bidi="ar-SY"/>
              </w:rPr>
            </w:pPr>
          </w:p>
        </w:tc>
      </w:tr>
      <w:tr w:rsidR="00AF70F6" w:rsidRPr="00AF70F6" w:rsidTr="0029677E">
        <w:tc>
          <w:tcPr>
            <w:tcW w:w="5000" w:type="pct"/>
            <w:gridSpan w:val="3"/>
            <w:shd w:val="clear" w:color="auto" w:fill="auto"/>
          </w:tcPr>
          <w:p w:rsidR="00AF70F6" w:rsidRPr="00AF70F6" w:rsidRDefault="00AF70F6" w:rsidP="00AF70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rtl/>
                <w:lang w:eastAsia="zh-CN" w:bidi="ar-SY"/>
              </w:rPr>
            </w:pPr>
          </w:p>
        </w:tc>
      </w:tr>
      <w:tr w:rsidR="00AF70F6" w:rsidRPr="00AF70F6" w:rsidTr="0029677E">
        <w:tc>
          <w:tcPr>
            <w:tcW w:w="5000" w:type="pct"/>
            <w:gridSpan w:val="3"/>
            <w:shd w:val="clear" w:color="auto" w:fill="auto"/>
          </w:tcPr>
          <w:p w:rsidR="00AF70F6" w:rsidRPr="00AF70F6" w:rsidRDefault="00AF70F6" w:rsidP="00B861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20"/>
              <w:jc w:val="left"/>
              <w:rPr>
                <w:rFonts w:eastAsiaTheme="minorEastAsia"/>
                <w:b/>
                <w:bCs/>
                <w:lang w:eastAsia="zh-CN" w:bidi="ar-SY"/>
              </w:rPr>
            </w:pPr>
            <w:r w:rsidRPr="000C1AE6">
              <w:rPr>
                <w:rFonts w:eastAsiaTheme="minorEastAsia"/>
                <w:b/>
                <w:bCs/>
                <w:w w:val="115"/>
                <w:rtl/>
                <w:lang w:eastAsia="zh-CN"/>
              </w:rPr>
              <w:t>إلى إدارات الدول الأعضاء في الاتحاد وأعضاء قطاع الاتصالات الراديوية</w:t>
            </w:r>
            <w:r w:rsidRPr="000C1AE6">
              <w:rPr>
                <w:rFonts w:eastAsiaTheme="minorEastAsia" w:hint="cs"/>
                <w:b/>
                <w:bCs/>
                <w:w w:val="115"/>
                <w:rtl/>
                <w:lang w:eastAsia="zh-CN"/>
              </w:rPr>
              <w:t xml:space="preserve"> و</w:t>
            </w:r>
            <w:r w:rsidRPr="000C1AE6">
              <w:rPr>
                <w:rFonts w:eastAsiaTheme="minorEastAsia"/>
                <w:b/>
                <w:bCs/>
                <w:w w:val="115"/>
                <w:rtl/>
                <w:lang w:eastAsia="zh-CN"/>
              </w:rPr>
              <w:t>المنتسبين إليه</w:t>
            </w:r>
            <w:r w:rsidRPr="00AF70F6">
              <w:rPr>
                <w:rFonts w:eastAsiaTheme="minorEastAsia"/>
                <w:b/>
                <w:bCs/>
                <w:rtl/>
                <w:lang w:eastAsia="zh-CN"/>
              </w:rPr>
              <w:br/>
            </w:r>
            <w:r w:rsidRPr="00AF70F6">
              <w:rPr>
                <w:rFonts w:eastAsiaTheme="minorEastAsia"/>
                <w:b/>
                <w:bCs/>
                <w:rtl/>
                <w:lang w:eastAsia="zh-CN" w:bidi="ar-EG"/>
              </w:rPr>
              <w:t xml:space="preserve">المشاركين في أعمال لجنة الدراسات </w:t>
            </w:r>
            <w:r w:rsidR="00B86151">
              <w:rPr>
                <w:rFonts w:eastAsiaTheme="minorEastAsia"/>
                <w:b/>
                <w:bCs/>
                <w:lang w:val="en-GB" w:eastAsia="zh-CN" w:bidi="ar-SY"/>
              </w:rPr>
              <w:t>1</w:t>
            </w:r>
            <w:r w:rsidRPr="00AF70F6">
              <w:rPr>
                <w:rFonts w:eastAsiaTheme="minorEastAsia"/>
                <w:b/>
                <w:bCs/>
                <w:rtl/>
                <w:lang w:eastAsia="zh-CN" w:bidi="ar-EG"/>
              </w:rPr>
              <w:t xml:space="preserve"> للاتصالات الراديوية</w:t>
            </w:r>
            <w:r w:rsidRPr="00AF70F6">
              <w:rPr>
                <w:rFonts w:eastAsiaTheme="minorEastAsia" w:hint="cs"/>
                <w:b/>
                <w:bCs/>
                <w:rtl/>
                <w:lang w:eastAsia="zh-CN" w:bidi="ar-EG"/>
              </w:rPr>
              <w:t xml:space="preserve"> والهيئات الأكاديمية المنضمة إلى الاتحاد</w:t>
            </w:r>
          </w:p>
        </w:tc>
      </w:tr>
      <w:tr w:rsidR="00AF70F6" w:rsidRPr="00AF70F6" w:rsidTr="0029677E">
        <w:tc>
          <w:tcPr>
            <w:tcW w:w="5000" w:type="pct"/>
            <w:gridSpan w:val="3"/>
            <w:shd w:val="clear" w:color="auto" w:fill="auto"/>
          </w:tcPr>
          <w:p w:rsidR="00AF70F6" w:rsidRPr="00AF70F6" w:rsidRDefault="00AF70F6" w:rsidP="00AF70F6">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40" w:lineRule="exact"/>
              <w:rPr>
                <w:rFonts w:eastAsiaTheme="minorEastAsia"/>
                <w:lang w:val="en-GB" w:eastAsia="zh-CN" w:bidi="ar-SY"/>
              </w:rPr>
            </w:pPr>
          </w:p>
        </w:tc>
      </w:tr>
      <w:tr w:rsidR="00AF70F6" w:rsidRPr="00AF70F6" w:rsidTr="0029677E">
        <w:trPr>
          <w:trHeight w:val="452"/>
        </w:trPr>
        <w:tc>
          <w:tcPr>
            <w:tcW w:w="699" w:type="pct"/>
            <w:shd w:val="clear" w:color="auto" w:fill="auto"/>
          </w:tcPr>
          <w:p w:rsidR="00AF70F6" w:rsidRPr="00AF70F6" w:rsidRDefault="00AF70F6" w:rsidP="006876D8">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rPr>
                <w:rFonts w:eastAsiaTheme="minorEastAsia"/>
                <w:lang w:val="fr-FR" w:eastAsia="zh-CN" w:bidi="ar-SY"/>
              </w:rPr>
            </w:pPr>
            <w:r w:rsidRPr="00AF70F6">
              <w:rPr>
                <w:rFonts w:eastAsiaTheme="minorEastAsia"/>
                <w:rtl/>
                <w:lang w:eastAsia="zh-CN"/>
              </w:rPr>
              <w:t>الموضوع</w:t>
            </w:r>
            <w:r w:rsidRPr="00AF70F6">
              <w:rPr>
                <w:rFonts w:eastAsiaTheme="minorEastAsia"/>
                <w:lang w:val="en-GB" w:eastAsia="zh-CN" w:bidi="ar-SY"/>
              </w:rPr>
              <w:t>:</w:t>
            </w:r>
          </w:p>
        </w:tc>
        <w:tc>
          <w:tcPr>
            <w:tcW w:w="4301" w:type="pct"/>
            <w:gridSpan w:val="2"/>
            <w:shd w:val="clear" w:color="auto" w:fill="auto"/>
          </w:tcPr>
          <w:p w:rsidR="00AF70F6" w:rsidRPr="008D3F8E" w:rsidRDefault="00AF70F6" w:rsidP="006876D8">
            <w:pPr>
              <w:spacing w:before="60" w:after="60"/>
              <w:rPr>
                <w:b/>
                <w:bCs/>
                <w:rtl/>
                <w:lang w:bidi="ar-EG"/>
              </w:rPr>
            </w:pPr>
            <w:r w:rsidRPr="008D3F8E">
              <w:rPr>
                <w:b/>
                <w:bCs/>
                <w:rtl/>
                <w:lang w:bidi="ar-EG"/>
              </w:rPr>
              <w:t xml:space="preserve">لجنة الدراسات </w:t>
            </w:r>
            <w:r w:rsidR="00B86151">
              <w:rPr>
                <w:b/>
                <w:bCs/>
                <w:lang w:bidi="ar-SY"/>
              </w:rPr>
              <w:t>1</w:t>
            </w:r>
            <w:r w:rsidRPr="008D3F8E">
              <w:rPr>
                <w:b/>
                <w:bCs/>
                <w:rtl/>
                <w:lang w:bidi="ar-EG"/>
              </w:rPr>
              <w:t xml:space="preserve"> للاتصالات الراديوي</w:t>
            </w:r>
            <w:r w:rsidRPr="008D3F8E">
              <w:rPr>
                <w:rFonts w:hint="cs"/>
                <w:b/>
                <w:bCs/>
                <w:rtl/>
                <w:lang w:bidi="ar-EG"/>
              </w:rPr>
              <w:t>ة</w:t>
            </w:r>
            <w:r>
              <w:rPr>
                <w:rFonts w:hint="cs"/>
                <w:b/>
                <w:bCs/>
                <w:rtl/>
                <w:lang w:bidi="ar-EG"/>
              </w:rPr>
              <w:t xml:space="preserve"> (</w:t>
            </w:r>
            <w:r w:rsidR="00B86151" w:rsidRPr="00B86151">
              <w:rPr>
                <w:b/>
                <w:bCs/>
                <w:rtl/>
              </w:rPr>
              <w:t>إدارة الطيف</w:t>
            </w:r>
            <w:r>
              <w:rPr>
                <w:rFonts w:hint="cs"/>
                <w:b/>
                <w:bCs/>
                <w:rtl/>
                <w:lang w:bidi="ar-EG"/>
              </w:rPr>
              <w:t>)</w:t>
            </w:r>
          </w:p>
          <w:p w:rsidR="00AF70F6" w:rsidRPr="00B86151" w:rsidRDefault="00AF70F6" w:rsidP="00C33321">
            <w:pPr>
              <w:tabs>
                <w:tab w:val="left" w:pos="386"/>
              </w:tabs>
              <w:spacing w:before="60" w:after="60"/>
              <w:ind w:left="386" w:hanging="386"/>
              <w:rPr>
                <w:b/>
                <w:bCs/>
                <w:lang w:bidi="ar-EG"/>
              </w:rPr>
            </w:pPr>
            <w:r w:rsidRPr="008D3F8E">
              <w:rPr>
                <w:rFonts w:hint="cs"/>
                <w:b/>
                <w:bCs/>
                <w:rtl/>
                <w:lang w:bidi="ar-EG"/>
              </w:rPr>
              <w:t>-</w:t>
            </w:r>
            <w:r w:rsidRPr="008D3F8E">
              <w:rPr>
                <w:b/>
                <w:bCs/>
                <w:rtl/>
                <w:lang w:bidi="ar-EG"/>
              </w:rPr>
              <w:tab/>
            </w:r>
            <w:r w:rsidR="00B86151">
              <w:rPr>
                <w:b/>
                <w:bCs/>
                <w:rtl/>
                <w:lang w:bidi="ar-EG"/>
              </w:rPr>
              <w:t>اقتراح اعتماد</w:t>
            </w:r>
            <w:r w:rsidR="00B86151">
              <w:rPr>
                <w:rFonts w:hint="cs"/>
                <w:b/>
                <w:bCs/>
                <w:rtl/>
                <w:lang w:bidi="ar-EG"/>
              </w:rPr>
              <w:t xml:space="preserve"> </w:t>
            </w:r>
            <w:r w:rsidR="00B86151" w:rsidRPr="00B86151">
              <w:rPr>
                <w:b/>
                <w:bCs/>
                <w:rtl/>
              </w:rPr>
              <w:t xml:space="preserve">مشاريع </w:t>
            </w:r>
            <w:r w:rsidR="00B86151">
              <w:rPr>
                <w:b/>
                <w:bCs/>
              </w:rPr>
              <w:t>3</w:t>
            </w:r>
            <w:r w:rsidR="00B86151" w:rsidRPr="00B86151">
              <w:rPr>
                <w:b/>
                <w:bCs/>
                <w:rtl/>
                <w:lang w:bidi="ar-SY"/>
              </w:rPr>
              <w:t xml:space="preserve"> </w:t>
            </w:r>
            <w:r w:rsidR="00B86151" w:rsidRPr="00B86151">
              <w:rPr>
                <w:b/>
                <w:bCs/>
                <w:rtl/>
              </w:rPr>
              <w:t xml:space="preserve">توصيات جديدة </w:t>
            </w:r>
            <w:r w:rsidR="00515C20">
              <w:rPr>
                <w:rFonts w:hint="cs"/>
                <w:b/>
                <w:bCs/>
                <w:rtl/>
                <w:lang w:bidi="ar-EG"/>
              </w:rPr>
              <w:t>ومشاريع</w:t>
            </w:r>
            <w:r w:rsidR="00B86151" w:rsidRPr="00B86151">
              <w:rPr>
                <w:b/>
                <w:bCs/>
                <w:rtl/>
              </w:rPr>
              <w:t xml:space="preserve"> مراجعة </w:t>
            </w:r>
            <w:r w:rsidR="00B86151">
              <w:rPr>
                <w:b/>
                <w:bCs/>
                <w:lang w:bidi="ar-EG"/>
              </w:rPr>
              <w:t>3</w:t>
            </w:r>
            <w:r w:rsidR="00FC7623">
              <w:rPr>
                <w:rFonts w:hint="cs"/>
                <w:b/>
                <w:bCs/>
                <w:rtl/>
                <w:lang w:bidi="ar-SY"/>
              </w:rPr>
              <w:t> </w:t>
            </w:r>
            <w:r w:rsidR="00B86151" w:rsidRPr="00B86151">
              <w:rPr>
                <w:b/>
                <w:bCs/>
                <w:rtl/>
              </w:rPr>
              <w:t>توصيات لقطاع الاتصالات الراديوية</w:t>
            </w:r>
            <w:r w:rsidR="00B86151" w:rsidRPr="00B86151">
              <w:rPr>
                <w:b/>
                <w:bCs/>
                <w:rtl/>
                <w:lang w:bidi="ar-EG"/>
              </w:rPr>
              <w:t xml:space="preserve"> والموافقة عليها في نفس الوقت بالمراسلة وفقاً للفقرة </w:t>
            </w:r>
            <w:r w:rsidR="00B86151" w:rsidRPr="00B86151">
              <w:rPr>
                <w:b/>
                <w:bCs/>
                <w:lang w:val="fr-FR" w:bidi="ar-EG"/>
              </w:rPr>
              <w:t>4.2.6.A2</w:t>
            </w:r>
            <w:r w:rsidR="00B86151" w:rsidRPr="00B86151">
              <w:rPr>
                <w:b/>
                <w:bCs/>
                <w:rtl/>
                <w:lang w:bidi="ar-EG"/>
              </w:rPr>
              <w:t xml:space="preserve"> من القرار</w:t>
            </w:r>
            <w:r w:rsidR="00FC7623">
              <w:rPr>
                <w:rFonts w:hint="cs"/>
                <w:b/>
                <w:bCs/>
                <w:rtl/>
                <w:lang w:bidi="ar-EG"/>
              </w:rPr>
              <w:t> </w:t>
            </w:r>
            <w:r w:rsidR="00B86151" w:rsidRPr="00B86151">
              <w:rPr>
                <w:b/>
                <w:bCs/>
                <w:lang w:val="fr-FR" w:bidi="ar-EG"/>
              </w:rPr>
              <w:t>ITU-R 1-7</w:t>
            </w:r>
            <w:r w:rsidR="00B86151" w:rsidRPr="00B86151">
              <w:rPr>
                <w:b/>
                <w:bCs/>
                <w:rtl/>
                <w:lang w:bidi="ar-EG"/>
              </w:rPr>
              <w:t xml:space="preserve"> (إجراء</w:t>
            </w:r>
            <w:r w:rsidR="00C33321">
              <w:rPr>
                <w:rFonts w:hint="cs"/>
                <w:b/>
                <w:bCs/>
                <w:rtl/>
                <w:lang w:bidi="ar-EG"/>
              </w:rPr>
              <w:t> </w:t>
            </w:r>
            <w:r w:rsidR="00B86151" w:rsidRPr="00B86151">
              <w:rPr>
                <w:b/>
                <w:bCs/>
                <w:rtl/>
                <w:lang w:bidi="ar-EG"/>
              </w:rPr>
              <w:t>الاعتماد والموافقة في نفس الوقت عن طريق المراسلة)</w:t>
            </w:r>
          </w:p>
        </w:tc>
      </w:tr>
    </w:tbl>
    <w:p w:rsidR="00B86151" w:rsidRPr="00E75C9D" w:rsidRDefault="00B86151" w:rsidP="005D4D49">
      <w:pPr>
        <w:spacing w:before="840"/>
        <w:rPr>
          <w:lang w:eastAsia="zh-CN" w:bidi="ar-EG"/>
        </w:rPr>
      </w:pPr>
      <w:r w:rsidRPr="00E75C9D">
        <w:rPr>
          <w:rtl/>
          <w:lang w:bidi="ar-EG"/>
        </w:rPr>
        <w:t>قررت لجنة الدراسات </w:t>
      </w:r>
      <w:r w:rsidRPr="00E75C9D">
        <w:rPr>
          <w:lang w:val="en-GB"/>
        </w:rPr>
        <w:t>1</w:t>
      </w:r>
      <w:r w:rsidRPr="00E75C9D">
        <w:rPr>
          <w:rtl/>
          <w:lang w:bidi="ar-EG"/>
        </w:rPr>
        <w:t xml:space="preserve"> للاتصالات الراديوية في اجتماعها المنعقد في </w:t>
      </w:r>
      <w:r w:rsidRPr="00E75C9D">
        <w:t>21</w:t>
      </w:r>
      <w:r w:rsidRPr="00E75C9D">
        <w:rPr>
          <w:rtl/>
          <w:lang w:bidi="ar-EG"/>
        </w:rPr>
        <w:t xml:space="preserve"> </w:t>
      </w:r>
      <w:r w:rsidRPr="00E75C9D">
        <w:rPr>
          <w:rFonts w:hint="cs"/>
          <w:rtl/>
          <w:lang w:bidi="ar-EG"/>
        </w:rPr>
        <w:t>يونيو</w:t>
      </w:r>
      <w:r w:rsidRPr="00E75C9D">
        <w:rPr>
          <w:rtl/>
          <w:lang w:bidi="ar-EG"/>
        </w:rPr>
        <w:t> </w:t>
      </w:r>
      <w:r w:rsidRPr="00E75C9D">
        <w:t>2017</w:t>
      </w:r>
      <w:r w:rsidRPr="00E75C9D">
        <w:rPr>
          <w:rtl/>
          <w:lang w:bidi="ar-EG"/>
        </w:rPr>
        <w:t xml:space="preserve"> أن تلتمس اعتماد مشاريع </w:t>
      </w:r>
      <w:r w:rsidR="00DB706F" w:rsidRPr="00E75C9D">
        <w:t>3</w:t>
      </w:r>
      <w:r w:rsidR="002B4247" w:rsidRPr="00E75C9D">
        <w:rPr>
          <w:rFonts w:hint="cs"/>
          <w:rtl/>
          <w:lang w:bidi="ar-SY"/>
        </w:rPr>
        <w:t> </w:t>
      </w:r>
      <w:r w:rsidRPr="00E75C9D">
        <w:rPr>
          <w:rtl/>
          <w:lang w:bidi="ar-EG"/>
        </w:rPr>
        <w:t xml:space="preserve">توصيات جديدة ومشاريع مراجَعة </w:t>
      </w:r>
      <w:r w:rsidR="00DB706F" w:rsidRPr="00E75C9D">
        <w:t>3</w:t>
      </w:r>
      <w:r w:rsidRPr="00E75C9D">
        <w:rPr>
          <w:rtl/>
          <w:lang w:bidi="ar-SY"/>
        </w:rPr>
        <w:t xml:space="preserve"> </w:t>
      </w:r>
      <w:r w:rsidRPr="00E75C9D">
        <w:rPr>
          <w:rtl/>
          <w:lang w:bidi="ar-EG"/>
        </w:rPr>
        <w:t>توصيات لقطاع الاتصالات الراديوية عن طريق المراسلة (الفقرة </w:t>
      </w:r>
      <w:r w:rsidRPr="00E75C9D">
        <w:t>2.6.A2</w:t>
      </w:r>
      <w:r w:rsidRPr="00E75C9D">
        <w:rPr>
          <w:rtl/>
          <w:lang w:bidi="ar-EG"/>
        </w:rPr>
        <w:t xml:space="preserve"> من القرار </w:t>
      </w:r>
      <w:r w:rsidRPr="00E75C9D">
        <w:t>ITU</w:t>
      </w:r>
      <w:r w:rsidRPr="00E75C9D">
        <w:noBreakHyphen/>
        <w:t>R 1</w:t>
      </w:r>
      <w:r w:rsidRPr="00E75C9D">
        <w:noBreakHyphen/>
        <w:t>7</w:t>
      </w:r>
      <w:r w:rsidRPr="00E75C9D">
        <w:rPr>
          <w:rtl/>
          <w:lang w:bidi="ar-EG"/>
        </w:rPr>
        <w:t>) وقررت كذلك تطبيق إجراء الاعتماد والموافقة في نفس الوقت عن طريق المراسلة </w:t>
      </w:r>
      <w:r w:rsidRPr="00E75C9D">
        <w:t>(PSAA)</w:t>
      </w:r>
      <w:r w:rsidRPr="00E75C9D">
        <w:rPr>
          <w:rtl/>
          <w:lang w:bidi="ar-EG"/>
        </w:rPr>
        <w:t xml:space="preserve"> (الفقرة </w:t>
      </w:r>
      <w:r w:rsidRPr="00E75C9D">
        <w:t>4.2.6.A2</w:t>
      </w:r>
      <w:r w:rsidRPr="00E75C9D">
        <w:rPr>
          <w:rtl/>
          <w:lang w:bidi="ar-EG"/>
        </w:rPr>
        <w:t xml:space="preserve"> من القرار </w:t>
      </w:r>
      <w:r w:rsidRPr="00E75C9D">
        <w:t>ITU</w:t>
      </w:r>
      <w:r w:rsidRPr="00E75C9D">
        <w:noBreakHyphen/>
        <w:t>R 1</w:t>
      </w:r>
      <w:r w:rsidRPr="00E75C9D">
        <w:noBreakHyphen/>
        <w:t>7</w:t>
      </w:r>
      <w:r w:rsidR="00C373A3">
        <w:rPr>
          <w:rtl/>
          <w:lang w:bidi="ar-EG"/>
        </w:rPr>
        <w:t>). ويرد في</w:t>
      </w:r>
      <w:r w:rsidR="00C373A3">
        <w:rPr>
          <w:rFonts w:hint="cs"/>
          <w:rtl/>
          <w:lang w:bidi="ar-EG"/>
        </w:rPr>
        <w:t> </w:t>
      </w:r>
      <w:r w:rsidRPr="00E75C9D">
        <w:rPr>
          <w:rtl/>
          <w:lang w:bidi="ar-EG"/>
        </w:rPr>
        <w:t xml:space="preserve">الملحق </w:t>
      </w:r>
      <w:r w:rsidRPr="00E75C9D">
        <w:rPr>
          <w:rtl/>
        </w:rPr>
        <w:t>بهذه الرسالة</w:t>
      </w:r>
      <w:r w:rsidRPr="00E75C9D">
        <w:rPr>
          <w:rtl/>
          <w:lang w:bidi="ar-EG"/>
        </w:rPr>
        <w:t xml:space="preserve"> </w:t>
      </w:r>
      <w:r w:rsidR="00515C20" w:rsidRPr="00E75C9D">
        <w:rPr>
          <w:rFonts w:hint="cs"/>
          <w:rtl/>
          <w:lang w:bidi="ar-EG"/>
        </w:rPr>
        <w:t>عناوين مشاريع التوصيات وملخصاتها</w:t>
      </w:r>
      <w:r w:rsidRPr="00E75C9D">
        <w:rPr>
          <w:rtl/>
          <w:lang w:bidi="ar-EG"/>
        </w:rPr>
        <w:t>. ويرجى من أي دولة عضو تعترض على اعتماد مشروع توصية أن تخبر المدير ورئيس لجنة الدراسات بأسباب اعتراضها.</w:t>
      </w:r>
    </w:p>
    <w:p w:rsidR="00B86151" w:rsidRPr="00E75C9D" w:rsidRDefault="00B86151" w:rsidP="00737C1D">
      <w:pPr>
        <w:rPr>
          <w:rtl/>
          <w:lang w:bidi="ar-EG"/>
        </w:rPr>
      </w:pPr>
      <w:r w:rsidRPr="00E75C9D">
        <w:rPr>
          <w:rtl/>
          <w:lang w:bidi="ar-EG"/>
        </w:rPr>
        <w:t xml:space="preserve">وتمتد فترة النظر لمدة شهرين تنتهي في </w:t>
      </w:r>
      <w:r w:rsidR="00956736" w:rsidRPr="00E75C9D">
        <w:rPr>
          <w:u w:val="single"/>
          <w:lang w:bidi="ar-EG"/>
        </w:rPr>
        <w:t>6</w:t>
      </w:r>
      <w:r w:rsidRPr="00E75C9D">
        <w:rPr>
          <w:u w:val="single"/>
          <w:rtl/>
          <w:lang w:bidi="ar-EG"/>
        </w:rPr>
        <w:t xml:space="preserve"> </w:t>
      </w:r>
      <w:r w:rsidR="00956736" w:rsidRPr="00E75C9D">
        <w:rPr>
          <w:rFonts w:hint="cs"/>
          <w:u w:val="single"/>
          <w:rtl/>
          <w:lang w:bidi="ar-EG"/>
        </w:rPr>
        <w:t>سبتمبر</w:t>
      </w:r>
      <w:r w:rsidRPr="00E75C9D">
        <w:rPr>
          <w:u w:val="single"/>
          <w:rtl/>
          <w:lang w:bidi="ar-EG"/>
        </w:rPr>
        <w:t xml:space="preserve"> </w:t>
      </w:r>
      <w:r w:rsidRPr="00E75C9D">
        <w:rPr>
          <w:u w:val="single"/>
        </w:rPr>
        <w:t>201</w:t>
      </w:r>
      <w:r w:rsidR="00956736" w:rsidRPr="00E75C9D">
        <w:rPr>
          <w:u w:val="single"/>
        </w:rPr>
        <w:t>7</w:t>
      </w:r>
      <w:r w:rsidRPr="00E75C9D">
        <w:rPr>
          <w:rtl/>
          <w:lang w:bidi="ar-EG"/>
        </w:rPr>
        <w:t>. وإذا لم ترد أي اعتراضات من الدول الأعضاء خلال هذه الفتر</w:t>
      </w:r>
      <w:r w:rsidR="008E0C6F" w:rsidRPr="00E75C9D">
        <w:rPr>
          <w:rtl/>
          <w:lang w:bidi="ar-EG"/>
        </w:rPr>
        <w:t>ة فإن</w:t>
      </w:r>
      <w:r w:rsidR="008E0C6F" w:rsidRPr="00E75C9D">
        <w:rPr>
          <w:rFonts w:hint="cs"/>
          <w:rtl/>
          <w:lang w:bidi="ar-EG"/>
        </w:rPr>
        <w:t> </w:t>
      </w:r>
      <w:r w:rsidRPr="00E75C9D">
        <w:rPr>
          <w:rtl/>
          <w:lang w:bidi="ar-EG"/>
        </w:rPr>
        <w:t>مشاريع التوصيات</w:t>
      </w:r>
      <w:r w:rsidR="008E0C6F" w:rsidRPr="00E75C9D">
        <w:rPr>
          <w:rFonts w:hint="cs"/>
          <w:rtl/>
          <w:lang w:bidi="ar-EG"/>
        </w:rPr>
        <w:t xml:space="preserve"> </w:t>
      </w:r>
      <w:r w:rsidRPr="00E75C9D">
        <w:rPr>
          <w:rtl/>
          <w:lang w:bidi="ar-EG"/>
        </w:rPr>
        <w:t>تعتبر قد اعتمدتها لجنة الدراسات </w:t>
      </w:r>
      <w:r w:rsidR="008E0C6F" w:rsidRPr="00E75C9D">
        <w:t>1</w:t>
      </w:r>
      <w:r w:rsidRPr="00E75C9D">
        <w:rPr>
          <w:rtl/>
          <w:lang w:bidi="ar-EG"/>
        </w:rPr>
        <w:t>. وعلاوةً على ذلك، ولما كان قد تم اتباع إجراء الاعتماد والموافقة في نفس الوقت عن طريق المراسلة، فإن مشاريع التوصيات ستعتبر أيضاً بحكم الموافَق عليها.</w:t>
      </w:r>
    </w:p>
    <w:p w:rsidR="00B86151" w:rsidRPr="00E75C9D" w:rsidRDefault="00B86151" w:rsidP="00737C1D">
      <w:pPr>
        <w:rPr>
          <w:rtl/>
        </w:rPr>
      </w:pPr>
      <w:r w:rsidRPr="00E75C9D">
        <w:rPr>
          <w:rtl/>
          <w:lang w:bidi="ar-EG"/>
        </w:rPr>
        <w:t>وبعد المهلة المحددة أعلاه، ستعلن نتائج الإجراءات المذكورة أعلاه في رسالة إدارية معممة وستنشر التوصيات الموافَق عليها في أقرب وقت ممكن</w:t>
      </w:r>
      <w:r w:rsidR="007E7ABD">
        <w:rPr>
          <w:rFonts w:hint="cs"/>
          <w:rtl/>
          <w:lang w:bidi="ar-EG"/>
        </w:rPr>
        <w:t xml:space="preserve"> عملياً</w:t>
      </w:r>
      <w:r w:rsidRPr="00E75C9D">
        <w:rPr>
          <w:rtl/>
          <w:lang w:bidi="ar-EG"/>
        </w:rPr>
        <w:t xml:space="preserve"> (انظر </w:t>
      </w:r>
      <w:hyperlink r:id="rId10" w:history="1">
        <w:r w:rsidR="00737C1D" w:rsidRPr="00E75C9D">
          <w:rPr>
            <w:rStyle w:val="Hyperlink"/>
            <w:rFonts w:ascii="Calibri" w:hAnsi="Calibri"/>
          </w:rPr>
          <w:t>http://www.itu.int/pub/R-REC</w:t>
        </w:r>
      </w:hyperlink>
      <w:r w:rsidRPr="00E75C9D">
        <w:rPr>
          <w:rtl/>
          <w:lang w:bidi="ar-EG"/>
        </w:rPr>
        <w:t>).</w:t>
      </w:r>
    </w:p>
    <w:p w:rsidR="00B86151" w:rsidRDefault="00B86151" w:rsidP="0001150D">
      <w:pPr>
        <w:keepNext/>
        <w:keepLines/>
        <w:widowControl w:val="0"/>
        <w:rPr>
          <w:lang w:bidi="ar-EG"/>
        </w:rPr>
      </w:pPr>
      <w:r>
        <w:rPr>
          <w:rtl/>
          <w:lang w:bidi="ar-EG"/>
        </w:rPr>
        <w:lastRenderedPageBreak/>
        <w:t>ويرجى من أي منظمة عضو في الاتحاد تعلم بوجود براءة اختراع لديها أو لدى غيرها تغطي كلياً أو جزئياً عناصر مشاريع التوصيات المذكورة في هذه الرسالة أن تبلغ الأمانة بهذه المعلومات بأسرع ما يمكن. ويمكن الاطلاع على السياسة المشتركة للبراءات </w:t>
      </w:r>
      <w:r>
        <w:t>"ITU</w:t>
      </w:r>
      <w:r>
        <w:noBreakHyphen/>
        <w:t>T/ITU</w:t>
      </w:r>
      <w:r>
        <w:noBreakHyphen/>
        <w:t>R/ISO/IEC"</w:t>
      </w:r>
      <w:r>
        <w:rPr>
          <w:rtl/>
          <w:lang w:bidi="ar-EG"/>
        </w:rPr>
        <w:t xml:space="preserve"> في الموقع الإلكتروني: </w:t>
      </w:r>
      <w:hyperlink r:id="rId11" w:history="1">
        <w:r w:rsidR="00737C1D" w:rsidRPr="00737C1D">
          <w:rPr>
            <w:rStyle w:val="Hyperlink"/>
            <w:rFonts w:ascii="Calibri" w:hAnsi="Calibri"/>
          </w:rPr>
          <w:t>http://www.itu.int/en/ITU-T/ipr/Pages/policy.aspx</w:t>
        </w:r>
      </w:hyperlink>
      <w:r>
        <w:rPr>
          <w:rtl/>
          <w:lang w:bidi="ar-EG"/>
        </w:rPr>
        <w:t>.</w:t>
      </w:r>
    </w:p>
    <w:p w:rsidR="00C90DB8" w:rsidRPr="00C90DB8" w:rsidRDefault="00C90DB8" w:rsidP="00C90DB8">
      <w:pPr>
        <w:keepNext/>
        <w:keepLines/>
        <w:widowControl w:val="0"/>
        <w:spacing w:before="240"/>
        <w:rPr>
          <w:rtl/>
        </w:rPr>
      </w:pPr>
      <w:r w:rsidRPr="00C90DB8">
        <w:rPr>
          <w:rFonts w:hint="cs"/>
          <w:rtl/>
          <w:lang w:bidi="ar-EG"/>
        </w:rPr>
        <w:t>وتفضلوا بقبول فائق التقدير والاحترام.</w:t>
      </w:r>
    </w:p>
    <w:p w:rsidR="00B86151" w:rsidRDefault="00B86151" w:rsidP="00B86151">
      <w:pPr>
        <w:spacing w:before="1440"/>
        <w:jc w:val="left"/>
        <w:rPr>
          <w:rtl/>
        </w:rPr>
      </w:pPr>
      <w:r>
        <w:rPr>
          <w:rtl/>
        </w:rPr>
        <w:t>فرانسوا رانسي</w:t>
      </w:r>
      <w:r>
        <w:rPr>
          <w:rtl/>
        </w:rPr>
        <w:br/>
        <w:t>المدير</w:t>
      </w:r>
    </w:p>
    <w:p w:rsidR="00B86151" w:rsidRDefault="00B86151" w:rsidP="00515C20">
      <w:pPr>
        <w:spacing w:before="720"/>
        <w:jc w:val="left"/>
        <w:rPr>
          <w:rtl/>
          <w:lang w:bidi="ar-EG"/>
        </w:rPr>
      </w:pPr>
      <w:proofErr w:type="gramStart"/>
      <w:r>
        <w:rPr>
          <w:b/>
          <w:bCs/>
          <w:rtl/>
          <w:lang w:bidi="ar-EG"/>
        </w:rPr>
        <w:t>الملحق:</w:t>
      </w:r>
      <w:r>
        <w:rPr>
          <w:rtl/>
          <w:lang w:bidi="ar-EG"/>
        </w:rPr>
        <w:tab/>
      </w:r>
      <w:proofErr w:type="gramEnd"/>
      <w:r>
        <w:rPr>
          <w:rtl/>
          <w:lang w:bidi="ar-EG"/>
        </w:rPr>
        <w:t>عناوين مشاريع التوصيات</w:t>
      </w:r>
      <w:r w:rsidR="00515C20">
        <w:rPr>
          <w:rFonts w:hint="cs"/>
          <w:rtl/>
          <w:lang w:bidi="ar-EG"/>
        </w:rPr>
        <w:t xml:space="preserve"> وملخصاتها</w:t>
      </w:r>
    </w:p>
    <w:p w:rsidR="00B86151" w:rsidRDefault="00B86151" w:rsidP="009128C6">
      <w:pPr>
        <w:spacing w:before="600"/>
        <w:jc w:val="left"/>
        <w:rPr>
          <w:rtl/>
        </w:rPr>
      </w:pPr>
      <w:proofErr w:type="gramStart"/>
      <w:r>
        <w:rPr>
          <w:b/>
          <w:bCs/>
          <w:rtl/>
          <w:lang w:bidi="ar-EG"/>
        </w:rPr>
        <w:t>الوثائق:</w:t>
      </w:r>
      <w:r>
        <w:rPr>
          <w:rtl/>
          <w:lang w:bidi="ar-EG"/>
        </w:rPr>
        <w:tab/>
      </w:r>
      <w:proofErr w:type="gramEnd"/>
      <w:r w:rsidR="009128C6">
        <w:rPr>
          <w:rFonts w:hint="cs"/>
          <w:rtl/>
          <w:lang w:val="en-GB" w:bidi="ar-EG"/>
        </w:rPr>
        <w:t xml:space="preserve">الوثيقة </w:t>
      </w:r>
      <w:r w:rsidR="009128C6" w:rsidRPr="009128C6">
        <w:rPr>
          <w:lang w:val="en-GB" w:bidi="ar-EG"/>
        </w:rPr>
        <w:t>1/69(Rev.1)</w:t>
      </w:r>
      <w:r w:rsidR="009128C6">
        <w:rPr>
          <w:rFonts w:hint="cs"/>
          <w:rtl/>
          <w:lang w:val="en-GB" w:bidi="ar-EG"/>
        </w:rPr>
        <w:t xml:space="preserve"> و</w:t>
      </w:r>
      <w:r w:rsidR="009128C6" w:rsidRPr="009128C6">
        <w:rPr>
          <w:lang w:val="en-GB" w:bidi="ar-EG"/>
        </w:rPr>
        <w:t>1/71(Rev.1)</w:t>
      </w:r>
      <w:r w:rsidR="009128C6">
        <w:rPr>
          <w:rFonts w:hint="cs"/>
          <w:rtl/>
          <w:lang w:val="en-GB" w:bidi="ar-EG"/>
        </w:rPr>
        <w:t xml:space="preserve"> و</w:t>
      </w:r>
      <w:r w:rsidR="009128C6" w:rsidRPr="009128C6">
        <w:rPr>
          <w:lang w:val="en-GB" w:bidi="ar-EG"/>
        </w:rPr>
        <w:t>1/72(Rev.1)</w:t>
      </w:r>
      <w:r w:rsidR="009128C6">
        <w:rPr>
          <w:rFonts w:hint="cs"/>
          <w:rtl/>
          <w:lang w:val="en-GB" w:bidi="ar-EG"/>
        </w:rPr>
        <w:t xml:space="preserve"> و</w:t>
      </w:r>
      <w:r w:rsidR="009128C6" w:rsidRPr="009128C6">
        <w:rPr>
          <w:lang w:val="en-GB" w:bidi="ar-EG"/>
        </w:rPr>
        <w:t>1/78(Rev.1)</w:t>
      </w:r>
      <w:r w:rsidR="009128C6">
        <w:rPr>
          <w:rFonts w:hint="cs"/>
          <w:rtl/>
          <w:lang w:val="en-GB" w:bidi="ar-EG"/>
        </w:rPr>
        <w:t xml:space="preserve"> و</w:t>
      </w:r>
      <w:r w:rsidR="009128C6" w:rsidRPr="009128C6">
        <w:rPr>
          <w:lang w:val="en-GB" w:bidi="ar-EG"/>
        </w:rPr>
        <w:t>1/86</w:t>
      </w:r>
      <w:r w:rsidR="009128C6">
        <w:rPr>
          <w:rFonts w:hint="cs"/>
          <w:rtl/>
          <w:lang w:val="en-GB" w:bidi="ar-EG"/>
        </w:rPr>
        <w:t xml:space="preserve"> و</w:t>
      </w:r>
      <w:r w:rsidR="009128C6" w:rsidRPr="009128C6">
        <w:rPr>
          <w:lang w:val="en-GB" w:bidi="ar-EG"/>
        </w:rPr>
        <w:t>1/88(Rev.1)</w:t>
      </w:r>
    </w:p>
    <w:p w:rsidR="00B86151" w:rsidRDefault="00B86151" w:rsidP="00A3425C">
      <w:pPr>
        <w:rPr>
          <w:rtl/>
        </w:rPr>
      </w:pPr>
      <w:r>
        <w:rPr>
          <w:rtl/>
        </w:rPr>
        <w:t xml:space="preserve">وتتاح هذه الوثائق في نسق إلكتروني في: </w:t>
      </w:r>
      <w:hyperlink r:id="rId12" w:history="1">
        <w:r w:rsidR="00A3425C" w:rsidRPr="00A3425C">
          <w:rPr>
            <w:rStyle w:val="Hyperlink"/>
            <w:rFonts w:ascii="Calibri" w:hAnsi="Calibri"/>
          </w:rPr>
          <w:t>https://www.itu.int/md/R15-SG01-C/en</w:t>
        </w:r>
      </w:hyperlink>
    </w:p>
    <w:p w:rsidR="00B86151" w:rsidRPr="00013F55" w:rsidRDefault="00B86151" w:rsidP="00B86151">
      <w:pPr>
        <w:tabs>
          <w:tab w:val="left" w:pos="283"/>
        </w:tabs>
        <w:spacing w:before="4200"/>
        <w:jc w:val="left"/>
        <w:rPr>
          <w:sz w:val="16"/>
          <w:szCs w:val="22"/>
          <w:lang w:bidi="ar-EG"/>
        </w:rPr>
      </w:pPr>
      <w:r w:rsidRPr="00013F55">
        <w:rPr>
          <w:b/>
          <w:bCs/>
          <w:sz w:val="16"/>
          <w:szCs w:val="22"/>
          <w:rtl/>
          <w:lang w:bidi="ar-EG"/>
        </w:rPr>
        <w:t>التوزيع</w:t>
      </w:r>
      <w:r w:rsidRPr="00013F55">
        <w:rPr>
          <w:sz w:val="16"/>
          <w:szCs w:val="22"/>
          <w:rtl/>
          <w:lang w:bidi="ar-EG"/>
        </w:rPr>
        <w:t>:</w:t>
      </w:r>
    </w:p>
    <w:p w:rsidR="00B86151" w:rsidRPr="00013F55" w:rsidRDefault="00B86151" w:rsidP="002F3E59">
      <w:pPr>
        <w:tabs>
          <w:tab w:val="left" w:pos="283"/>
        </w:tabs>
        <w:spacing w:before="60" w:line="180" w:lineRule="auto"/>
        <w:jc w:val="left"/>
        <w:rPr>
          <w:sz w:val="16"/>
          <w:szCs w:val="22"/>
          <w:rtl/>
          <w:lang w:bidi="ar-EG"/>
        </w:rPr>
      </w:pPr>
      <w:r w:rsidRPr="00013F55">
        <w:rPr>
          <w:sz w:val="16"/>
          <w:szCs w:val="22"/>
          <w:rtl/>
          <w:lang w:bidi="ar-EG"/>
        </w:rPr>
        <w:t>-</w:t>
      </w:r>
      <w:r w:rsidRPr="00013F55">
        <w:rPr>
          <w:sz w:val="16"/>
          <w:szCs w:val="22"/>
          <w:rtl/>
          <w:lang w:bidi="ar-EG"/>
        </w:rPr>
        <w:tab/>
        <w:t xml:space="preserve">إدارات الدول الأعضاء في الاتحاد وأعضاء قطاع الاتصالات الراديوية المشاركون في أعمال لجنة الدراسات </w:t>
      </w:r>
      <w:r w:rsidR="00DF5E21" w:rsidRPr="00013F55">
        <w:rPr>
          <w:sz w:val="16"/>
          <w:szCs w:val="22"/>
          <w:lang w:val="fr-CH"/>
        </w:rPr>
        <w:t>1</w:t>
      </w:r>
      <w:r w:rsidRPr="00013F55">
        <w:rPr>
          <w:sz w:val="16"/>
          <w:szCs w:val="22"/>
          <w:rtl/>
          <w:lang w:bidi="ar-EG"/>
        </w:rPr>
        <w:t xml:space="preserve"> للاتصالات الراديوية</w:t>
      </w:r>
    </w:p>
    <w:p w:rsidR="00B86151" w:rsidRPr="00013F55" w:rsidRDefault="00B86151" w:rsidP="002F3E59">
      <w:pPr>
        <w:tabs>
          <w:tab w:val="left" w:pos="283"/>
        </w:tabs>
        <w:spacing w:before="0" w:line="180" w:lineRule="auto"/>
        <w:jc w:val="left"/>
        <w:rPr>
          <w:sz w:val="16"/>
          <w:szCs w:val="22"/>
          <w:rtl/>
          <w:lang w:bidi="ar-EG"/>
        </w:rPr>
      </w:pPr>
      <w:r w:rsidRPr="00013F55">
        <w:rPr>
          <w:sz w:val="16"/>
          <w:szCs w:val="22"/>
          <w:rtl/>
          <w:lang w:bidi="ar-EG"/>
        </w:rPr>
        <w:lastRenderedPageBreak/>
        <w:t>-</w:t>
      </w:r>
      <w:r w:rsidRPr="00013F55">
        <w:rPr>
          <w:sz w:val="16"/>
          <w:szCs w:val="22"/>
          <w:rtl/>
          <w:lang w:bidi="ar-EG"/>
        </w:rPr>
        <w:tab/>
        <w:t xml:space="preserve">المنتسبون إلى قطاع الاتصالات الراديوية المشاركون في أعمال لجنة الدراسات </w:t>
      </w:r>
      <w:r w:rsidR="00677A7D" w:rsidRPr="00013F55">
        <w:rPr>
          <w:sz w:val="16"/>
          <w:szCs w:val="22"/>
        </w:rPr>
        <w:t>1</w:t>
      </w:r>
      <w:r w:rsidRPr="00013F55">
        <w:rPr>
          <w:sz w:val="16"/>
          <w:szCs w:val="22"/>
          <w:rtl/>
          <w:lang w:bidi="ar-EG"/>
        </w:rPr>
        <w:t xml:space="preserve"> للاتصالات الراديوية</w:t>
      </w:r>
    </w:p>
    <w:p w:rsidR="00B86151" w:rsidRPr="00013F55" w:rsidRDefault="00B86151" w:rsidP="002F3E59">
      <w:pPr>
        <w:tabs>
          <w:tab w:val="left" w:pos="283"/>
        </w:tabs>
        <w:spacing w:before="0" w:line="180" w:lineRule="auto"/>
        <w:jc w:val="left"/>
        <w:rPr>
          <w:sz w:val="16"/>
          <w:szCs w:val="22"/>
          <w:rtl/>
          <w:lang w:bidi="ar-EG"/>
        </w:rPr>
      </w:pPr>
      <w:r w:rsidRPr="00013F55">
        <w:rPr>
          <w:sz w:val="16"/>
          <w:szCs w:val="22"/>
          <w:rtl/>
          <w:lang w:bidi="ar-EG"/>
        </w:rPr>
        <w:t>-</w:t>
      </w:r>
      <w:r w:rsidRPr="00013F55">
        <w:rPr>
          <w:sz w:val="16"/>
          <w:szCs w:val="22"/>
          <w:rtl/>
          <w:lang w:bidi="ar-EG"/>
        </w:rPr>
        <w:tab/>
      </w:r>
      <w:r w:rsidRPr="00013F55">
        <w:rPr>
          <w:sz w:val="16"/>
          <w:szCs w:val="22"/>
          <w:rtl/>
        </w:rPr>
        <w:t>الهيئات الأكاديمية المنضمة إلى الاتحاد</w:t>
      </w:r>
    </w:p>
    <w:p w:rsidR="00B86151" w:rsidRPr="00013F55" w:rsidRDefault="00B86151" w:rsidP="002F3E59">
      <w:pPr>
        <w:tabs>
          <w:tab w:val="left" w:pos="283"/>
        </w:tabs>
        <w:spacing w:before="0" w:line="180" w:lineRule="auto"/>
        <w:jc w:val="left"/>
        <w:rPr>
          <w:sz w:val="16"/>
          <w:szCs w:val="22"/>
          <w:rtl/>
          <w:lang w:bidi="ar-EG"/>
        </w:rPr>
      </w:pPr>
      <w:r w:rsidRPr="00013F55">
        <w:rPr>
          <w:sz w:val="16"/>
          <w:szCs w:val="22"/>
          <w:rtl/>
          <w:lang w:bidi="ar-EG"/>
        </w:rPr>
        <w:t>-</w:t>
      </w:r>
      <w:r w:rsidRPr="00013F55">
        <w:rPr>
          <w:sz w:val="16"/>
          <w:szCs w:val="22"/>
          <w:rtl/>
          <w:lang w:bidi="ar-EG"/>
        </w:rPr>
        <w:tab/>
        <w:t>رؤساء لجان دراسات الاتصالات الراديوية ونوابهم</w:t>
      </w:r>
    </w:p>
    <w:p w:rsidR="00B86151" w:rsidRPr="00013F55" w:rsidRDefault="00B86151" w:rsidP="002F3E59">
      <w:pPr>
        <w:tabs>
          <w:tab w:val="left" w:pos="283"/>
        </w:tabs>
        <w:spacing w:before="0" w:line="180" w:lineRule="auto"/>
        <w:jc w:val="left"/>
        <w:rPr>
          <w:sz w:val="16"/>
          <w:szCs w:val="22"/>
          <w:rtl/>
          <w:lang w:bidi="ar-EG"/>
        </w:rPr>
      </w:pPr>
      <w:r w:rsidRPr="00013F55">
        <w:rPr>
          <w:sz w:val="16"/>
          <w:szCs w:val="22"/>
          <w:rtl/>
          <w:lang w:bidi="ar-EG"/>
        </w:rPr>
        <w:t>-</w:t>
      </w:r>
      <w:r w:rsidRPr="00013F55">
        <w:rPr>
          <w:sz w:val="16"/>
          <w:szCs w:val="22"/>
          <w:rtl/>
          <w:lang w:bidi="ar-EG"/>
        </w:rPr>
        <w:tab/>
        <w:t>رئيس الاجتماع التحضيري للمؤتمر ونوابه</w:t>
      </w:r>
    </w:p>
    <w:p w:rsidR="00B86151" w:rsidRPr="00013F55" w:rsidRDefault="00B86151" w:rsidP="002F3E59">
      <w:pPr>
        <w:tabs>
          <w:tab w:val="left" w:pos="283"/>
        </w:tabs>
        <w:spacing w:before="0" w:line="180" w:lineRule="auto"/>
        <w:jc w:val="left"/>
        <w:rPr>
          <w:sz w:val="16"/>
          <w:szCs w:val="22"/>
          <w:rtl/>
          <w:lang w:bidi="ar-EG"/>
        </w:rPr>
      </w:pPr>
      <w:r w:rsidRPr="00013F55">
        <w:rPr>
          <w:sz w:val="16"/>
          <w:szCs w:val="22"/>
          <w:rtl/>
          <w:lang w:bidi="ar-EG"/>
        </w:rPr>
        <w:t>-</w:t>
      </w:r>
      <w:r w:rsidRPr="00013F55">
        <w:rPr>
          <w:sz w:val="16"/>
          <w:szCs w:val="22"/>
          <w:rtl/>
          <w:lang w:bidi="ar-EG"/>
        </w:rPr>
        <w:tab/>
        <w:t>أعضاء لجنة لوائح الراديو</w:t>
      </w:r>
    </w:p>
    <w:p w:rsidR="00B86151" w:rsidRPr="00013F55" w:rsidRDefault="00B86151" w:rsidP="002F3E59">
      <w:pPr>
        <w:tabs>
          <w:tab w:val="left" w:pos="283"/>
        </w:tabs>
        <w:spacing w:before="0" w:line="180" w:lineRule="auto"/>
        <w:jc w:val="left"/>
        <w:rPr>
          <w:sz w:val="16"/>
          <w:szCs w:val="22"/>
          <w:rtl/>
          <w:lang w:bidi="ar-EG"/>
        </w:rPr>
      </w:pPr>
      <w:r w:rsidRPr="00013F55">
        <w:rPr>
          <w:sz w:val="16"/>
          <w:szCs w:val="22"/>
          <w:rtl/>
          <w:lang w:bidi="ar-EG"/>
        </w:rPr>
        <w:t>-</w:t>
      </w:r>
      <w:r w:rsidRPr="00013F55">
        <w:rPr>
          <w:sz w:val="16"/>
          <w:szCs w:val="22"/>
          <w:rtl/>
          <w:lang w:bidi="ar-EG"/>
        </w:rPr>
        <w:tab/>
        <w:t>الأمين العام للاتحاد ومدير مكتب تقييس الاتصالات ومدير مكتب تنمية الاتصالات</w:t>
      </w:r>
    </w:p>
    <w:p w:rsidR="00B86151" w:rsidRPr="00013F55" w:rsidRDefault="00B86151" w:rsidP="00B86151">
      <w:pPr>
        <w:rPr>
          <w:rtl/>
          <w:lang w:bidi="ar-EG"/>
        </w:rPr>
      </w:pPr>
      <w:r w:rsidRPr="00013F55">
        <w:rPr>
          <w:rtl/>
        </w:rPr>
        <w:br w:type="page"/>
      </w:r>
    </w:p>
    <w:p w:rsidR="00B86151" w:rsidRPr="00013F55" w:rsidRDefault="00B86151" w:rsidP="008F12E3">
      <w:pPr>
        <w:pStyle w:val="AnnexNo0"/>
        <w:rPr>
          <w:rtl/>
          <w:lang w:val="en-GB"/>
        </w:rPr>
      </w:pPr>
      <w:r w:rsidRPr="00013F55">
        <w:rPr>
          <w:rtl/>
        </w:rPr>
        <w:lastRenderedPageBreak/>
        <w:t>الملحـق</w:t>
      </w:r>
    </w:p>
    <w:p w:rsidR="00B86151" w:rsidRPr="00013F55" w:rsidRDefault="00B86151" w:rsidP="00515C20">
      <w:pPr>
        <w:pStyle w:val="Annextitle0"/>
        <w:rPr>
          <w:rtl/>
        </w:rPr>
      </w:pPr>
      <w:r w:rsidRPr="00013F55">
        <w:rPr>
          <w:rtl/>
        </w:rPr>
        <w:t>عناوين</w:t>
      </w:r>
      <w:r w:rsidR="008F12E3" w:rsidRPr="00013F55">
        <w:rPr>
          <w:rFonts w:hint="cs"/>
          <w:rtl/>
          <w:lang w:bidi="ar-EG"/>
        </w:rPr>
        <w:t xml:space="preserve"> </w:t>
      </w:r>
      <w:r w:rsidRPr="00013F55">
        <w:rPr>
          <w:rtl/>
        </w:rPr>
        <w:t>مشاريع</w:t>
      </w:r>
      <w:r w:rsidR="008F12E3" w:rsidRPr="00013F55">
        <w:rPr>
          <w:rtl/>
        </w:rPr>
        <w:t xml:space="preserve"> </w:t>
      </w:r>
      <w:r w:rsidRPr="00013F55">
        <w:rPr>
          <w:rtl/>
        </w:rPr>
        <w:t>التوصيات</w:t>
      </w:r>
      <w:r w:rsidR="00515C20">
        <w:rPr>
          <w:rFonts w:hint="cs"/>
          <w:rtl/>
        </w:rPr>
        <w:t xml:space="preserve"> وملخصاتها</w:t>
      </w:r>
    </w:p>
    <w:p w:rsidR="00B86151" w:rsidRPr="00013F55" w:rsidRDefault="00B86151" w:rsidP="00190D63">
      <w:pPr>
        <w:keepNext/>
        <w:tabs>
          <w:tab w:val="right" w:pos="9639"/>
        </w:tabs>
        <w:spacing w:before="480"/>
        <w:rPr>
          <w:rtl/>
          <w:lang w:bidi="ar-EG"/>
        </w:rPr>
      </w:pPr>
      <w:r w:rsidRPr="00013F55">
        <w:rPr>
          <w:u w:val="single"/>
          <w:rtl/>
        </w:rPr>
        <w:t xml:space="preserve">مشروع التوصية الجديدة </w:t>
      </w:r>
      <w:r w:rsidR="00F709A5" w:rsidRPr="00013F55">
        <w:rPr>
          <w:u w:val="single"/>
        </w:rPr>
        <w:t>ITU-R</w:t>
      </w:r>
      <w:r w:rsidR="00190D63">
        <w:rPr>
          <w:u w:val="single"/>
        </w:rPr>
        <w:t> </w:t>
      </w:r>
      <w:r w:rsidR="00F709A5" w:rsidRPr="00013F55">
        <w:rPr>
          <w:u w:val="single"/>
        </w:rPr>
        <w:t>SM.[SRD</w:t>
      </w:r>
      <w:r w:rsidR="00F709A5" w:rsidRPr="00013F55">
        <w:rPr>
          <w:u w:val="single"/>
        </w:rPr>
        <w:noBreakHyphen/>
      </w:r>
      <w:proofErr w:type="gramStart"/>
      <w:r w:rsidR="00F709A5" w:rsidRPr="00013F55">
        <w:rPr>
          <w:u w:val="single"/>
        </w:rPr>
        <w:t>CATEGORIES]</w:t>
      </w:r>
      <w:r w:rsidRPr="00013F55">
        <w:rPr>
          <w:rtl/>
          <w:lang w:bidi="ar-EG"/>
        </w:rPr>
        <w:tab/>
      </w:r>
      <w:proofErr w:type="gramEnd"/>
      <w:r w:rsidRPr="00013F55">
        <w:rPr>
          <w:rtl/>
          <w:lang w:bidi="ar-EG"/>
        </w:rPr>
        <w:t xml:space="preserve">الوثيقة </w:t>
      </w:r>
      <w:r w:rsidR="00F709A5" w:rsidRPr="0046106B">
        <w:rPr>
          <w:rFonts w:asciiTheme="minorHAnsi" w:hAnsiTheme="minorHAnsi"/>
          <w:szCs w:val="22"/>
        </w:rPr>
        <w:t>1/71(Rev.1)</w:t>
      </w:r>
    </w:p>
    <w:p w:rsidR="00B86151" w:rsidRPr="00013F55" w:rsidRDefault="00045B1A" w:rsidP="0061169F">
      <w:pPr>
        <w:pStyle w:val="Rectitle"/>
        <w:spacing w:before="240" w:after="240"/>
        <w:rPr>
          <w:rtl/>
          <w:lang w:bidi="ar-EG"/>
        </w:rPr>
      </w:pPr>
      <w:r w:rsidRPr="00013F55">
        <w:rPr>
          <w:rFonts w:eastAsia="SimSun"/>
          <w:spacing w:val="4"/>
          <w:rtl/>
          <w:lang w:eastAsia="zh-CN" w:bidi="ar-SY"/>
        </w:rPr>
        <w:t xml:space="preserve">التنسيق العالمي لفئات الأجهزة قصيرة المدى </w:t>
      </w:r>
      <w:r w:rsidRPr="00013F55">
        <w:rPr>
          <w:rFonts w:eastAsia="SimSun"/>
          <w:spacing w:val="4"/>
          <w:lang w:eastAsia="zh-CN" w:bidi="ar-SY"/>
        </w:rPr>
        <w:t>(SRD)</w:t>
      </w:r>
    </w:p>
    <w:p w:rsidR="00B86151" w:rsidRPr="00013F55" w:rsidRDefault="007D6E55" w:rsidP="00993746">
      <w:pPr>
        <w:rPr>
          <w:rtl/>
          <w:lang w:bidi="ar-EG"/>
        </w:rPr>
      </w:pPr>
      <w:r>
        <w:rPr>
          <w:rFonts w:hint="cs"/>
          <w:rtl/>
          <w:lang w:bidi="ar-EG"/>
        </w:rPr>
        <w:t xml:space="preserve">تتضمن هذه التوصية مبادئ توجيهية بشأن الفئات الموصى بها للأجهزة قصيرة المدى </w:t>
      </w:r>
      <w:r>
        <w:rPr>
          <w:lang w:bidi="ar-EG"/>
        </w:rPr>
        <w:t>(SRD)</w:t>
      </w:r>
      <w:r>
        <w:rPr>
          <w:rFonts w:hint="cs"/>
          <w:rtl/>
          <w:lang w:bidi="ar-EG"/>
        </w:rPr>
        <w:t xml:space="preserve"> ا</w:t>
      </w:r>
      <w:r w:rsidR="00190D63">
        <w:rPr>
          <w:rFonts w:hint="cs"/>
          <w:rtl/>
          <w:lang w:bidi="ar-EG"/>
        </w:rPr>
        <w:t>لتي تتطلب التشغيل على أساس منسق</w:t>
      </w:r>
      <w:r w:rsidR="00190D63">
        <w:rPr>
          <w:rFonts w:hint="eastAsia"/>
          <w:rtl/>
          <w:lang w:bidi="ar-EG"/>
        </w:rPr>
        <w:t> </w:t>
      </w:r>
      <w:r>
        <w:rPr>
          <w:rFonts w:hint="cs"/>
          <w:rtl/>
          <w:lang w:bidi="ar-EG"/>
        </w:rPr>
        <w:t>عالمياً.</w:t>
      </w:r>
    </w:p>
    <w:p w:rsidR="00F709A5" w:rsidRPr="00D20094" w:rsidRDefault="00F709A5" w:rsidP="00270D42">
      <w:pPr>
        <w:keepNext/>
        <w:tabs>
          <w:tab w:val="right" w:pos="9639"/>
        </w:tabs>
        <w:spacing w:before="480"/>
        <w:rPr>
          <w:rtl/>
          <w:lang w:bidi="ar-EG"/>
        </w:rPr>
      </w:pPr>
      <w:r w:rsidRPr="00F6731B">
        <w:rPr>
          <w:u w:val="single"/>
          <w:rtl/>
        </w:rPr>
        <w:t xml:space="preserve">مشروع التوصية الجديدة </w:t>
      </w:r>
      <w:r w:rsidR="00201C68" w:rsidRPr="00F6731B">
        <w:rPr>
          <w:u w:val="single"/>
        </w:rPr>
        <w:t>ITU-R</w:t>
      </w:r>
      <w:r w:rsidR="00270D42">
        <w:rPr>
          <w:u w:val="single"/>
        </w:rPr>
        <w:t> </w:t>
      </w:r>
      <w:r w:rsidR="00201C68" w:rsidRPr="00F6731B">
        <w:rPr>
          <w:u w:val="single"/>
        </w:rPr>
        <w:t>SM.[G.WNB-</w:t>
      </w:r>
      <w:proofErr w:type="gramStart"/>
      <w:r w:rsidR="00201C68" w:rsidRPr="00F6731B">
        <w:rPr>
          <w:u w:val="single"/>
        </w:rPr>
        <w:t>FREQ]</w:t>
      </w:r>
      <w:r w:rsidRPr="00D20094">
        <w:rPr>
          <w:rtl/>
          <w:lang w:bidi="ar-EG"/>
        </w:rPr>
        <w:tab/>
      </w:r>
      <w:proofErr w:type="gramEnd"/>
      <w:r w:rsidRPr="00D20094">
        <w:rPr>
          <w:rtl/>
          <w:lang w:bidi="ar-EG"/>
        </w:rPr>
        <w:t xml:space="preserve">الوثيقة </w:t>
      </w:r>
      <w:r w:rsidR="00201C68" w:rsidRPr="0046106B">
        <w:rPr>
          <w:rFonts w:asciiTheme="minorHAnsi" w:hAnsiTheme="minorHAnsi"/>
          <w:szCs w:val="22"/>
        </w:rPr>
        <w:t>1/72(Rev.1)</w:t>
      </w:r>
    </w:p>
    <w:p w:rsidR="00F709A5" w:rsidRPr="00013F55" w:rsidRDefault="00045B1A" w:rsidP="0061169F">
      <w:pPr>
        <w:pStyle w:val="Rectitle"/>
        <w:spacing w:before="240" w:after="240"/>
        <w:rPr>
          <w:rtl/>
          <w:lang w:bidi="ar-EG"/>
        </w:rPr>
      </w:pPr>
      <w:r w:rsidRPr="00013F55">
        <w:rPr>
          <w:rFonts w:eastAsia="SimSun"/>
          <w:spacing w:val="4"/>
          <w:rtl/>
          <w:lang w:eastAsia="zh-CN" w:bidi="ar-SY"/>
        </w:rPr>
        <w:t>مبادئ توجيهية لمرس</w:t>
      </w:r>
      <w:r w:rsidR="00270D42">
        <w:rPr>
          <w:rFonts w:eastAsia="SimSun" w:hint="cs"/>
          <w:spacing w:val="4"/>
          <w:rtl/>
          <w:lang w:eastAsia="zh-CN" w:bidi="ar-EG"/>
        </w:rPr>
        <w:t>ِ</w:t>
      </w:r>
      <w:r w:rsidRPr="00013F55">
        <w:rPr>
          <w:rFonts w:eastAsia="SimSun"/>
          <w:spacing w:val="4"/>
          <w:rtl/>
          <w:lang w:eastAsia="zh-CN" w:bidi="ar-SY"/>
        </w:rPr>
        <w:t>لات مستقب</w:t>
      </w:r>
      <w:r w:rsidR="00270D42">
        <w:rPr>
          <w:rFonts w:eastAsia="SimSun" w:hint="cs"/>
          <w:spacing w:val="4"/>
          <w:rtl/>
          <w:lang w:eastAsia="zh-CN" w:bidi="ar-SY"/>
        </w:rPr>
        <w:t>ِ</w:t>
      </w:r>
      <w:r w:rsidRPr="00013F55">
        <w:rPr>
          <w:rFonts w:eastAsia="SimSun"/>
          <w:spacing w:val="4"/>
          <w:rtl/>
          <w:lang w:eastAsia="zh-CN" w:bidi="ar-SY"/>
        </w:rPr>
        <w:t>لات الشبكات المنزلية اللاسلكية</w:t>
      </w:r>
      <w:r w:rsidR="00F6731B">
        <w:rPr>
          <w:rFonts w:eastAsia="SimSun"/>
          <w:spacing w:val="4"/>
          <w:rtl/>
          <w:lang w:eastAsia="zh-CN" w:bidi="ar-SY"/>
        </w:rPr>
        <w:br/>
      </w:r>
      <w:r w:rsidRPr="00013F55">
        <w:rPr>
          <w:rFonts w:eastAsia="SimSun"/>
          <w:spacing w:val="4"/>
          <w:rtl/>
          <w:lang w:eastAsia="zh-CN" w:bidi="ar-SY"/>
        </w:rPr>
        <w:t xml:space="preserve">ضيقة النطاق </w:t>
      </w:r>
      <w:proofErr w:type="gramStart"/>
      <w:r w:rsidRPr="00013F55">
        <w:rPr>
          <w:rFonts w:eastAsia="SimSun"/>
          <w:spacing w:val="4"/>
          <w:rtl/>
          <w:lang w:eastAsia="zh-CN" w:bidi="ar-SY"/>
        </w:rPr>
        <w:t>- مواصفة</w:t>
      </w:r>
      <w:proofErr w:type="gramEnd"/>
      <w:r w:rsidRPr="00013F55">
        <w:rPr>
          <w:rFonts w:eastAsia="SimSun"/>
          <w:spacing w:val="4"/>
          <w:rtl/>
          <w:lang w:eastAsia="zh-CN" w:bidi="ar-SY"/>
        </w:rPr>
        <w:t xml:space="preserve"> المكونات المتعلقة بالطيف</w:t>
      </w:r>
    </w:p>
    <w:p w:rsidR="00201C68" w:rsidRPr="00013F55" w:rsidRDefault="0089769E" w:rsidP="00163815">
      <w:pPr>
        <w:rPr>
          <w:rtl/>
          <w:lang w:bidi="ar-EG"/>
        </w:rPr>
      </w:pPr>
      <w:r w:rsidRPr="00163677">
        <w:rPr>
          <w:rFonts w:hint="cs"/>
          <w:spacing w:val="-2"/>
          <w:rtl/>
          <w:lang w:bidi="ar-EG"/>
        </w:rPr>
        <w:t>تقدم هذه التوصية</w:t>
      </w:r>
      <w:r w:rsidR="00D20094" w:rsidRPr="00163677">
        <w:rPr>
          <w:rFonts w:hint="cs"/>
          <w:spacing w:val="-2"/>
          <w:rtl/>
          <w:lang w:bidi="ar-EG"/>
        </w:rPr>
        <w:t xml:space="preserve"> مبادئ توجيهية تتعلق </w:t>
      </w:r>
      <w:r w:rsidR="00A132BE" w:rsidRPr="00163677">
        <w:rPr>
          <w:rFonts w:hint="cs"/>
          <w:spacing w:val="-2"/>
          <w:rtl/>
          <w:lang w:bidi="ar-EG"/>
        </w:rPr>
        <w:t>باستخدام الطيف لمرس</w:t>
      </w:r>
      <w:r w:rsidR="00C5750E" w:rsidRPr="00163677">
        <w:rPr>
          <w:rFonts w:hint="cs"/>
          <w:spacing w:val="-2"/>
          <w:rtl/>
          <w:lang w:bidi="ar-EG"/>
        </w:rPr>
        <w:t>ِ</w:t>
      </w:r>
      <w:r w:rsidR="00A132BE" w:rsidRPr="00163677">
        <w:rPr>
          <w:rFonts w:hint="cs"/>
          <w:spacing w:val="-2"/>
          <w:rtl/>
          <w:lang w:bidi="ar-EG"/>
        </w:rPr>
        <w:t>لات مستقب</w:t>
      </w:r>
      <w:r w:rsidR="00C5750E" w:rsidRPr="00163677">
        <w:rPr>
          <w:rFonts w:hint="cs"/>
          <w:spacing w:val="-2"/>
          <w:rtl/>
          <w:lang w:bidi="ar-EG"/>
        </w:rPr>
        <w:t>ِ</w:t>
      </w:r>
      <w:r w:rsidR="00A132BE" w:rsidRPr="00163677">
        <w:rPr>
          <w:rFonts w:hint="cs"/>
          <w:spacing w:val="-2"/>
          <w:rtl/>
          <w:lang w:bidi="ar-EG"/>
        </w:rPr>
        <w:t>لات الشبكات المنزلية اللاسلكية ضيقة النطاق</w:t>
      </w:r>
      <w:r w:rsidR="00F6731B" w:rsidRPr="00163677">
        <w:rPr>
          <w:rFonts w:hint="eastAsia"/>
          <w:spacing w:val="-2"/>
          <w:rtl/>
          <w:lang w:bidi="ar-EG"/>
        </w:rPr>
        <w:t> </w:t>
      </w:r>
      <w:r w:rsidR="00A132BE" w:rsidRPr="00163677">
        <w:rPr>
          <w:spacing w:val="-2"/>
          <w:lang w:bidi="ar-EG"/>
        </w:rPr>
        <w:t>(NWHN)</w:t>
      </w:r>
      <w:r w:rsidR="00A132BE">
        <w:rPr>
          <w:rFonts w:hint="cs"/>
          <w:rtl/>
          <w:lang w:bidi="ar-EG"/>
        </w:rPr>
        <w:t xml:space="preserve"> وفقاً للتوصية</w:t>
      </w:r>
      <w:r w:rsidR="00401A22">
        <w:rPr>
          <w:rFonts w:hint="eastAsia"/>
          <w:rtl/>
          <w:lang w:bidi="ar-EG"/>
        </w:rPr>
        <w:t> </w:t>
      </w:r>
      <w:r w:rsidR="00A132BE">
        <w:rPr>
          <w:lang w:bidi="ar-EG"/>
        </w:rPr>
        <w:t>ITU-T</w:t>
      </w:r>
      <w:r w:rsidR="00401A22">
        <w:rPr>
          <w:lang w:bidi="ar-EG"/>
        </w:rPr>
        <w:t> </w:t>
      </w:r>
      <w:r w:rsidR="00A132BE">
        <w:rPr>
          <w:lang w:bidi="ar-EG"/>
        </w:rPr>
        <w:t>G.9959</w:t>
      </w:r>
      <w:r w:rsidR="00A132BE">
        <w:rPr>
          <w:rFonts w:hint="cs"/>
          <w:rtl/>
          <w:lang w:bidi="ar-EG"/>
        </w:rPr>
        <w:t xml:space="preserve"> </w:t>
      </w:r>
      <w:r w:rsidR="00A132BE" w:rsidRPr="00B15F6B">
        <w:rPr>
          <w:rFonts w:hint="cs"/>
          <w:spacing w:val="-4"/>
          <w:rtl/>
          <w:lang w:bidi="ar-EG"/>
        </w:rPr>
        <w:t xml:space="preserve">التي </w:t>
      </w:r>
      <w:r w:rsidR="00235A67" w:rsidRPr="00B15F6B">
        <w:rPr>
          <w:rFonts w:hint="cs"/>
          <w:spacing w:val="-4"/>
          <w:rtl/>
          <w:lang w:bidi="ar-EG"/>
        </w:rPr>
        <w:t>تتضمن</w:t>
      </w:r>
      <w:r w:rsidR="00A132BE" w:rsidRPr="00B15F6B">
        <w:rPr>
          <w:rFonts w:hint="cs"/>
          <w:spacing w:val="-4"/>
          <w:rtl/>
          <w:lang w:bidi="ar-EG"/>
        </w:rPr>
        <w:t xml:space="preserve"> مواصفات معمارية النظام والطبقة المادية </w:t>
      </w:r>
      <w:r w:rsidR="00A132BE" w:rsidRPr="00B15F6B">
        <w:rPr>
          <w:spacing w:val="-4"/>
          <w:lang w:bidi="ar-EG"/>
        </w:rPr>
        <w:t>(PHY)</w:t>
      </w:r>
      <w:r w:rsidR="00A132BE" w:rsidRPr="00B15F6B">
        <w:rPr>
          <w:rFonts w:hint="cs"/>
          <w:spacing w:val="-4"/>
          <w:rtl/>
          <w:lang w:bidi="ar-EG"/>
        </w:rPr>
        <w:t xml:space="preserve"> وطبقة التحكم في</w:t>
      </w:r>
      <w:r w:rsidR="00F6731B" w:rsidRPr="00B15F6B">
        <w:rPr>
          <w:rFonts w:hint="eastAsia"/>
          <w:spacing w:val="-4"/>
          <w:rtl/>
          <w:lang w:bidi="ar-EG"/>
        </w:rPr>
        <w:t> </w:t>
      </w:r>
      <w:r w:rsidR="00A132BE" w:rsidRPr="00B15F6B">
        <w:rPr>
          <w:rFonts w:hint="cs"/>
          <w:spacing w:val="-4"/>
          <w:rtl/>
          <w:lang w:bidi="ar-EG"/>
        </w:rPr>
        <w:t xml:space="preserve">النفاذ </w:t>
      </w:r>
      <w:r w:rsidR="001B442E" w:rsidRPr="00B15F6B">
        <w:rPr>
          <w:rFonts w:hint="cs"/>
          <w:spacing w:val="-4"/>
          <w:rtl/>
          <w:lang w:bidi="ar-EG"/>
        </w:rPr>
        <w:t>إلى الوسائط</w:t>
      </w:r>
      <w:r w:rsidR="00270BE3" w:rsidRPr="00B15F6B">
        <w:rPr>
          <w:rFonts w:hint="eastAsia"/>
          <w:spacing w:val="-4"/>
          <w:rtl/>
          <w:lang w:bidi="ar-EG"/>
        </w:rPr>
        <w:t> </w:t>
      </w:r>
      <w:r w:rsidR="00A132BE" w:rsidRPr="00B15F6B">
        <w:rPr>
          <w:spacing w:val="-4"/>
          <w:lang w:bidi="ar-EG"/>
        </w:rPr>
        <w:t>(MAC)</w:t>
      </w:r>
      <w:r w:rsidR="00A132BE">
        <w:rPr>
          <w:rFonts w:hint="cs"/>
          <w:rtl/>
          <w:lang w:bidi="ar-EG"/>
        </w:rPr>
        <w:t xml:space="preserve"> من أجل المرس</w:t>
      </w:r>
      <w:r w:rsidR="00CC7CE8">
        <w:rPr>
          <w:rFonts w:hint="cs"/>
          <w:rtl/>
          <w:lang w:bidi="ar-EG"/>
        </w:rPr>
        <w:t>ِ</w:t>
      </w:r>
      <w:r w:rsidR="00A132BE">
        <w:rPr>
          <w:rFonts w:hint="cs"/>
          <w:rtl/>
          <w:lang w:bidi="ar-EG"/>
        </w:rPr>
        <w:t>لات المستقب</w:t>
      </w:r>
      <w:r w:rsidR="00CC7CE8">
        <w:rPr>
          <w:rFonts w:hint="cs"/>
          <w:rtl/>
          <w:lang w:bidi="ar-EG"/>
        </w:rPr>
        <w:t>ِ</w:t>
      </w:r>
      <w:r w:rsidR="00A132BE">
        <w:rPr>
          <w:rFonts w:hint="cs"/>
          <w:rtl/>
          <w:lang w:bidi="ar-EG"/>
        </w:rPr>
        <w:t xml:space="preserve">لات المطابقة للتوصية </w:t>
      </w:r>
      <w:r w:rsidR="00A132BE">
        <w:rPr>
          <w:lang w:bidi="ar-EG"/>
        </w:rPr>
        <w:t>ITU-T</w:t>
      </w:r>
      <w:r w:rsidR="00163815">
        <w:rPr>
          <w:lang w:bidi="ar-EG"/>
        </w:rPr>
        <w:t> </w:t>
      </w:r>
      <w:r w:rsidR="00A132BE">
        <w:rPr>
          <w:lang w:bidi="ar-EG"/>
        </w:rPr>
        <w:t>G.9959</w:t>
      </w:r>
      <w:r w:rsidR="00201C68" w:rsidRPr="00013F55">
        <w:rPr>
          <w:rFonts w:hint="cs"/>
          <w:rtl/>
          <w:lang w:bidi="ar-EG"/>
        </w:rPr>
        <w:t>.</w:t>
      </w:r>
    </w:p>
    <w:p w:rsidR="00F709A5" w:rsidRPr="00013F55" w:rsidRDefault="00F709A5" w:rsidP="00163815">
      <w:pPr>
        <w:keepNext/>
        <w:tabs>
          <w:tab w:val="right" w:pos="9639"/>
        </w:tabs>
        <w:spacing w:before="480"/>
        <w:rPr>
          <w:rtl/>
          <w:lang w:bidi="ar-EG"/>
        </w:rPr>
      </w:pPr>
      <w:r w:rsidRPr="00F6731B">
        <w:rPr>
          <w:u w:val="single"/>
          <w:rtl/>
        </w:rPr>
        <w:lastRenderedPageBreak/>
        <w:t xml:space="preserve">مشروع التوصية الجديدة </w:t>
      </w:r>
      <w:r w:rsidR="00201C68" w:rsidRPr="00454DD3">
        <w:rPr>
          <w:rFonts w:asciiTheme="minorHAnsi" w:hAnsiTheme="minorHAnsi" w:cstheme="minorHAnsi"/>
          <w:szCs w:val="22"/>
          <w:u w:val="single"/>
        </w:rPr>
        <w:t>ITU-R</w:t>
      </w:r>
      <w:r w:rsidR="00163815">
        <w:rPr>
          <w:rFonts w:asciiTheme="minorHAnsi" w:hAnsiTheme="minorHAnsi"/>
          <w:szCs w:val="22"/>
          <w:u w:val="single"/>
          <w:lang w:eastAsia="zh-CN"/>
        </w:rPr>
        <w:t> </w:t>
      </w:r>
      <w:r w:rsidR="00201C68" w:rsidRPr="00454DD3">
        <w:rPr>
          <w:rFonts w:asciiTheme="minorHAnsi" w:hAnsiTheme="minorHAnsi"/>
          <w:szCs w:val="22"/>
          <w:u w:val="single"/>
          <w:lang w:eastAsia="zh-CN"/>
        </w:rPr>
        <w:t>SM.[WPT]</w:t>
      </w:r>
      <w:r w:rsidRPr="00013F55">
        <w:rPr>
          <w:rtl/>
          <w:lang w:bidi="ar-EG"/>
        </w:rPr>
        <w:tab/>
        <w:t xml:space="preserve">الوثيقة </w:t>
      </w:r>
      <w:r w:rsidR="00201C68" w:rsidRPr="0046106B">
        <w:rPr>
          <w:rFonts w:asciiTheme="minorHAnsi" w:hAnsiTheme="minorHAnsi" w:cstheme="minorHAnsi"/>
          <w:szCs w:val="22"/>
        </w:rPr>
        <w:t>1/88(Rev.1)</w:t>
      </w:r>
    </w:p>
    <w:p w:rsidR="00F709A5" w:rsidRPr="00013F55" w:rsidRDefault="00045B1A" w:rsidP="0061169F">
      <w:pPr>
        <w:pStyle w:val="Rectitle"/>
        <w:spacing w:before="240" w:after="240"/>
        <w:rPr>
          <w:rtl/>
          <w:lang w:bidi="ar-EG"/>
        </w:rPr>
      </w:pPr>
      <w:r w:rsidRPr="00013F55">
        <w:rPr>
          <w:rtl/>
        </w:rPr>
        <w:t xml:space="preserve">مديات التردد من أجل تشغيل الأنظمة </w:t>
      </w:r>
      <w:proofErr w:type="spellStart"/>
      <w:r w:rsidRPr="00013F55">
        <w:rPr>
          <w:rtl/>
        </w:rPr>
        <w:t>اللاحزمية</w:t>
      </w:r>
      <w:proofErr w:type="spellEnd"/>
      <w:r w:rsidR="0095212D">
        <w:rPr>
          <w:rtl/>
        </w:rPr>
        <w:br/>
      </w:r>
      <w:r w:rsidRPr="00013F55">
        <w:rPr>
          <w:rtl/>
        </w:rPr>
        <w:t xml:space="preserve">لإرسال القدرة لاسلكياً </w:t>
      </w:r>
      <w:r w:rsidRPr="00013F55">
        <w:rPr>
          <w:lang w:bidi="ar-EG"/>
        </w:rPr>
        <w:t>(WPT)</w:t>
      </w:r>
    </w:p>
    <w:p w:rsidR="00201C68" w:rsidRPr="00013F55" w:rsidRDefault="00235A67" w:rsidP="007427A2">
      <w:pPr>
        <w:rPr>
          <w:rtl/>
          <w:lang w:bidi="ar-EG"/>
        </w:rPr>
      </w:pPr>
      <w:r w:rsidRPr="00163815">
        <w:rPr>
          <w:rFonts w:hint="cs"/>
          <w:spacing w:val="-2"/>
          <w:rtl/>
          <w:lang w:bidi="ar-EG"/>
        </w:rPr>
        <w:t xml:space="preserve">تقدم هذه التوصية مبادئ توجيهية </w:t>
      </w:r>
      <w:r w:rsidR="00B11DD6" w:rsidRPr="00163815">
        <w:rPr>
          <w:rFonts w:hint="cs"/>
          <w:spacing w:val="-2"/>
          <w:rtl/>
          <w:lang w:bidi="ar-EG"/>
        </w:rPr>
        <w:t xml:space="preserve">بشأن </w:t>
      </w:r>
      <w:r w:rsidRPr="00163815">
        <w:rPr>
          <w:rFonts w:hint="cs"/>
          <w:spacing w:val="-2"/>
          <w:rtl/>
          <w:lang w:bidi="ar-EG"/>
        </w:rPr>
        <w:t xml:space="preserve">استخدام مديات التردد من أجل تشغيل الأنظمة </w:t>
      </w:r>
      <w:proofErr w:type="spellStart"/>
      <w:r w:rsidRPr="00163815">
        <w:rPr>
          <w:rFonts w:hint="cs"/>
          <w:spacing w:val="-2"/>
          <w:rtl/>
          <w:lang w:bidi="ar-EG"/>
        </w:rPr>
        <w:t>اللاحزمية</w:t>
      </w:r>
      <w:proofErr w:type="spellEnd"/>
      <w:r w:rsidRPr="00163815">
        <w:rPr>
          <w:rFonts w:hint="cs"/>
          <w:spacing w:val="-2"/>
          <w:rtl/>
          <w:lang w:bidi="ar-EG"/>
        </w:rPr>
        <w:t xml:space="preserve"> لإرسال القدرة لاسلكياً</w:t>
      </w:r>
      <w:r w:rsidR="0095212D" w:rsidRPr="00163815">
        <w:rPr>
          <w:rFonts w:hint="eastAsia"/>
          <w:spacing w:val="-2"/>
          <w:rtl/>
          <w:lang w:bidi="ar-EG"/>
        </w:rPr>
        <w:t> </w:t>
      </w:r>
      <w:r w:rsidRPr="00163815">
        <w:rPr>
          <w:spacing w:val="-2"/>
          <w:lang w:bidi="ar-EG"/>
        </w:rPr>
        <w:t>(WPT)</w:t>
      </w:r>
      <w:r w:rsidRPr="00163815">
        <w:rPr>
          <w:rFonts w:hint="cs"/>
          <w:spacing w:val="-2"/>
          <w:rtl/>
          <w:lang w:bidi="ar-EG"/>
        </w:rPr>
        <w:t>،</w:t>
      </w:r>
      <w:r>
        <w:rPr>
          <w:rFonts w:hint="cs"/>
          <w:rtl/>
          <w:lang w:bidi="ar-EG"/>
        </w:rPr>
        <w:t xml:space="preserve"> بما</w:t>
      </w:r>
      <w:r w:rsidR="007427A2">
        <w:rPr>
          <w:rFonts w:hint="eastAsia"/>
          <w:rtl/>
          <w:lang w:bidi="ar-EG"/>
        </w:rPr>
        <w:t> </w:t>
      </w:r>
      <w:r w:rsidR="007427A2">
        <w:rPr>
          <w:rFonts w:hint="cs"/>
          <w:rtl/>
          <w:lang w:bidi="ar-EG"/>
        </w:rPr>
        <w:t>في</w:t>
      </w:r>
      <w:r w:rsidR="007427A2">
        <w:rPr>
          <w:rFonts w:hint="eastAsia"/>
          <w:rtl/>
          <w:lang w:bidi="ar-EG"/>
        </w:rPr>
        <w:t> </w:t>
      </w:r>
      <w:r>
        <w:rPr>
          <w:rFonts w:hint="cs"/>
          <w:rtl/>
          <w:lang w:bidi="ar-EG"/>
        </w:rPr>
        <w:t xml:space="preserve">ذلك </w:t>
      </w:r>
      <w:r w:rsidR="006C483C">
        <w:rPr>
          <w:color w:val="000000"/>
          <w:rtl/>
        </w:rPr>
        <w:t>شحن الأجهزة المتنقلة/المحمولة</w:t>
      </w:r>
      <w:r w:rsidR="00201C68" w:rsidRPr="00013F55">
        <w:rPr>
          <w:rFonts w:hint="cs"/>
          <w:rtl/>
          <w:lang w:bidi="ar-EG"/>
        </w:rPr>
        <w:t>.</w:t>
      </w:r>
    </w:p>
    <w:p w:rsidR="00F709A5" w:rsidRPr="00013F55" w:rsidRDefault="00F709A5" w:rsidP="0061169F">
      <w:pPr>
        <w:keepNext/>
        <w:tabs>
          <w:tab w:val="right" w:pos="9639"/>
        </w:tabs>
        <w:spacing w:before="480"/>
        <w:rPr>
          <w:rtl/>
          <w:lang w:bidi="ar-EG"/>
        </w:rPr>
      </w:pPr>
      <w:r w:rsidRPr="0095212D">
        <w:rPr>
          <w:u w:val="single"/>
          <w:rtl/>
        </w:rPr>
        <w:t>مشروع</w:t>
      </w:r>
      <w:r w:rsidR="0011543C" w:rsidRPr="0095212D">
        <w:rPr>
          <w:rFonts w:hint="cs"/>
          <w:u w:val="single"/>
          <w:rtl/>
        </w:rPr>
        <w:t xml:space="preserve"> مراجعة</w:t>
      </w:r>
      <w:r w:rsidRPr="0095212D">
        <w:rPr>
          <w:u w:val="single"/>
          <w:rtl/>
        </w:rPr>
        <w:t xml:space="preserve"> التوصية </w:t>
      </w:r>
      <w:r w:rsidR="00045B1A" w:rsidRPr="0095212D">
        <w:rPr>
          <w:bCs/>
          <w:u w:val="single"/>
        </w:rPr>
        <w:t>ITU-R</w:t>
      </w:r>
      <w:r w:rsidR="0061169F">
        <w:rPr>
          <w:bCs/>
          <w:u w:val="single"/>
        </w:rPr>
        <w:t> </w:t>
      </w:r>
      <w:r w:rsidR="00045B1A" w:rsidRPr="0095212D">
        <w:rPr>
          <w:bCs/>
          <w:u w:val="single"/>
        </w:rPr>
        <w:t>SM.1880-1</w:t>
      </w:r>
      <w:r w:rsidRPr="00013F55">
        <w:rPr>
          <w:rtl/>
          <w:lang w:bidi="ar-EG"/>
        </w:rPr>
        <w:tab/>
        <w:t xml:space="preserve">الوثيقة </w:t>
      </w:r>
      <w:r w:rsidR="00045B1A" w:rsidRPr="0046106B">
        <w:rPr>
          <w:rFonts w:asciiTheme="minorHAnsi" w:hAnsiTheme="minorHAnsi"/>
          <w:szCs w:val="22"/>
        </w:rPr>
        <w:t>1/69(Rev.1)</w:t>
      </w:r>
    </w:p>
    <w:p w:rsidR="00F709A5" w:rsidRPr="00013F55" w:rsidRDefault="00013F55" w:rsidP="0061169F">
      <w:pPr>
        <w:pStyle w:val="Rectitle"/>
        <w:spacing w:before="240" w:after="240" w:line="240" w:lineRule="auto"/>
        <w:rPr>
          <w:rtl/>
          <w:lang w:bidi="ar-EG"/>
        </w:rPr>
      </w:pPr>
      <w:r w:rsidRPr="00013F55">
        <w:rPr>
          <w:rtl/>
          <w:lang w:bidi="ar-EG"/>
        </w:rPr>
        <w:t xml:space="preserve">قياس </w:t>
      </w:r>
      <w:r w:rsidR="00FB26C1">
        <w:rPr>
          <w:rFonts w:hint="cs"/>
          <w:rtl/>
          <w:lang w:bidi="ar-EG"/>
        </w:rPr>
        <w:t>ش</w:t>
      </w:r>
      <w:r w:rsidR="00270BE3">
        <w:rPr>
          <w:rFonts w:hint="cs"/>
          <w:rtl/>
          <w:lang w:bidi="ar-EG"/>
        </w:rPr>
        <w:t>َ</w:t>
      </w:r>
      <w:r w:rsidR="00FB26C1">
        <w:rPr>
          <w:rFonts w:hint="cs"/>
          <w:rtl/>
          <w:lang w:bidi="ar-EG"/>
        </w:rPr>
        <w:t>غل</w:t>
      </w:r>
      <w:r w:rsidRPr="00013F55">
        <w:rPr>
          <w:rtl/>
          <w:lang w:bidi="ar-EG"/>
        </w:rPr>
        <w:t xml:space="preserve"> الطيف وتقييمه</w:t>
      </w:r>
    </w:p>
    <w:p w:rsidR="00201C68" w:rsidRDefault="009A5917" w:rsidP="008D619F">
      <w:pPr>
        <w:rPr>
          <w:rtl/>
          <w:lang w:bidi="ar-EG"/>
        </w:rPr>
      </w:pPr>
      <w:r>
        <w:rPr>
          <w:rFonts w:hint="cs"/>
          <w:rtl/>
          <w:lang w:bidi="ar-EG"/>
        </w:rPr>
        <w:t xml:space="preserve">تحتوي التوصية </w:t>
      </w:r>
      <w:hyperlink r:id="rId13" w:history="1">
        <w:r w:rsidRPr="00C22D5C">
          <w:rPr>
            <w:rStyle w:val="Hyperlink"/>
            <w:rFonts w:ascii="Calibri" w:hAnsi="Calibri"/>
            <w:lang w:bidi="ar-EG"/>
          </w:rPr>
          <w:t>ITU-</w:t>
        </w:r>
        <w:r w:rsidR="00C22D5C">
          <w:rPr>
            <w:rStyle w:val="Hyperlink"/>
            <w:rFonts w:ascii="Calibri" w:hAnsi="Calibri"/>
            <w:lang w:bidi="ar-EG"/>
          </w:rPr>
          <w:t>R</w:t>
        </w:r>
        <w:r w:rsidR="008D619F">
          <w:rPr>
            <w:rStyle w:val="Hyperlink"/>
            <w:rFonts w:ascii="Calibri" w:hAnsi="Calibri"/>
            <w:lang w:bidi="ar-EG"/>
          </w:rPr>
          <w:t> </w:t>
        </w:r>
        <w:r w:rsidRPr="00C22D5C">
          <w:rPr>
            <w:rStyle w:val="Hyperlink"/>
            <w:rFonts w:ascii="Calibri" w:hAnsi="Calibri"/>
            <w:lang w:bidi="ar-EG"/>
          </w:rPr>
          <w:t>SM.1880</w:t>
        </w:r>
      </w:hyperlink>
      <w:hyperlink r:id="rId14" w:history="1">
        <w:r w:rsidR="00C22D5C" w:rsidRPr="00C22D5C">
          <w:rPr>
            <w:rStyle w:val="Hyperlink"/>
            <w:rFonts w:ascii="Calibri" w:hAnsi="Calibri"/>
            <w:lang w:bidi="ar-EG"/>
          </w:rPr>
          <w:t>-1</w:t>
        </w:r>
      </w:hyperlink>
      <w:r>
        <w:rPr>
          <w:rFonts w:hint="cs"/>
          <w:rtl/>
          <w:lang w:bidi="ar-EG"/>
        </w:rPr>
        <w:t xml:space="preserve"> على جداول تحدد عدد العينات اللازمة </w:t>
      </w:r>
      <w:r w:rsidR="00B11DD6">
        <w:rPr>
          <w:rFonts w:hint="cs"/>
          <w:rtl/>
          <w:lang w:bidi="ar-EG"/>
        </w:rPr>
        <w:t>للحصول على مستوى</w:t>
      </w:r>
      <w:r>
        <w:rPr>
          <w:rFonts w:hint="cs"/>
          <w:rtl/>
          <w:lang w:bidi="ar-EG"/>
        </w:rPr>
        <w:t xml:space="preserve"> معين من الدقة والثقة. و</w:t>
      </w:r>
      <w:r w:rsidR="00270BE3">
        <w:rPr>
          <w:rFonts w:hint="cs"/>
          <w:rtl/>
          <w:lang w:bidi="ar-EG"/>
        </w:rPr>
        <w:t xml:space="preserve">هي </w:t>
      </w:r>
      <w:r>
        <w:rPr>
          <w:rFonts w:hint="cs"/>
          <w:rtl/>
          <w:lang w:bidi="ar-EG"/>
        </w:rPr>
        <w:t xml:space="preserve">تعتمد على طبيعة الإشارات في قناة تردد </w:t>
      </w:r>
      <w:r w:rsidR="00270BE3">
        <w:rPr>
          <w:rFonts w:hint="cs"/>
          <w:rtl/>
          <w:lang w:bidi="ar-EG"/>
        </w:rPr>
        <w:t>مرصودة</w:t>
      </w:r>
      <w:r>
        <w:rPr>
          <w:rFonts w:hint="cs"/>
          <w:rtl/>
          <w:lang w:bidi="ar-EG"/>
        </w:rPr>
        <w:t xml:space="preserve"> وما إذا كان</w:t>
      </w:r>
      <w:r w:rsidR="0011543C">
        <w:rPr>
          <w:rFonts w:hint="cs"/>
          <w:rtl/>
          <w:lang w:bidi="ar-EG"/>
        </w:rPr>
        <w:t xml:space="preserve"> الاعتيان</w:t>
      </w:r>
      <w:r>
        <w:rPr>
          <w:rFonts w:hint="cs"/>
          <w:rtl/>
          <w:lang w:bidi="ar-EG"/>
        </w:rPr>
        <w:t xml:space="preserve"> </w:t>
      </w:r>
      <w:r w:rsidR="0011543C">
        <w:rPr>
          <w:rFonts w:hint="cs"/>
          <w:rtl/>
          <w:lang w:bidi="ar-EG"/>
        </w:rPr>
        <w:t>مستقلاً أم غير مستقل</w:t>
      </w:r>
      <w:r>
        <w:rPr>
          <w:rFonts w:hint="cs"/>
          <w:rtl/>
          <w:lang w:bidi="ar-EG"/>
        </w:rPr>
        <w:t xml:space="preserve">. ومع ذلك، تُقدم توضيحات قليلة بشأن </w:t>
      </w:r>
      <w:r w:rsidR="00C425A6">
        <w:rPr>
          <w:rFonts w:hint="cs"/>
          <w:rtl/>
          <w:lang w:bidi="ar-EG"/>
        </w:rPr>
        <w:t>دلالة</w:t>
      </w:r>
      <w:r>
        <w:rPr>
          <w:rFonts w:hint="cs"/>
          <w:rtl/>
          <w:lang w:bidi="ar-EG"/>
        </w:rPr>
        <w:t xml:space="preserve"> هذه المصطلحات والأساليب المتبعة لتحديد </w:t>
      </w:r>
      <w:r w:rsidRPr="009A5917">
        <w:rPr>
          <w:rFonts w:hint="eastAsia"/>
          <w:rtl/>
          <w:lang w:bidi="ar-EG"/>
        </w:rPr>
        <w:t>أي</w:t>
      </w:r>
      <w:r w:rsidR="00C425A6">
        <w:rPr>
          <w:rFonts w:hint="cs"/>
          <w:rtl/>
          <w:lang w:bidi="ar-EG"/>
        </w:rPr>
        <w:t>ّ</w:t>
      </w:r>
      <w:r w:rsidRPr="009A5917">
        <w:rPr>
          <w:rtl/>
          <w:lang w:bidi="ar-EG"/>
        </w:rPr>
        <w:t xml:space="preserve"> </w:t>
      </w:r>
      <w:r w:rsidRPr="009A5917">
        <w:rPr>
          <w:rFonts w:hint="eastAsia"/>
          <w:rtl/>
          <w:lang w:bidi="ar-EG"/>
        </w:rPr>
        <w:t>نوع</w:t>
      </w:r>
      <w:r w:rsidRPr="009A5917">
        <w:rPr>
          <w:rtl/>
          <w:lang w:bidi="ar-EG"/>
        </w:rPr>
        <w:t xml:space="preserve"> </w:t>
      </w:r>
      <w:r w:rsidRPr="009A5917">
        <w:rPr>
          <w:rFonts w:hint="eastAsia"/>
          <w:rtl/>
          <w:lang w:bidi="ar-EG"/>
        </w:rPr>
        <w:t>من</w:t>
      </w:r>
      <w:r w:rsidRPr="009A5917">
        <w:rPr>
          <w:rtl/>
          <w:lang w:bidi="ar-EG"/>
        </w:rPr>
        <w:t xml:space="preserve"> </w:t>
      </w:r>
      <w:r w:rsidRPr="009A5917">
        <w:rPr>
          <w:rFonts w:hint="eastAsia"/>
          <w:rtl/>
          <w:lang w:bidi="ar-EG"/>
        </w:rPr>
        <w:t>العينات</w:t>
      </w:r>
      <w:r w:rsidRPr="009A5917">
        <w:rPr>
          <w:rtl/>
          <w:lang w:bidi="ar-EG"/>
        </w:rPr>
        <w:t xml:space="preserve"> </w:t>
      </w:r>
      <w:r w:rsidR="00C425A6">
        <w:rPr>
          <w:rFonts w:hint="eastAsia"/>
          <w:rtl/>
          <w:lang w:bidi="ar-EG"/>
        </w:rPr>
        <w:t>ي</w:t>
      </w:r>
      <w:r w:rsidR="00C425A6">
        <w:rPr>
          <w:rFonts w:hint="cs"/>
          <w:rtl/>
          <w:lang w:bidi="ar-EG"/>
        </w:rPr>
        <w:t xml:space="preserve">ُستخدم </w:t>
      </w:r>
      <w:r w:rsidRPr="009A5917">
        <w:rPr>
          <w:rFonts w:hint="eastAsia"/>
          <w:rtl/>
          <w:lang w:bidi="ar-EG"/>
        </w:rPr>
        <w:t>في</w:t>
      </w:r>
      <w:r w:rsidRPr="009A5917">
        <w:rPr>
          <w:rtl/>
          <w:lang w:bidi="ar-EG"/>
        </w:rPr>
        <w:t xml:space="preserve"> </w:t>
      </w:r>
      <w:r w:rsidRPr="009A5917">
        <w:rPr>
          <w:rFonts w:hint="eastAsia"/>
          <w:rtl/>
          <w:lang w:bidi="ar-EG"/>
        </w:rPr>
        <w:t>حالة</w:t>
      </w:r>
      <w:r w:rsidRPr="009A5917">
        <w:rPr>
          <w:rtl/>
          <w:lang w:bidi="ar-EG"/>
        </w:rPr>
        <w:t xml:space="preserve"> </w:t>
      </w:r>
      <w:r w:rsidR="001933A8">
        <w:rPr>
          <w:rFonts w:hint="cs"/>
          <w:rtl/>
          <w:lang w:bidi="ar-EG"/>
        </w:rPr>
        <w:t>معينة لقياس</w:t>
      </w:r>
      <w:r w:rsidRPr="009A5917">
        <w:rPr>
          <w:rtl/>
          <w:lang w:bidi="ar-EG"/>
        </w:rPr>
        <w:t xml:space="preserve"> </w:t>
      </w:r>
      <w:r w:rsidR="00C425A6">
        <w:rPr>
          <w:rFonts w:hint="cs"/>
          <w:rtl/>
          <w:lang w:bidi="ar-EG"/>
        </w:rPr>
        <w:t>ش</w:t>
      </w:r>
      <w:r w:rsidR="001933A8">
        <w:rPr>
          <w:rFonts w:hint="cs"/>
          <w:rtl/>
          <w:lang w:bidi="ar-EG"/>
        </w:rPr>
        <w:t>َ</w:t>
      </w:r>
      <w:r w:rsidR="00C425A6">
        <w:rPr>
          <w:rFonts w:hint="cs"/>
          <w:rtl/>
          <w:lang w:bidi="ar-EG"/>
        </w:rPr>
        <w:t xml:space="preserve">غل </w:t>
      </w:r>
      <w:r w:rsidR="001933A8">
        <w:rPr>
          <w:rFonts w:hint="cs"/>
          <w:rtl/>
          <w:lang w:bidi="ar-EG"/>
        </w:rPr>
        <w:t>الطيف</w:t>
      </w:r>
      <w:r w:rsidR="00C425A6">
        <w:rPr>
          <w:rFonts w:hint="cs"/>
          <w:rtl/>
          <w:lang w:bidi="ar-EG"/>
        </w:rPr>
        <w:t>.</w:t>
      </w:r>
      <w:r w:rsidR="0011543C">
        <w:rPr>
          <w:rFonts w:hint="cs"/>
          <w:rtl/>
          <w:lang w:bidi="ar-EG"/>
        </w:rPr>
        <w:t xml:space="preserve"> وترمي هذه المراجعة إلى توضيح معنى الاعتيان المستقل وغير المستقل وتوفر المعلومات الأساسية لفهم القيم الواردة في الجدولين</w:t>
      </w:r>
      <w:r w:rsidR="00D0237A">
        <w:rPr>
          <w:rFonts w:hint="eastAsia"/>
          <w:rtl/>
          <w:lang w:bidi="ar-EG"/>
        </w:rPr>
        <w:t> </w:t>
      </w:r>
      <w:r w:rsidR="0011543C">
        <w:rPr>
          <w:lang w:bidi="ar-EG"/>
        </w:rPr>
        <w:t>1</w:t>
      </w:r>
      <w:r w:rsidR="0011543C">
        <w:rPr>
          <w:rFonts w:hint="cs"/>
          <w:rtl/>
          <w:lang w:bidi="ar-EG"/>
        </w:rPr>
        <w:t xml:space="preserve"> و</w:t>
      </w:r>
      <w:r w:rsidR="0011543C">
        <w:rPr>
          <w:lang w:bidi="ar-EG"/>
        </w:rPr>
        <w:t>2</w:t>
      </w:r>
      <w:r w:rsidR="0011543C">
        <w:rPr>
          <w:rFonts w:hint="cs"/>
          <w:rtl/>
          <w:lang w:bidi="ar-EG"/>
        </w:rPr>
        <w:t xml:space="preserve"> في</w:t>
      </w:r>
      <w:r w:rsidR="008C6580">
        <w:rPr>
          <w:rFonts w:hint="eastAsia"/>
          <w:rtl/>
          <w:lang w:bidi="ar-EG"/>
        </w:rPr>
        <w:t> </w:t>
      </w:r>
      <w:r w:rsidR="0011543C">
        <w:rPr>
          <w:rFonts w:hint="cs"/>
          <w:rtl/>
          <w:lang w:bidi="ar-EG"/>
        </w:rPr>
        <w:t>التوصية.</w:t>
      </w:r>
    </w:p>
    <w:p w:rsidR="00966977" w:rsidRPr="00966977" w:rsidRDefault="00966977" w:rsidP="00993746">
      <w:pPr>
        <w:rPr>
          <w:rtl/>
          <w:lang w:bidi="ar-EG"/>
        </w:rPr>
      </w:pPr>
      <w:r>
        <w:rPr>
          <w:rFonts w:hint="cs"/>
          <w:rtl/>
          <w:lang w:bidi="ar-EG"/>
        </w:rPr>
        <w:t>و</w:t>
      </w:r>
      <w:r w:rsidR="00D5155F">
        <w:rPr>
          <w:rFonts w:hint="cs"/>
          <w:rtl/>
          <w:lang w:bidi="ar-EG"/>
        </w:rPr>
        <w:t xml:space="preserve">يُقترح في </w:t>
      </w:r>
      <w:r>
        <w:rPr>
          <w:rFonts w:hint="cs"/>
          <w:rtl/>
          <w:lang w:bidi="ar-EG"/>
        </w:rPr>
        <w:t xml:space="preserve">هذه المراجعة إدراج </w:t>
      </w:r>
      <w:r w:rsidR="00D5155F">
        <w:rPr>
          <w:rFonts w:hint="cs"/>
          <w:rtl/>
          <w:lang w:bidi="ar-EG"/>
        </w:rPr>
        <w:t>ال</w:t>
      </w:r>
      <w:r>
        <w:rPr>
          <w:rFonts w:hint="cs"/>
          <w:rtl/>
          <w:lang w:bidi="ar-EG"/>
        </w:rPr>
        <w:t xml:space="preserve">ملحق </w:t>
      </w:r>
      <w:r>
        <w:rPr>
          <w:lang w:bidi="ar-EG"/>
        </w:rPr>
        <w:t>2</w:t>
      </w:r>
      <w:r w:rsidR="00B11DD6">
        <w:rPr>
          <w:rFonts w:hint="cs"/>
          <w:rtl/>
          <w:lang w:bidi="ar-EG"/>
        </w:rPr>
        <w:t xml:space="preserve"> </w:t>
      </w:r>
      <w:r w:rsidR="00D5155F">
        <w:rPr>
          <w:rFonts w:hint="cs"/>
          <w:rtl/>
          <w:lang w:bidi="ar-EG"/>
        </w:rPr>
        <w:t>ال</w:t>
      </w:r>
      <w:r w:rsidR="00B11DD6">
        <w:rPr>
          <w:rFonts w:hint="cs"/>
          <w:rtl/>
          <w:lang w:bidi="ar-EG"/>
        </w:rPr>
        <w:t xml:space="preserve">جديد في </w:t>
      </w:r>
      <w:r>
        <w:rPr>
          <w:rFonts w:hint="cs"/>
          <w:rtl/>
          <w:lang w:bidi="ar-EG"/>
        </w:rPr>
        <w:t xml:space="preserve">التوصية </w:t>
      </w:r>
      <w:r>
        <w:rPr>
          <w:lang w:bidi="ar-EG"/>
        </w:rPr>
        <w:t>ITU-R SM.1880-1</w:t>
      </w:r>
      <w:r>
        <w:rPr>
          <w:rFonts w:hint="cs"/>
          <w:rtl/>
          <w:lang w:bidi="ar-EG"/>
        </w:rPr>
        <w:t>. ويظل باقي التوصية بدون تغيير.</w:t>
      </w:r>
    </w:p>
    <w:p w:rsidR="00F709A5" w:rsidRPr="00013F55" w:rsidRDefault="00F709A5" w:rsidP="008D619F">
      <w:pPr>
        <w:keepNext/>
        <w:tabs>
          <w:tab w:val="right" w:pos="9639"/>
        </w:tabs>
        <w:spacing w:before="480"/>
        <w:rPr>
          <w:rtl/>
          <w:lang w:bidi="ar-EG"/>
        </w:rPr>
      </w:pPr>
      <w:r w:rsidRPr="00A7071A">
        <w:rPr>
          <w:u w:val="single"/>
          <w:rtl/>
        </w:rPr>
        <w:t>مشروع</w:t>
      </w:r>
      <w:r w:rsidR="002335ED" w:rsidRPr="00A7071A">
        <w:rPr>
          <w:rFonts w:hint="cs"/>
          <w:u w:val="single"/>
          <w:rtl/>
        </w:rPr>
        <w:t xml:space="preserve"> مراجعة</w:t>
      </w:r>
      <w:r w:rsidRPr="00A7071A">
        <w:rPr>
          <w:u w:val="single"/>
          <w:rtl/>
        </w:rPr>
        <w:t xml:space="preserve"> التوصية </w:t>
      </w:r>
      <w:r w:rsidR="00045B1A" w:rsidRPr="00A7071A">
        <w:rPr>
          <w:szCs w:val="22"/>
          <w:u w:val="single"/>
        </w:rPr>
        <w:t>ITU-R</w:t>
      </w:r>
      <w:r w:rsidR="008D619F">
        <w:rPr>
          <w:szCs w:val="22"/>
          <w:u w:val="single"/>
        </w:rPr>
        <w:t> </w:t>
      </w:r>
      <w:proofErr w:type="spellStart"/>
      <w:r w:rsidR="00045B1A" w:rsidRPr="00A7071A">
        <w:rPr>
          <w:szCs w:val="22"/>
          <w:u w:val="single"/>
        </w:rPr>
        <w:t>SM.1600</w:t>
      </w:r>
      <w:proofErr w:type="spellEnd"/>
      <w:r w:rsidR="00045B1A" w:rsidRPr="00A7071A">
        <w:rPr>
          <w:szCs w:val="22"/>
          <w:u w:val="single"/>
        </w:rPr>
        <w:t>-2</w:t>
      </w:r>
      <w:r w:rsidRPr="00013F55">
        <w:rPr>
          <w:rtl/>
          <w:lang w:bidi="ar-EG"/>
        </w:rPr>
        <w:tab/>
        <w:t xml:space="preserve">الوثيقة </w:t>
      </w:r>
      <w:r w:rsidR="00F84FE8">
        <w:rPr>
          <w:rFonts w:asciiTheme="minorHAnsi" w:hAnsiTheme="minorHAnsi"/>
          <w:szCs w:val="22"/>
        </w:rPr>
        <w:t>1/78</w:t>
      </w:r>
      <w:r w:rsidR="00045B1A" w:rsidRPr="0046106B">
        <w:rPr>
          <w:rFonts w:asciiTheme="minorHAnsi" w:hAnsiTheme="minorHAnsi"/>
          <w:szCs w:val="22"/>
        </w:rPr>
        <w:t>(</w:t>
      </w:r>
      <w:proofErr w:type="spellStart"/>
      <w:r w:rsidR="00045B1A" w:rsidRPr="0046106B">
        <w:rPr>
          <w:rFonts w:asciiTheme="minorHAnsi" w:hAnsiTheme="minorHAnsi"/>
          <w:szCs w:val="22"/>
        </w:rPr>
        <w:t>Rev.1</w:t>
      </w:r>
      <w:proofErr w:type="spellEnd"/>
      <w:r w:rsidR="00045B1A" w:rsidRPr="0046106B">
        <w:rPr>
          <w:rFonts w:asciiTheme="minorHAnsi" w:hAnsiTheme="minorHAnsi"/>
          <w:szCs w:val="22"/>
        </w:rPr>
        <w:t>)</w:t>
      </w:r>
    </w:p>
    <w:p w:rsidR="00F709A5" w:rsidRDefault="00045B1A" w:rsidP="00B57C4B">
      <w:pPr>
        <w:pStyle w:val="Rectitle"/>
        <w:spacing w:before="240" w:after="240"/>
        <w:rPr>
          <w:highlight w:val="yellow"/>
          <w:rtl/>
          <w:lang w:bidi="ar-EG"/>
        </w:rPr>
      </w:pPr>
      <w:r w:rsidRPr="00013F55">
        <w:rPr>
          <w:rtl/>
          <w:lang w:bidi="ar-EG"/>
        </w:rPr>
        <w:t>تعرف الهوية التقني للإشارات الرقمية</w:t>
      </w:r>
    </w:p>
    <w:p w:rsidR="00201C68" w:rsidRDefault="00EA3B7A" w:rsidP="00462CC7">
      <w:pPr>
        <w:rPr>
          <w:rtl/>
          <w:lang w:bidi="ar-EG"/>
        </w:rPr>
      </w:pPr>
      <w:r w:rsidRPr="00EA3B7A">
        <w:rPr>
          <w:rFonts w:hint="cs"/>
          <w:rtl/>
          <w:lang w:bidi="ar-EG"/>
        </w:rPr>
        <w:t xml:space="preserve">الغرض من هذه المراجعة تحديث </w:t>
      </w:r>
      <w:r w:rsidR="00785BDB">
        <w:rPr>
          <w:rFonts w:hint="cs"/>
          <w:rtl/>
          <w:lang w:bidi="ar-EG"/>
        </w:rPr>
        <w:t xml:space="preserve">التوصية على نحو </w:t>
      </w:r>
      <w:r w:rsidR="00462CC7">
        <w:rPr>
          <w:rFonts w:hint="cs"/>
          <w:rtl/>
          <w:lang w:bidi="ar-EG"/>
        </w:rPr>
        <w:t>مفصّل</w:t>
      </w:r>
      <w:r w:rsidR="00201C68" w:rsidRPr="00EA3B7A">
        <w:rPr>
          <w:rFonts w:hint="cs"/>
          <w:rtl/>
          <w:lang w:bidi="ar-EG"/>
        </w:rPr>
        <w:t>.</w:t>
      </w:r>
    </w:p>
    <w:p w:rsidR="00EA3B7A" w:rsidRPr="00214147" w:rsidRDefault="00EA3B7A" w:rsidP="00993746">
      <w:pPr>
        <w:rPr>
          <w:rtl/>
          <w:lang w:bidi="ar-EG"/>
        </w:rPr>
      </w:pPr>
      <w:r>
        <w:rPr>
          <w:rFonts w:hint="cs"/>
          <w:rtl/>
          <w:lang w:bidi="ar-EG"/>
        </w:rPr>
        <w:lastRenderedPageBreak/>
        <w:t xml:space="preserve">يُضاف توضيح يفيد أن الأدوات </w:t>
      </w:r>
      <w:r w:rsidR="00785BDB">
        <w:rPr>
          <w:rFonts w:hint="cs"/>
          <w:rtl/>
          <w:lang w:bidi="ar-EG"/>
        </w:rPr>
        <w:t>التي تتناولها</w:t>
      </w:r>
      <w:r>
        <w:rPr>
          <w:rFonts w:hint="cs"/>
          <w:rtl/>
          <w:lang w:bidi="ar-EG"/>
        </w:rPr>
        <w:t xml:space="preserve"> التوصية</w:t>
      </w:r>
      <w:r w:rsidR="00785BDB">
        <w:rPr>
          <w:rFonts w:hint="cs"/>
          <w:rtl/>
          <w:lang w:bidi="ar-EG"/>
        </w:rPr>
        <w:t xml:space="preserve"> هي</w:t>
      </w:r>
      <w:r>
        <w:rPr>
          <w:rFonts w:hint="cs"/>
          <w:rtl/>
          <w:lang w:bidi="ar-EG"/>
        </w:rPr>
        <w:t xml:space="preserve"> مجموعة من الأمثلة الممكنة التي يمكن استخدامها في تعرّف هوية الإشارات الرقمية، </w:t>
      </w:r>
      <w:r w:rsidR="00B029C7">
        <w:rPr>
          <w:rFonts w:hint="cs"/>
          <w:rtl/>
          <w:lang w:bidi="ar-EG"/>
        </w:rPr>
        <w:t>ولا</w:t>
      </w:r>
      <w:r w:rsidR="00B029C7">
        <w:rPr>
          <w:rFonts w:hint="eastAsia"/>
          <w:rtl/>
          <w:lang w:bidi="ar-EG"/>
        </w:rPr>
        <w:t> </w:t>
      </w:r>
      <w:r w:rsidR="00B11DD6">
        <w:rPr>
          <w:rFonts w:hint="cs"/>
          <w:rtl/>
          <w:lang w:bidi="ar-EG"/>
        </w:rPr>
        <w:t>يلزم</w:t>
      </w:r>
      <w:r>
        <w:rPr>
          <w:rFonts w:hint="cs"/>
          <w:rtl/>
          <w:lang w:bidi="ar-EG"/>
        </w:rPr>
        <w:t xml:space="preserve"> استخدامها كلها للامتثال لأحكام هذه التوصية.</w:t>
      </w:r>
      <w:r w:rsidR="00214147">
        <w:rPr>
          <w:rFonts w:hint="cs"/>
          <w:rtl/>
          <w:lang w:bidi="ar-EG"/>
        </w:rPr>
        <w:t xml:space="preserve"> وتُعدل الفقرة </w:t>
      </w:r>
      <w:r w:rsidR="00214147" w:rsidRPr="002901D1">
        <w:rPr>
          <w:rFonts w:hint="cs"/>
          <w:i/>
          <w:iCs/>
          <w:rtl/>
          <w:lang w:bidi="ar-EG"/>
        </w:rPr>
        <w:t>توصي</w:t>
      </w:r>
      <w:r w:rsidR="00214147" w:rsidRPr="00950B11">
        <w:rPr>
          <w:rFonts w:hint="cs"/>
          <w:rtl/>
          <w:lang w:bidi="ar-EG"/>
        </w:rPr>
        <w:t xml:space="preserve"> </w:t>
      </w:r>
      <w:r w:rsidR="00214147" w:rsidRPr="00950B11">
        <w:rPr>
          <w:lang w:bidi="ar-EG"/>
        </w:rPr>
        <w:t>2</w:t>
      </w:r>
      <w:r w:rsidR="00214147">
        <w:rPr>
          <w:rFonts w:hint="cs"/>
          <w:rtl/>
          <w:lang w:bidi="ar-EG"/>
        </w:rPr>
        <w:t xml:space="preserve"> لتوضيح أن الملحق يحتوي على مجموعة من الأدوات التي يمكن النظر في استعمالها. ويُعرّف تصنيف الإشارات. وقد أساءت بعض الإدارات فهم المصطلحين "يصنف" و"تصنيف" ولذلك يُستعاض عنهما بمصطلحين أكثر دقة</w:t>
      </w:r>
      <w:r w:rsidR="00D1270B">
        <w:rPr>
          <w:rFonts w:hint="cs"/>
          <w:rtl/>
          <w:lang w:bidi="ar-EG"/>
        </w:rPr>
        <w:t xml:space="preserve"> في حالات محددة. ونظراً إلى أن الأنظمة الحديثة لتحليل الإشارات وإدارة الطيف تشمل عموماً قدرة المتجه، أُضيفت هذه الأنظمة حسب الاقتضاء. وتم تصويب أرقام الأشكال. </w:t>
      </w:r>
      <w:r w:rsidR="000A079F">
        <w:rPr>
          <w:rFonts w:hint="cs"/>
          <w:rtl/>
          <w:lang w:bidi="ar-EG"/>
        </w:rPr>
        <w:t>واقتُرح</w:t>
      </w:r>
      <w:r w:rsidR="00D1270B">
        <w:rPr>
          <w:rFonts w:hint="cs"/>
          <w:rtl/>
          <w:lang w:bidi="ar-EG"/>
        </w:rPr>
        <w:t xml:space="preserve"> إلغاء بعض المواد</w:t>
      </w:r>
      <w:r w:rsidR="00900FE3">
        <w:rPr>
          <w:rFonts w:hint="cs"/>
          <w:rtl/>
          <w:lang w:bidi="ar-EG"/>
        </w:rPr>
        <w:t xml:space="preserve"> القديمة</w:t>
      </w:r>
      <w:r w:rsidR="00D1270B">
        <w:rPr>
          <w:rFonts w:hint="cs"/>
          <w:rtl/>
          <w:lang w:bidi="ar-EG"/>
        </w:rPr>
        <w:t xml:space="preserve"> </w:t>
      </w:r>
      <w:r w:rsidR="00652A93">
        <w:rPr>
          <w:rFonts w:hint="cs"/>
          <w:rtl/>
          <w:lang w:bidi="ar-EG"/>
        </w:rPr>
        <w:t>التي تنطوي بطبيعتها على تفاصيل كثيرة</w:t>
      </w:r>
      <w:r w:rsidR="00D1270B">
        <w:rPr>
          <w:rFonts w:hint="cs"/>
          <w:rtl/>
          <w:lang w:bidi="ar-EG"/>
        </w:rPr>
        <w:t xml:space="preserve"> والتي تخرج عن نطاق هذه التوصية.</w:t>
      </w:r>
    </w:p>
    <w:p w:rsidR="00F709A5" w:rsidRPr="002335ED" w:rsidRDefault="00F709A5" w:rsidP="00F84FE8">
      <w:pPr>
        <w:keepNext/>
        <w:tabs>
          <w:tab w:val="right" w:pos="9639"/>
        </w:tabs>
        <w:spacing w:before="480"/>
        <w:rPr>
          <w:rtl/>
          <w:lang w:bidi="ar-EG"/>
        </w:rPr>
      </w:pPr>
      <w:r w:rsidRPr="00630C1F">
        <w:rPr>
          <w:u w:val="single"/>
          <w:rtl/>
        </w:rPr>
        <w:t>مشروع</w:t>
      </w:r>
      <w:r w:rsidR="002335ED" w:rsidRPr="00630C1F">
        <w:rPr>
          <w:rFonts w:hint="cs"/>
          <w:u w:val="single"/>
          <w:rtl/>
          <w:lang w:bidi="ar-EG"/>
        </w:rPr>
        <w:t xml:space="preserve"> مراجعة</w:t>
      </w:r>
      <w:r w:rsidRPr="00630C1F">
        <w:rPr>
          <w:u w:val="single"/>
          <w:rtl/>
        </w:rPr>
        <w:t xml:space="preserve"> التوصية </w:t>
      </w:r>
      <w:r w:rsidR="00045B1A" w:rsidRPr="00630C1F">
        <w:rPr>
          <w:u w:val="single"/>
        </w:rPr>
        <w:t>ITU-R</w:t>
      </w:r>
      <w:r w:rsidR="008D619F">
        <w:rPr>
          <w:u w:val="single"/>
        </w:rPr>
        <w:t> </w:t>
      </w:r>
      <w:r w:rsidR="00045B1A" w:rsidRPr="00630C1F">
        <w:rPr>
          <w:u w:val="single"/>
        </w:rPr>
        <w:t>SM.1046-2</w:t>
      </w:r>
      <w:r>
        <w:rPr>
          <w:rtl/>
          <w:lang w:bidi="ar-EG"/>
        </w:rPr>
        <w:tab/>
        <w:t xml:space="preserve">الوثيقة </w:t>
      </w:r>
      <w:r w:rsidR="00045B1A" w:rsidRPr="0046106B">
        <w:rPr>
          <w:rFonts w:asciiTheme="minorHAnsi" w:hAnsiTheme="minorHAnsi"/>
          <w:szCs w:val="22"/>
        </w:rPr>
        <w:t>1/86</w:t>
      </w:r>
      <w:bookmarkStart w:id="0" w:name="_GoBack"/>
      <w:bookmarkEnd w:id="0"/>
      <w:r w:rsidR="00045B1A" w:rsidRPr="0046106B">
        <w:rPr>
          <w:rFonts w:asciiTheme="minorHAnsi" w:hAnsiTheme="minorHAnsi"/>
          <w:szCs w:val="22"/>
        </w:rPr>
        <w:t>(Rev.1)</w:t>
      </w:r>
    </w:p>
    <w:p w:rsidR="00F709A5" w:rsidRPr="00013F55" w:rsidRDefault="00045B1A" w:rsidP="00B57C4B">
      <w:pPr>
        <w:pStyle w:val="Rectitle"/>
        <w:spacing w:before="240" w:after="240"/>
        <w:rPr>
          <w:rtl/>
          <w:lang w:bidi="ar-EG"/>
        </w:rPr>
      </w:pPr>
      <w:r w:rsidRPr="00013F55">
        <w:rPr>
          <w:rtl/>
        </w:rPr>
        <w:t>تحديد استخدام الطيف وكفاءة النظام الراديوي</w:t>
      </w:r>
    </w:p>
    <w:p w:rsidR="00201C68" w:rsidRPr="00F709A5" w:rsidRDefault="004B0F9F" w:rsidP="009C4B6C">
      <w:pPr>
        <w:rPr>
          <w:highlight w:val="yellow"/>
          <w:rtl/>
          <w:lang w:bidi="ar-EG"/>
        </w:rPr>
      </w:pPr>
      <w:r>
        <w:rPr>
          <w:rFonts w:hint="cs"/>
          <w:rtl/>
          <w:lang w:bidi="ar-EG"/>
        </w:rPr>
        <w:t>ترد</w:t>
      </w:r>
      <w:r w:rsidR="007461F6" w:rsidRPr="007461F6">
        <w:rPr>
          <w:rFonts w:hint="cs"/>
          <w:rtl/>
          <w:lang w:bidi="ar-EG"/>
        </w:rPr>
        <w:t xml:space="preserve"> </w:t>
      </w:r>
      <w:r w:rsidR="00900FE3">
        <w:rPr>
          <w:rFonts w:hint="cs"/>
          <w:rtl/>
          <w:lang w:bidi="ar-EG"/>
        </w:rPr>
        <w:t>التعديلات</w:t>
      </w:r>
      <w:r w:rsidR="007461F6" w:rsidRPr="007461F6">
        <w:rPr>
          <w:rFonts w:hint="cs"/>
          <w:rtl/>
          <w:lang w:bidi="ar-EG"/>
        </w:rPr>
        <w:t xml:space="preserve"> الرئيسية</w:t>
      </w:r>
      <w:r>
        <w:rPr>
          <w:rFonts w:hint="cs"/>
          <w:rtl/>
          <w:lang w:bidi="ar-EG"/>
        </w:rPr>
        <w:t xml:space="preserve"> في</w:t>
      </w:r>
      <w:r w:rsidR="007461F6" w:rsidRPr="007461F6">
        <w:rPr>
          <w:rFonts w:hint="cs"/>
          <w:rtl/>
          <w:lang w:bidi="ar-EG"/>
        </w:rPr>
        <w:t xml:space="preserve"> الملحق</w:t>
      </w:r>
      <w:r w:rsidR="00900FE3">
        <w:rPr>
          <w:rFonts w:hint="cs"/>
          <w:rtl/>
          <w:lang w:bidi="ar-EG"/>
        </w:rPr>
        <w:t>ين</w:t>
      </w:r>
      <w:r w:rsidR="009C4B6C">
        <w:rPr>
          <w:rFonts w:hint="cs"/>
          <w:rtl/>
          <w:lang w:bidi="ar-EG"/>
        </w:rPr>
        <w:t>:</w:t>
      </w:r>
    </w:p>
    <w:p w:rsidR="003271CE" w:rsidRDefault="003271CE" w:rsidP="006C5903">
      <w:pPr>
        <w:pStyle w:val="enumlev1"/>
        <w:rPr>
          <w:rtl/>
          <w:lang w:bidi="ar-EG"/>
        </w:rPr>
      </w:pPr>
      <w:r>
        <w:rPr>
          <w:rFonts w:hint="cs"/>
          <w:rtl/>
          <w:lang w:bidi="ar-EG"/>
        </w:rPr>
        <w:t>’</w:t>
      </w:r>
      <w:r>
        <w:rPr>
          <w:lang w:bidi="ar-EG"/>
        </w:rPr>
        <w:t>1</w:t>
      </w:r>
      <w:r>
        <w:rPr>
          <w:rFonts w:hint="cs"/>
          <w:rtl/>
          <w:lang w:bidi="ar-EG"/>
        </w:rPr>
        <w:t>‘</w:t>
      </w:r>
      <w:r>
        <w:rPr>
          <w:rFonts w:hint="cs"/>
          <w:rtl/>
          <w:lang w:bidi="ar-EG"/>
        </w:rPr>
        <w:tab/>
      </w:r>
      <w:r w:rsidR="007461F6">
        <w:rPr>
          <w:rFonts w:hint="cs"/>
          <w:rtl/>
          <w:lang w:bidi="ar-EG"/>
        </w:rPr>
        <w:t xml:space="preserve">الملحق </w:t>
      </w:r>
      <w:r w:rsidR="007461F6">
        <w:rPr>
          <w:lang w:bidi="ar-EG"/>
        </w:rPr>
        <w:t>1</w:t>
      </w:r>
      <w:r w:rsidR="007461F6">
        <w:rPr>
          <w:rFonts w:hint="cs"/>
          <w:rtl/>
          <w:lang w:bidi="ar-EG"/>
        </w:rPr>
        <w:t xml:space="preserve">: حساب استخدام الطيف وكفاءة نظام راديوي بالاستناد إلى قياسات فعلية </w:t>
      </w:r>
      <w:r w:rsidR="006C5903" w:rsidRPr="006C5903">
        <w:rPr>
          <w:lang w:bidi="ar-EG"/>
        </w:rPr>
        <w:t>(U ')</w:t>
      </w:r>
      <w:r w:rsidR="009A4326">
        <w:rPr>
          <w:rFonts w:hint="cs"/>
          <w:rtl/>
          <w:lang w:bidi="ar-EG"/>
        </w:rPr>
        <w:t>.</w:t>
      </w:r>
    </w:p>
    <w:p w:rsidR="003271CE" w:rsidRDefault="003271CE" w:rsidP="00993746">
      <w:pPr>
        <w:pStyle w:val="enumlev1"/>
        <w:rPr>
          <w:rtl/>
          <w:lang w:bidi="ar-EG"/>
        </w:rPr>
      </w:pPr>
      <w:r>
        <w:rPr>
          <w:rFonts w:hint="cs"/>
          <w:rtl/>
          <w:lang w:bidi="ar-EG"/>
        </w:rPr>
        <w:t>’</w:t>
      </w:r>
      <w:r>
        <w:rPr>
          <w:lang w:bidi="ar-EG"/>
        </w:rPr>
        <w:t>2</w:t>
      </w:r>
      <w:r>
        <w:rPr>
          <w:rFonts w:hint="cs"/>
          <w:rtl/>
          <w:lang w:bidi="ar-EG"/>
        </w:rPr>
        <w:t>‘</w:t>
      </w:r>
      <w:r>
        <w:rPr>
          <w:rFonts w:hint="cs"/>
          <w:rtl/>
          <w:lang w:bidi="ar-EG"/>
        </w:rPr>
        <w:tab/>
      </w:r>
      <w:r w:rsidR="004C536D">
        <w:rPr>
          <w:rFonts w:hint="cs"/>
          <w:rtl/>
          <w:lang w:bidi="ar-EG"/>
        </w:rPr>
        <w:t xml:space="preserve">الملحق </w:t>
      </w:r>
      <w:r w:rsidR="00A22EAA">
        <w:rPr>
          <w:lang w:bidi="ar-EG"/>
        </w:rPr>
        <w:t>2</w:t>
      </w:r>
      <w:r w:rsidR="004C536D">
        <w:rPr>
          <w:rFonts w:hint="cs"/>
          <w:rtl/>
          <w:lang w:bidi="ar-EG"/>
        </w:rPr>
        <w:t xml:space="preserve">: إضافة أمثلة عن استخدام </w:t>
      </w:r>
      <w:r w:rsidR="00AA73AD">
        <w:rPr>
          <w:rFonts w:hint="cs"/>
          <w:rtl/>
          <w:lang w:bidi="ar-EG"/>
        </w:rPr>
        <w:t>الطيف في خدمات مختلفة</w:t>
      </w:r>
      <w:r w:rsidR="004C536D">
        <w:rPr>
          <w:rFonts w:hint="cs"/>
          <w:rtl/>
          <w:lang w:bidi="ar-EG"/>
        </w:rPr>
        <w:t>.</w:t>
      </w:r>
    </w:p>
    <w:p w:rsidR="00B86151" w:rsidRDefault="00E478D2" w:rsidP="00B86151">
      <w:pPr>
        <w:spacing w:before="600"/>
        <w:jc w:val="center"/>
        <w:rPr>
          <w:lang w:eastAsia="zh-CN"/>
        </w:rPr>
      </w:pPr>
      <w:r>
        <w:rPr>
          <w:rFonts w:hint="cs"/>
          <w:rtl/>
        </w:rPr>
        <w:t>___________</w:t>
      </w:r>
    </w:p>
    <w:sectPr w:rsidR="00B86151" w:rsidSect="008B5B5D">
      <w:headerReference w:type="default" r:id="rId15"/>
      <w:headerReference w:type="first" r:id="rId16"/>
      <w:footerReference w:type="first" r:id="rId17"/>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D90" w:rsidRDefault="00956D90" w:rsidP="00E07379">
      <w:pPr>
        <w:spacing w:before="0" w:line="240" w:lineRule="auto"/>
      </w:pPr>
      <w:r>
        <w:separator/>
      </w:r>
    </w:p>
  </w:endnote>
  <w:endnote w:type="continuationSeparator" w:id="0">
    <w:p w:rsidR="00956D90" w:rsidRDefault="00956D90"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imes New Roman italic">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A16" w:rsidRPr="00783A16" w:rsidRDefault="00783A16" w:rsidP="009734C8">
    <w:pPr>
      <w:tabs>
        <w:tab w:val="clear" w:pos="1134"/>
      </w:tabs>
      <w:bidi w:val="0"/>
      <w:spacing w:before="40" w:line="240" w:lineRule="auto"/>
      <w:ind w:left="-397" w:right="-397"/>
      <w:jc w:val="center"/>
      <w:rPr>
        <w:rFonts w:cs="Calibri"/>
        <w:sz w:val="18"/>
        <w:szCs w:val="18"/>
      </w:rPr>
    </w:pPr>
    <w:r w:rsidRPr="00783A16">
      <w:rPr>
        <w:rFonts w:cs="Calibri"/>
        <w:sz w:val="18"/>
        <w:szCs w:val="18"/>
      </w:rPr>
      <w:t>International Telecommunication Union • Place des Nations • CH</w:t>
    </w:r>
    <w:r w:rsidRPr="00783A16">
      <w:rPr>
        <w:rFonts w:cs="Calibri"/>
        <w:sz w:val="18"/>
        <w:szCs w:val="18"/>
      </w:rPr>
      <w:noBreakHyphen/>
      <w:t xml:space="preserve">1211 Geneva 20 • Switzerland </w:t>
    </w:r>
    <w:r w:rsidRPr="00783A16">
      <w:rPr>
        <w:rFonts w:cs="Calibri"/>
        <w:sz w:val="18"/>
        <w:szCs w:val="18"/>
      </w:rPr>
      <w:br/>
      <w:t xml:space="preserve">Tel: +41 22 730 5111 • Fax: +41 22 733 7256 • E-mail: </w:t>
    </w:r>
    <w:hyperlink r:id="rId1" w:history="1">
      <w:r w:rsidRPr="00783A16">
        <w:rPr>
          <w:rFonts w:cs="Calibri"/>
          <w:color w:val="0000FF"/>
          <w:sz w:val="18"/>
          <w:szCs w:val="18"/>
          <w:u w:val="single"/>
        </w:rPr>
        <w:t>itumail@itu.int</w:t>
      </w:r>
    </w:hyperlink>
    <w:r w:rsidRPr="00783A16">
      <w:rPr>
        <w:rFonts w:cs="Calibri"/>
        <w:sz w:val="18"/>
        <w:szCs w:val="18"/>
      </w:rPr>
      <w:t xml:space="preserve"> • </w:t>
    </w:r>
    <w:hyperlink r:id="rId2" w:history="1">
      <w:r w:rsidRPr="00783A16">
        <w:rPr>
          <w:rFonts w:cs="Calibri"/>
          <w:color w:val="0000FF"/>
          <w:sz w:val="18"/>
          <w:szCs w:val="18"/>
          <w:u w:val="single"/>
        </w:rPr>
        <w:t>www.itu.int</w:t>
      </w:r>
    </w:hyperlink>
    <w:r w:rsidRPr="00783A16">
      <w:rPr>
        <w:rFonts w:cs="Calibri"/>
        <w:sz w:val="18"/>
        <w:szCs w:val="18"/>
      </w:rPr>
      <w:t xml:space="preserve"> •</w:t>
    </w:r>
    <w:r w:rsidR="009734C8">
      <w:rPr>
        <w:rFonts w:cs="Calibri"/>
        <w:sz w:val="18"/>
        <w:szCs w:val="18"/>
        <w:rtl/>
      </w:rPr>
      <w:br/>
    </w:r>
    <w:r w:rsidR="009734C8" w:rsidRPr="00B86151">
      <w:rPr>
        <w:rFonts w:cs="Calibri"/>
        <w:b/>
        <w:bCs/>
        <w:color w:val="1F4E79" w:themeColor="accent1" w:themeShade="80"/>
        <w:sz w:val="18"/>
        <w:szCs w:val="18"/>
      </w:rPr>
      <w:t>90</w:t>
    </w:r>
    <w:r w:rsidR="009734C8" w:rsidRPr="00B86151">
      <w:rPr>
        <w:rFonts w:cs="Calibri"/>
        <w:b/>
        <w:bCs/>
        <w:color w:val="1F4E79" w:themeColor="accent1" w:themeShade="80"/>
        <w:sz w:val="18"/>
        <w:szCs w:val="18"/>
        <w:vertAlign w:val="superscript"/>
      </w:rPr>
      <w:t>th</w:t>
    </w:r>
    <w:r w:rsidR="009734C8" w:rsidRPr="00B86151">
      <w:rPr>
        <w:rFonts w:cs="Calibri"/>
        <w:b/>
        <w:bCs/>
        <w:color w:val="1F4E79" w:themeColor="accent1" w:themeShade="80"/>
        <w:sz w:val="18"/>
        <w:szCs w:val="18"/>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D90" w:rsidRDefault="00956D90" w:rsidP="00E07379">
      <w:pPr>
        <w:spacing w:before="0" w:line="240" w:lineRule="auto"/>
      </w:pPr>
      <w:r>
        <w:separator/>
      </w:r>
    </w:p>
  </w:footnote>
  <w:footnote w:type="continuationSeparator" w:id="0">
    <w:p w:rsidR="00956D90" w:rsidRDefault="00956D90"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45D" w:rsidRPr="008B5B5D" w:rsidRDefault="00AF70F6" w:rsidP="002D4DD1">
    <w:pPr>
      <w:bidi w:val="0"/>
      <w:spacing w:after="240" w:line="240" w:lineRule="auto"/>
      <w:jc w:val="center"/>
      <w:rPr>
        <w:rStyle w:val="PageNumber"/>
        <w:rtl/>
        <w:lang w:bidi="ar-EG"/>
      </w:rPr>
    </w:pPr>
    <w:r>
      <w:rPr>
        <w:rStyle w:val="PageNumber"/>
      </w:rPr>
      <w:t xml:space="preserve">- </w:t>
    </w:r>
    <w:r w:rsidR="0022345D" w:rsidRPr="008B5B5D">
      <w:rPr>
        <w:rStyle w:val="PageNumber"/>
      </w:rPr>
      <w:fldChar w:fldCharType="begin"/>
    </w:r>
    <w:r w:rsidR="0022345D" w:rsidRPr="008B5B5D">
      <w:rPr>
        <w:rStyle w:val="PageNumber"/>
      </w:rPr>
      <w:instrText xml:space="preserve"> PAGE </w:instrText>
    </w:r>
    <w:r w:rsidR="0022345D" w:rsidRPr="008B5B5D">
      <w:rPr>
        <w:rStyle w:val="PageNumber"/>
      </w:rPr>
      <w:fldChar w:fldCharType="separate"/>
    </w:r>
    <w:r w:rsidR="00F84FE8">
      <w:rPr>
        <w:rStyle w:val="PageNumber"/>
        <w:noProof/>
      </w:rPr>
      <w:t>4</w:t>
    </w:r>
    <w:r w:rsidR="0022345D" w:rsidRPr="008B5B5D">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933E83" w:rsidTr="00933E83">
      <w:tc>
        <w:tcPr>
          <w:tcW w:w="4814" w:type="dxa"/>
        </w:tcPr>
        <w:p w:rsidR="00933E83" w:rsidRDefault="00933E83" w:rsidP="00933E83">
          <w:pPr>
            <w:pStyle w:val="Header"/>
            <w:spacing w:before="120"/>
            <w:jc w:val="left"/>
            <w:rPr>
              <w:rtl/>
            </w:rPr>
          </w:pPr>
          <w:r>
            <w:rPr>
              <w:b/>
              <w:bCs/>
              <w:noProof/>
              <w:lang w:eastAsia="zh-CN"/>
            </w:rPr>
            <w:drawing>
              <wp:inline distT="0" distB="0" distL="0" distR="0" wp14:anchorId="12C25CCF" wp14:editId="456F2BB8">
                <wp:extent cx="579396" cy="657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15" w:type="dxa"/>
        </w:tcPr>
        <w:p w:rsidR="00933E83" w:rsidRDefault="00933E83" w:rsidP="00933E83">
          <w:pPr>
            <w:pStyle w:val="Header"/>
            <w:jc w:val="right"/>
            <w:rPr>
              <w:rtl/>
            </w:rPr>
          </w:pPr>
          <w:r w:rsidRPr="00A03501">
            <w:rPr>
              <w:noProof/>
              <w:lang w:eastAsia="zh-CN"/>
            </w:rPr>
            <w:drawing>
              <wp:inline distT="0" distB="0" distL="0" distR="0" wp14:anchorId="1B4618BD" wp14:editId="6B2FCCF8">
                <wp:extent cx="1238250" cy="942975"/>
                <wp:effectExtent l="0" t="0" r="0" b="9525"/>
                <wp:docPr id="3" name="Picture 3"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AF70F6" w:rsidRPr="00933E83" w:rsidRDefault="00AF70F6" w:rsidP="00933E83">
    <w:pPr>
      <w:spacing w:before="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activeWritingStyle w:appName="MSWord" w:lang="ar-SA" w:vendorID="64" w:dllVersion="131078" w:nlCheck="1" w:checkStyle="0"/>
  <w:activeWritingStyle w:appName="MSWord" w:lang="ar-AE" w:vendorID="64" w:dllVersion="131078" w:nlCheck="1" w:checkStyle="0"/>
  <w:activeWritingStyle w:appName="MSWord" w:lang="en-US" w:vendorID="64" w:dllVersion="131078" w:nlCheck="1" w:checkStyle="1"/>
  <w:activeWritingStyle w:appName="MSWord" w:lang="fr-FR" w:vendorID="64" w:dllVersion="131078" w:nlCheck="1" w:checkStyle="1"/>
  <w:activeWritingStyle w:appName="MSWord" w:lang="ar-EG" w:vendorID="64" w:dllVersion="131078" w:nlCheck="1" w:checkStyle="0"/>
  <w:activeWritingStyle w:appName="MSWord" w:lang="ar-SY" w:vendorID="64" w:dllVersion="131078" w:nlCheck="1" w:checkStyle="0"/>
  <w:activeWritingStyle w:appName="MSWord" w:lang="es-ES" w:vendorID="64" w:dllVersion="131078" w:nlCheck="1" w:checkStyle="1"/>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D90"/>
    <w:rsid w:val="00006757"/>
    <w:rsid w:val="0001150D"/>
    <w:rsid w:val="000124CC"/>
    <w:rsid w:val="00013F55"/>
    <w:rsid w:val="00030945"/>
    <w:rsid w:val="00041F8B"/>
    <w:rsid w:val="00045B1A"/>
    <w:rsid w:val="00046444"/>
    <w:rsid w:val="0006023B"/>
    <w:rsid w:val="0008638B"/>
    <w:rsid w:val="00090574"/>
    <w:rsid w:val="00092FC2"/>
    <w:rsid w:val="000A079F"/>
    <w:rsid w:val="000A1677"/>
    <w:rsid w:val="000A6B19"/>
    <w:rsid w:val="000B407F"/>
    <w:rsid w:val="000B4F9D"/>
    <w:rsid w:val="000C13C2"/>
    <w:rsid w:val="000C1AE6"/>
    <w:rsid w:val="000F0B1C"/>
    <w:rsid w:val="000F1D42"/>
    <w:rsid w:val="000F4D07"/>
    <w:rsid w:val="00102A03"/>
    <w:rsid w:val="001040A3"/>
    <w:rsid w:val="0011543C"/>
    <w:rsid w:val="001614FD"/>
    <w:rsid w:val="00163677"/>
    <w:rsid w:val="00163815"/>
    <w:rsid w:val="00173915"/>
    <w:rsid w:val="00190D63"/>
    <w:rsid w:val="001933A8"/>
    <w:rsid w:val="001B442E"/>
    <w:rsid w:val="001F337B"/>
    <w:rsid w:val="00201C68"/>
    <w:rsid w:val="00214147"/>
    <w:rsid w:val="0022345D"/>
    <w:rsid w:val="00225854"/>
    <w:rsid w:val="0023283D"/>
    <w:rsid w:val="002335ED"/>
    <w:rsid w:val="00235A67"/>
    <w:rsid w:val="00252E0C"/>
    <w:rsid w:val="00270BE3"/>
    <w:rsid w:val="00270D42"/>
    <w:rsid w:val="00276881"/>
    <w:rsid w:val="002901D1"/>
    <w:rsid w:val="002916BE"/>
    <w:rsid w:val="002978F4"/>
    <w:rsid w:val="002A1738"/>
    <w:rsid w:val="002B028D"/>
    <w:rsid w:val="002B4247"/>
    <w:rsid w:val="002B435E"/>
    <w:rsid w:val="002C4DAE"/>
    <w:rsid w:val="002D4DD1"/>
    <w:rsid w:val="002D6669"/>
    <w:rsid w:val="002E6541"/>
    <w:rsid w:val="002F3E59"/>
    <w:rsid w:val="002F5560"/>
    <w:rsid w:val="002F7232"/>
    <w:rsid w:val="0030486B"/>
    <w:rsid w:val="003231B9"/>
    <w:rsid w:val="003271CE"/>
    <w:rsid w:val="003275AC"/>
    <w:rsid w:val="00333D29"/>
    <w:rsid w:val="003409F4"/>
    <w:rsid w:val="00357185"/>
    <w:rsid w:val="003B78A3"/>
    <w:rsid w:val="003C475F"/>
    <w:rsid w:val="003E4132"/>
    <w:rsid w:val="003F678F"/>
    <w:rsid w:val="00401A22"/>
    <w:rsid w:val="0042686F"/>
    <w:rsid w:val="004367CE"/>
    <w:rsid w:val="00443869"/>
    <w:rsid w:val="00454DD3"/>
    <w:rsid w:val="0046106B"/>
    <w:rsid w:val="00462CC7"/>
    <w:rsid w:val="004712C6"/>
    <w:rsid w:val="00497703"/>
    <w:rsid w:val="004B0F9F"/>
    <w:rsid w:val="004C536D"/>
    <w:rsid w:val="004F0F06"/>
    <w:rsid w:val="00501E0E"/>
    <w:rsid w:val="00515C20"/>
    <w:rsid w:val="005204D7"/>
    <w:rsid w:val="00530420"/>
    <w:rsid w:val="00541680"/>
    <w:rsid w:val="00552BC5"/>
    <w:rsid w:val="0055516A"/>
    <w:rsid w:val="0056374C"/>
    <w:rsid w:val="0056614F"/>
    <w:rsid w:val="0057656F"/>
    <w:rsid w:val="00576731"/>
    <w:rsid w:val="00590ED2"/>
    <w:rsid w:val="0059285F"/>
    <w:rsid w:val="005A24B1"/>
    <w:rsid w:val="005B7B8A"/>
    <w:rsid w:val="005D4D49"/>
    <w:rsid w:val="005D6476"/>
    <w:rsid w:val="005D6C0D"/>
    <w:rsid w:val="005E5283"/>
    <w:rsid w:val="005E58F5"/>
    <w:rsid w:val="00606660"/>
    <w:rsid w:val="0061169F"/>
    <w:rsid w:val="006157A3"/>
    <w:rsid w:val="00620E60"/>
    <w:rsid w:val="00630C1F"/>
    <w:rsid w:val="0063315A"/>
    <w:rsid w:val="00652A93"/>
    <w:rsid w:val="0065591D"/>
    <w:rsid w:val="00662C5A"/>
    <w:rsid w:val="00670AF5"/>
    <w:rsid w:val="00677A7D"/>
    <w:rsid w:val="006876D8"/>
    <w:rsid w:val="006C1556"/>
    <w:rsid w:val="006C483C"/>
    <w:rsid w:val="006C5903"/>
    <w:rsid w:val="006E1947"/>
    <w:rsid w:val="006F109E"/>
    <w:rsid w:val="006F267F"/>
    <w:rsid w:val="006F63F7"/>
    <w:rsid w:val="006F6F03"/>
    <w:rsid w:val="00706A3E"/>
    <w:rsid w:val="00706D7A"/>
    <w:rsid w:val="00726AEC"/>
    <w:rsid w:val="00737C1D"/>
    <w:rsid w:val="007427A2"/>
    <w:rsid w:val="007461F6"/>
    <w:rsid w:val="007530CA"/>
    <w:rsid w:val="00783A16"/>
    <w:rsid w:val="00785BDB"/>
    <w:rsid w:val="0079553D"/>
    <w:rsid w:val="007B01CC"/>
    <w:rsid w:val="007C3B9E"/>
    <w:rsid w:val="007D6E55"/>
    <w:rsid w:val="007E7ABD"/>
    <w:rsid w:val="007E7C6C"/>
    <w:rsid w:val="007F6238"/>
    <w:rsid w:val="007F646C"/>
    <w:rsid w:val="00801FCD"/>
    <w:rsid w:val="00803D7E"/>
    <w:rsid w:val="00803F08"/>
    <w:rsid w:val="008235CD"/>
    <w:rsid w:val="00823A07"/>
    <w:rsid w:val="00835FEC"/>
    <w:rsid w:val="008513CB"/>
    <w:rsid w:val="00874D9C"/>
    <w:rsid w:val="0089769E"/>
    <w:rsid w:val="008A1810"/>
    <w:rsid w:val="008B0945"/>
    <w:rsid w:val="008B5B5D"/>
    <w:rsid w:val="008C6580"/>
    <w:rsid w:val="008D619F"/>
    <w:rsid w:val="008E0C6F"/>
    <w:rsid w:val="008F12E3"/>
    <w:rsid w:val="00900FE3"/>
    <w:rsid w:val="009128C6"/>
    <w:rsid w:val="00917694"/>
    <w:rsid w:val="00923199"/>
    <w:rsid w:val="009263CD"/>
    <w:rsid w:val="00930E6D"/>
    <w:rsid w:val="00933E83"/>
    <w:rsid w:val="00950B11"/>
    <w:rsid w:val="0095212D"/>
    <w:rsid w:val="00956736"/>
    <w:rsid w:val="00956D90"/>
    <w:rsid w:val="00966977"/>
    <w:rsid w:val="00972CA2"/>
    <w:rsid w:val="009734C8"/>
    <w:rsid w:val="00982B28"/>
    <w:rsid w:val="00984EA5"/>
    <w:rsid w:val="00992593"/>
    <w:rsid w:val="00993746"/>
    <w:rsid w:val="009A4326"/>
    <w:rsid w:val="009A5917"/>
    <w:rsid w:val="009C17E1"/>
    <w:rsid w:val="009C35ED"/>
    <w:rsid w:val="009C4B6C"/>
    <w:rsid w:val="009F1C12"/>
    <w:rsid w:val="00A124CB"/>
    <w:rsid w:val="00A132BE"/>
    <w:rsid w:val="00A2167A"/>
    <w:rsid w:val="00A22EAA"/>
    <w:rsid w:val="00A25A43"/>
    <w:rsid w:val="00A3295B"/>
    <w:rsid w:val="00A3425C"/>
    <w:rsid w:val="00A42AE5"/>
    <w:rsid w:val="00A52B61"/>
    <w:rsid w:val="00A64820"/>
    <w:rsid w:val="00A651E5"/>
    <w:rsid w:val="00A7071A"/>
    <w:rsid w:val="00A71DD6"/>
    <w:rsid w:val="00A723C7"/>
    <w:rsid w:val="00A80E11"/>
    <w:rsid w:val="00A97F94"/>
    <w:rsid w:val="00AA73AD"/>
    <w:rsid w:val="00AB1309"/>
    <w:rsid w:val="00AC2C52"/>
    <w:rsid w:val="00AD1503"/>
    <w:rsid w:val="00AE7244"/>
    <w:rsid w:val="00AF3FEE"/>
    <w:rsid w:val="00AF70F6"/>
    <w:rsid w:val="00B029C7"/>
    <w:rsid w:val="00B02F46"/>
    <w:rsid w:val="00B11DD6"/>
    <w:rsid w:val="00B15F6B"/>
    <w:rsid w:val="00B2000C"/>
    <w:rsid w:val="00B20ADE"/>
    <w:rsid w:val="00B26307"/>
    <w:rsid w:val="00B57C4B"/>
    <w:rsid w:val="00B66B9A"/>
    <w:rsid w:val="00B82089"/>
    <w:rsid w:val="00B86151"/>
    <w:rsid w:val="00B970AE"/>
    <w:rsid w:val="00BA1427"/>
    <w:rsid w:val="00BE49D0"/>
    <w:rsid w:val="00BF2C38"/>
    <w:rsid w:val="00C22D5C"/>
    <w:rsid w:val="00C23331"/>
    <w:rsid w:val="00C265DA"/>
    <w:rsid w:val="00C33321"/>
    <w:rsid w:val="00C373A3"/>
    <w:rsid w:val="00C425A6"/>
    <w:rsid w:val="00C442F2"/>
    <w:rsid w:val="00C5750E"/>
    <w:rsid w:val="00C674FE"/>
    <w:rsid w:val="00C7297D"/>
    <w:rsid w:val="00C75633"/>
    <w:rsid w:val="00C8242E"/>
    <w:rsid w:val="00C82615"/>
    <w:rsid w:val="00C867DB"/>
    <w:rsid w:val="00C90DB8"/>
    <w:rsid w:val="00C938A9"/>
    <w:rsid w:val="00CA2A38"/>
    <w:rsid w:val="00CA50FF"/>
    <w:rsid w:val="00CC3CD2"/>
    <w:rsid w:val="00CC43BE"/>
    <w:rsid w:val="00CC7CE8"/>
    <w:rsid w:val="00CD123C"/>
    <w:rsid w:val="00CD2085"/>
    <w:rsid w:val="00CE2EE1"/>
    <w:rsid w:val="00CF3FFD"/>
    <w:rsid w:val="00CF5ED3"/>
    <w:rsid w:val="00D0237A"/>
    <w:rsid w:val="00D0494C"/>
    <w:rsid w:val="00D1270B"/>
    <w:rsid w:val="00D14BEB"/>
    <w:rsid w:val="00D17D17"/>
    <w:rsid w:val="00D20094"/>
    <w:rsid w:val="00D21C89"/>
    <w:rsid w:val="00D45542"/>
    <w:rsid w:val="00D5155F"/>
    <w:rsid w:val="00D77D0F"/>
    <w:rsid w:val="00DA1CF0"/>
    <w:rsid w:val="00DB2271"/>
    <w:rsid w:val="00DB5659"/>
    <w:rsid w:val="00DB706F"/>
    <w:rsid w:val="00DC24B4"/>
    <w:rsid w:val="00DC5E81"/>
    <w:rsid w:val="00DD7A05"/>
    <w:rsid w:val="00DF16DC"/>
    <w:rsid w:val="00DF5361"/>
    <w:rsid w:val="00DF5E21"/>
    <w:rsid w:val="00E009A1"/>
    <w:rsid w:val="00E00D15"/>
    <w:rsid w:val="00E071BE"/>
    <w:rsid w:val="00E07329"/>
    <w:rsid w:val="00E07379"/>
    <w:rsid w:val="00E14494"/>
    <w:rsid w:val="00E17033"/>
    <w:rsid w:val="00E22744"/>
    <w:rsid w:val="00E32189"/>
    <w:rsid w:val="00E45211"/>
    <w:rsid w:val="00E478D2"/>
    <w:rsid w:val="00E7380C"/>
    <w:rsid w:val="00E74BE7"/>
    <w:rsid w:val="00E75C9D"/>
    <w:rsid w:val="00E86CC9"/>
    <w:rsid w:val="00E96624"/>
    <w:rsid w:val="00EA3B7A"/>
    <w:rsid w:val="00F126F1"/>
    <w:rsid w:val="00F2106A"/>
    <w:rsid w:val="00F34347"/>
    <w:rsid w:val="00F36D8B"/>
    <w:rsid w:val="00F401D0"/>
    <w:rsid w:val="00F45F2B"/>
    <w:rsid w:val="00F57AE4"/>
    <w:rsid w:val="00F67150"/>
    <w:rsid w:val="00F6731B"/>
    <w:rsid w:val="00F709A5"/>
    <w:rsid w:val="00F84366"/>
    <w:rsid w:val="00F84FE8"/>
    <w:rsid w:val="00F85089"/>
    <w:rsid w:val="00F85564"/>
    <w:rsid w:val="00F86CFA"/>
    <w:rsid w:val="00FB26C1"/>
    <w:rsid w:val="00FC7623"/>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80101903-88B9-4C3B-A444-952EEFD06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232"/>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2F7232"/>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2F7232"/>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2F7232"/>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2F7232"/>
    <w:pPr>
      <w:keepNext/>
      <w:keepLines/>
      <w:spacing w:before="180"/>
      <w:ind w:firstLine="1134"/>
    </w:pPr>
    <w:rPr>
      <w:i/>
      <w:iCs/>
    </w:rPr>
  </w:style>
  <w:style w:type="paragraph" w:styleId="Date">
    <w:name w:val="Date"/>
    <w:basedOn w:val="Normal"/>
    <w:next w:val="Normal"/>
    <w:link w:val="DateChar"/>
    <w:uiPriority w:val="99"/>
    <w:unhideWhenUsed/>
    <w:rsid w:val="007E7C6C"/>
    <w:pPr>
      <w:keepNext/>
      <w:keepLines/>
      <w:spacing w:after="240"/>
      <w:jc w:val="right"/>
    </w:pPr>
  </w:style>
  <w:style w:type="character" w:customStyle="1" w:styleId="DateChar">
    <w:name w:val="Date Char"/>
    <w:basedOn w:val="DefaultParagraphFont"/>
    <w:link w:val="Date"/>
    <w:uiPriority w:val="99"/>
    <w:rsid w:val="007E7C6C"/>
    <w:rPr>
      <w:rFonts w:ascii="Times New Roman" w:eastAsia="Times New Roman" w:hAnsi="Times New Roman"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7E7C6C"/>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7E7C6C"/>
    <w:rPr>
      <w:rFonts w:ascii="Times New Roman" w:eastAsia="Times New Roman" w:hAnsi="Times New Roman"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2F7232"/>
    <w:pPr>
      <w:tabs>
        <w:tab w:val="left" w:pos="851"/>
      </w:tabs>
      <w:spacing w:before="80"/>
    </w:pPr>
    <w:rPr>
      <w:b/>
      <w:bCs/>
      <w:lang w:bidi="ar-EG"/>
    </w:rPr>
  </w:style>
  <w:style w:type="paragraph" w:customStyle="1" w:styleId="Proposal">
    <w:name w:val="Proposal"/>
    <w:basedOn w:val="Normal"/>
    <w:next w:val="Normal"/>
    <w:qFormat/>
    <w:rsid w:val="002F7232"/>
    <w:pPr>
      <w:keepNext/>
      <w:keepLines/>
      <w:spacing w:before="240"/>
      <w:outlineLvl w:val="0"/>
    </w:pPr>
    <w:rPr>
      <w:b/>
      <w:bCs/>
      <w:lang w:bidi="ar-EG"/>
    </w:rPr>
  </w:style>
  <w:style w:type="paragraph" w:customStyle="1" w:styleId="Reasons">
    <w:name w:val="Reasons"/>
    <w:basedOn w:val="Normal"/>
    <w:next w:val="Normal"/>
    <w:link w:val="ReasonsChar"/>
    <w:rsid w:val="002F7232"/>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2F7232"/>
  </w:style>
  <w:style w:type="paragraph" w:customStyle="1" w:styleId="Reftitle">
    <w:name w:val="Ref_title"/>
    <w:basedOn w:val="Normal"/>
    <w:qFormat/>
    <w:rsid w:val="002F7232"/>
    <w:pPr>
      <w:keepNext/>
      <w:keepLines/>
      <w:spacing w:before="480" w:after="240"/>
      <w:jc w:val="center"/>
    </w:pPr>
    <w:rPr>
      <w:b/>
      <w:bCs/>
      <w:sz w:val="28"/>
      <w:szCs w:val="40"/>
    </w:rPr>
  </w:style>
  <w:style w:type="paragraph" w:customStyle="1" w:styleId="Source">
    <w:name w:val="Source"/>
    <w:basedOn w:val="Normal"/>
    <w:next w:val="Normal"/>
    <w:rsid w:val="002F7232"/>
    <w:pPr>
      <w:keepNext/>
      <w:keepLines/>
      <w:spacing w:before="840" w:after="240"/>
      <w:jc w:val="center"/>
    </w:pPr>
    <w:rPr>
      <w:b/>
      <w:bCs/>
      <w:snapToGrid w:val="0"/>
      <w:sz w:val="32"/>
      <w:szCs w:val="44"/>
      <w:lang w:bidi="ar-EG"/>
    </w:rPr>
  </w:style>
  <w:style w:type="paragraph" w:customStyle="1" w:styleId="Annexref">
    <w:name w:val="Annex_ref"/>
    <w:qFormat/>
    <w:rsid w:val="002F7232"/>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923199"/>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923199"/>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2F7232"/>
    <w:pPr>
      <w:spacing w:before="80"/>
    </w:pPr>
    <w:rPr>
      <w:lang w:bidi="ar-SY"/>
    </w:rPr>
  </w:style>
  <w:style w:type="character" w:styleId="Hyperlink">
    <w:name w:val="Hyperlink"/>
    <w:basedOn w:val="DefaultParagraphFont"/>
    <w:uiPriority w:val="99"/>
    <w:unhideWhenUsed/>
    <w:rsid w:val="002916BE"/>
    <w:rPr>
      <w:rFonts w:ascii="Times New Roman" w:hAnsi="Times New Roman"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2F7232"/>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2F7232"/>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2F7232"/>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uiPriority w:val="99"/>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uiPriority w:val="99"/>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2F7232"/>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2F7232"/>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2F7232"/>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2F7232"/>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2F7232"/>
    <w:rPr>
      <w:rFonts w:ascii="Calibri" w:hAnsi="Calibri" w:cs="Calibri"/>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2916BE"/>
    <w:pPr>
      <w:keepNext/>
      <w:keepLines/>
      <w:bidi/>
      <w:spacing w:before="120" w:after="360" w:line="192" w:lineRule="auto"/>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F7232"/>
    <w:pPr>
      <w:keepNext/>
      <w:spacing w:after="120"/>
    </w:pPr>
    <w:rPr>
      <w:i/>
      <w:iCs/>
      <w:lang w:bidi="ar-EG"/>
    </w:rPr>
  </w:style>
  <w:style w:type="paragraph" w:customStyle="1" w:styleId="Chaptitle">
    <w:name w:val="Chap_title"/>
    <w:basedOn w:val="Agendaitem"/>
    <w:qFormat/>
    <w:rsid w:val="00923199"/>
    <w:pPr>
      <w:spacing w:after="360"/>
    </w:pPr>
    <w:rPr>
      <w:b/>
      <w:bCs/>
    </w:rPr>
  </w:style>
  <w:style w:type="character" w:styleId="EndnoteReference">
    <w:name w:val="endnote reference"/>
    <w:basedOn w:val="DefaultParagraphFont"/>
    <w:rsid w:val="002F7232"/>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2F7232"/>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923199"/>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2F7232"/>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2F7232"/>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2F7232"/>
  </w:style>
  <w:style w:type="character" w:customStyle="1" w:styleId="RestitleChar">
    <w:name w:val="Res_title Char"/>
    <w:basedOn w:val="AnnextitleChar"/>
    <w:link w:val="Restitle"/>
    <w:rsid w:val="002F7232"/>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2F7232"/>
    <w:pPr>
      <w:keepNext/>
      <w:keepLines/>
      <w:spacing w:before="240" w:after="120"/>
      <w:jc w:val="center"/>
    </w:pPr>
    <w:rPr>
      <w:b/>
      <w:bCs/>
      <w:sz w:val="24"/>
      <w:szCs w:val="32"/>
      <w:lang w:bidi="ar-EG"/>
    </w:rPr>
  </w:style>
  <w:style w:type="character" w:customStyle="1" w:styleId="Section1Char">
    <w:name w:val="Section_1 Char"/>
    <w:link w:val="Section1"/>
    <w:rsid w:val="002F7232"/>
    <w:rPr>
      <w:rFonts w:ascii="Calibri" w:eastAsia="Times New Roman" w:hAnsi="Calibri" w:cs="Traditional Arabic"/>
      <w:b/>
      <w:bCs/>
      <w:sz w:val="24"/>
      <w:szCs w:val="32"/>
      <w:lang w:eastAsia="en-US" w:bidi="ar-EG"/>
    </w:rPr>
  </w:style>
  <w:style w:type="paragraph" w:customStyle="1" w:styleId="Section2">
    <w:name w:val="Section_2"/>
    <w:basedOn w:val="Section1"/>
    <w:rsid w:val="002F7232"/>
    <w:pPr>
      <w:tabs>
        <w:tab w:val="clear" w:pos="1134"/>
        <w:tab w:val="center" w:pos="4820"/>
      </w:tabs>
      <w:bidi w:val="0"/>
      <w:spacing w:before="360"/>
    </w:pPr>
    <w:rPr>
      <w:b w:val="0"/>
      <w:bCs w:val="0"/>
      <w:i/>
      <w:iCs/>
      <w:lang w:val="en-GB" w:bidi="ar-SA"/>
    </w:rPr>
  </w:style>
  <w:style w:type="paragraph" w:customStyle="1" w:styleId="Section3">
    <w:name w:val="Section_3‎"/>
    <w:qFormat/>
    <w:rsid w:val="002F7232"/>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2F7232"/>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923199"/>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923199"/>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923199"/>
    <w:pPr>
      <w:tabs>
        <w:tab w:val="clear" w:pos="1134"/>
      </w:tabs>
      <w:spacing w:line="240" w:lineRule="auto"/>
      <w:ind w:right="-142"/>
      <w:jc w:val="right"/>
    </w:pPr>
    <w:rPr>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2916BE"/>
    <w:pPr>
      <w:keepNext/>
      <w:spacing w:after="120"/>
      <w:jc w:val="center"/>
    </w:pPr>
    <w:rPr>
      <w:rFonts w:ascii="Times New Roman italic" w:hAnsi="Times New Roman italic"/>
      <w:i/>
      <w:iCs/>
    </w:rPr>
  </w:style>
  <w:style w:type="paragraph" w:customStyle="1" w:styleId="Resref">
    <w:name w:val="Res_ref"/>
    <w:basedOn w:val="Recref"/>
    <w:qFormat/>
    <w:rsid w:val="002F7232"/>
    <w:pPr>
      <w:keepLines/>
    </w:pPr>
    <w:rPr>
      <w:rFonts w:ascii="Calibri" w:hAnsi="Calibri"/>
    </w:r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AF7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0">
    <w:name w:val="Annex No"/>
    <w:basedOn w:val="Normal"/>
    <w:qFormat/>
    <w:rsid w:val="00B8615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eastAsiaTheme="minorEastAsia"/>
      <w:sz w:val="26"/>
      <w:szCs w:val="36"/>
      <w:lang w:eastAsia="zh-CN" w:bidi="ar-SY"/>
    </w:rPr>
  </w:style>
  <w:style w:type="paragraph" w:customStyle="1" w:styleId="Annextitle0">
    <w:name w:val="Annex title"/>
    <w:basedOn w:val="AnnexNo0"/>
    <w:qFormat/>
    <w:rsid w:val="00B86151"/>
    <w:pPr>
      <w:keepNext/>
      <w:keepLines/>
      <w:spacing w:before="120" w:after="360"/>
    </w:pPr>
    <w:rPr>
      <w:b/>
      <w:bCs/>
      <w:sz w:val="28"/>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096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u.int/rec/R-REC-SM.1880/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tu.int/md/R15-SG01-C/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en/ITU-T/ipr/Pages/policy.aspx"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itu.int/pub/R-REC"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u.int/rec/R-REC-SM.1880/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de10a323-94a9-4e93-88b4-ea964576960d">Documents Proposals Manager (DPM)</DPM_x0020_Author>
    <DPM_x0020_File_x0020_name xmlns="de10a323-94a9-4e93-88b4-ea964576960d">T13-WTSA.16-C-0000!!MSW-A</DPM_x0020_File_x0020_name>
    <DPM_x0020_Version xmlns="de10a323-94a9-4e93-88b4-ea964576960d">DPM_v2016.12.12.1_prod</DPM_x0020_Vers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www.w3.org/XML/1998/namespace"/>
    <ds:schemaRef ds:uri="http://schemas.microsoft.com/office/2006/documentManagement/types"/>
    <ds:schemaRef ds:uri="http://purl.org/dc/terms/"/>
    <ds:schemaRef ds:uri="996b2e75-67fd-4955-a3b0-5ab9934cb50b"/>
    <ds:schemaRef ds:uri="http://purl.org/dc/elements/1.1/"/>
    <ds:schemaRef ds:uri="http://schemas.openxmlformats.org/package/2006/metadata/core-properties"/>
    <ds:schemaRef ds:uri="de10a323-94a9-4e93-88b4-ea964576960d"/>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8201262B-D445-43F6-914C-71B447919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845</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T13-WTSA.16-C-0000!!MSW-A</vt:lpstr>
    </vt:vector>
  </TitlesOfParts>
  <Company>International Telecommunication Union (ITU)</Company>
  <LinksUpToDate>false</LinksUpToDate>
  <CharactersWithSpaces>5651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T13-WTSA.16-C-0000!!MSW-A</dc:title>
  <dc:subject>World Telecommunication Standardization Assembly</dc:subject>
  <dc:creator>Gergis, Mina</dc:creator>
  <cp:keywords>DPM_v2016.12.12.1_prod</cp:keywords>
  <dc:description>Template used by DPM and CPI for the WTSA-16</dc:description>
  <cp:lastModifiedBy>^_^</cp:lastModifiedBy>
  <cp:revision>4</cp:revision>
  <cp:lastPrinted>2016-06-07T13:25:00Z</cp:lastPrinted>
  <dcterms:created xsi:type="dcterms:W3CDTF">2017-07-05T07:39:00Z</dcterms:created>
  <dcterms:modified xsi:type="dcterms:W3CDTF">2017-07-05T07:39:00Z</dcterms:modified>
  <cp:category>Conference document</cp:category>
</cp:coreProperties>
</file>