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666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0D1EDC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0D1E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proofErr w:type="spellStart"/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proofErr w:type="spellEnd"/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0D1EDC">
              <w:rPr>
                <w:rFonts w:eastAsiaTheme="minorEastAsia"/>
                <w:b/>
                <w:bCs/>
                <w:lang w:eastAsia="zh-CN" w:bidi="ar-SY"/>
              </w:rPr>
              <w:t>894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CE2B2D" w:rsidP="000D1E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0D1EDC">
              <w:rPr>
                <w:rFonts w:eastAsiaTheme="minorEastAsia" w:hint="cs"/>
                <w:rtl/>
                <w:lang w:eastAsia="zh-CN" w:bidi="ar-SY"/>
              </w:rPr>
              <w:t xml:space="preserve">أبريل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0D1EDC" w:rsidRPr="00AF70F6" w:rsidTr="0029677E">
        <w:tc>
          <w:tcPr>
            <w:tcW w:w="5000" w:type="pct"/>
            <w:gridSpan w:val="3"/>
            <w:shd w:val="clear" w:color="auto" w:fill="auto"/>
          </w:tcPr>
          <w:p w:rsidR="000D1EDC" w:rsidRPr="00F36590" w:rsidRDefault="000D1EDC" w:rsidP="000D1EDC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551EB">
              <w:rPr>
                <w:b/>
                <w:bCs/>
                <w:spacing w:val="6"/>
                <w:rtl/>
              </w:rPr>
              <w:t>إلى إدارات الدول الأعضاء في الات</w:t>
            </w:r>
            <w:r w:rsidRPr="004551EB">
              <w:rPr>
                <w:rFonts w:hint="cs"/>
                <w:b/>
                <w:bCs/>
                <w:spacing w:val="6"/>
                <w:rtl/>
              </w:rPr>
              <w:t>‍</w:t>
            </w:r>
            <w:r w:rsidRPr="004551EB">
              <w:rPr>
                <w:b/>
                <w:bCs/>
                <w:spacing w:val="6"/>
                <w:rtl/>
              </w:rPr>
              <w:t>حاد وأعضاء قطاع الاتصالات الراديوية</w:t>
            </w:r>
            <w:r w:rsidRPr="004551EB">
              <w:rPr>
                <w:rFonts w:hint="cs"/>
                <w:b/>
                <w:bCs/>
                <w:spacing w:val="6"/>
                <w:rtl/>
              </w:rPr>
              <w:t xml:space="preserve"> و</w:t>
            </w:r>
            <w:r w:rsidRPr="004551EB">
              <w:rPr>
                <w:b/>
                <w:bCs/>
                <w:spacing w:val="6"/>
                <w:rtl/>
              </w:rPr>
              <w:t>ال</w:t>
            </w:r>
            <w:r w:rsidRPr="004551EB">
              <w:rPr>
                <w:rFonts w:hint="cs"/>
                <w:b/>
                <w:bCs/>
                <w:spacing w:val="6"/>
                <w:rtl/>
              </w:rPr>
              <w:t>‍</w:t>
            </w:r>
            <w:r w:rsidRPr="004551EB">
              <w:rPr>
                <w:b/>
                <w:bCs/>
                <w:spacing w:val="6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0D1EDC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0D1EDC" w:rsidRPr="00F36590" w:rsidRDefault="000D1EDC" w:rsidP="000D1EDC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D1EDC" w:rsidRPr="00DD65EB" w:rsidRDefault="000D1EDC" w:rsidP="000D1EDC">
            <w:pPr>
              <w:spacing w:before="60" w:after="60"/>
              <w:rPr>
                <w:b/>
                <w:bCs/>
                <w:spacing w:val="-2"/>
                <w:rtl/>
                <w:lang w:bidi="ar-EG"/>
              </w:rPr>
            </w:pP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لجنة الدراسات </w:t>
            </w:r>
            <w:r w:rsidRPr="00DD65EB">
              <w:rPr>
                <w:b/>
                <w:bCs/>
                <w:spacing w:val="-2"/>
                <w:lang w:bidi="ar-SY"/>
              </w:rPr>
              <w:t>6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 للاتصالات الراديوي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ة (</w:t>
            </w:r>
            <w:r w:rsidRPr="00DD65EB">
              <w:rPr>
                <w:b/>
                <w:bCs/>
                <w:spacing w:val="-2"/>
                <w:rtl/>
              </w:rPr>
              <w:t>الخدمة الإذاعية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)</w:t>
            </w:r>
          </w:p>
          <w:p w:rsidR="000D1EDC" w:rsidRPr="00DD65EB" w:rsidRDefault="000D1EDC" w:rsidP="00C91030">
            <w:pPr>
              <w:tabs>
                <w:tab w:val="left" w:pos="386"/>
              </w:tabs>
              <w:spacing w:before="60" w:after="60"/>
              <w:ind w:left="386" w:hanging="386"/>
              <w:rPr>
                <w:b/>
                <w:bCs/>
                <w:spacing w:val="-2"/>
                <w:highlight w:val="yellow"/>
                <w:lang w:bidi="ar-SY"/>
              </w:rPr>
            </w:pP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ab/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اقتراح 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>اعتماد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="00DD65EB"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مشروعي توصيتين جديدتين</w:t>
            </w:r>
            <w:r w:rsidRPr="00DD65EB">
              <w:rPr>
                <w:rFonts w:hint="cs"/>
                <w:b/>
                <w:bCs/>
                <w:spacing w:val="-2"/>
                <w:rtl/>
              </w:rPr>
              <w:t xml:space="preserve"> جديدة 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لقطاع الاتصالات الراديوية </w:t>
            </w:r>
            <w:r w:rsidR="00DD65EB" w:rsidRPr="00DD65EB">
              <w:rPr>
                <w:rFonts w:hint="cs"/>
                <w:b/>
                <w:bCs/>
                <w:spacing w:val="-2"/>
                <w:rtl/>
              </w:rPr>
              <w:t>ومشاريع مراجعة</w:t>
            </w:r>
            <w:r w:rsidR="00C91030">
              <w:rPr>
                <w:rFonts w:hint="eastAsia"/>
                <w:b/>
                <w:bCs/>
                <w:spacing w:val="-2"/>
                <w:rtl/>
              </w:rPr>
              <w:t> </w:t>
            </w:r>
            <w:r w:rsidR="00DD65EB" w:rsidRPr="00DD65EB">
              <w:rPr>
                <w:b/>
                <w:bCs/>
                <w:spacing w:val="-2"/>
              </w:rPr>
              <w:t>4</w:t>
            </w:r>
            <w:r w:rsidR="00DD65EB"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توصيات</w:t>
            </w:r>
            <w:r w:rsidRPr="00DD65EB">
              <w:rPr>
                <w:rFonts w:hint="cs"/>
                <w:b/>
                <w:bCs/>
                <w:spacing w:val="-2"/>
                <w:rtl/>
              </w:rPr>
              <w:t xml:space="preserve"> لقطاع الاتصالات الراديوية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 والموافقة عليها في</w:t>
            </w:r>
            <w:r w:rsidRPr="00DD65EB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>نفس الوقت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بالمراسلة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 وفقاً للفقرة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 </w:t>
            </w:r>
            <w:proofErr w:type="spellStart"/>
            <w:r w:rsidRPr="00DD65EB">
              <w:rPr>
                <w:b/>
                <w:bCs/>
                <w:spacing w:val="-2"/>
                <w:lang w:val="fr-FR" w:bidi="ar-SY"/>
              </w:rPr>
              <w:t>4.2.6.A2</w:t>
            </w:r>
            <w:proofErr w:type="spellEnd"/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 من القرار </w:t>
            </w:r>
            <w:r w:rsidRPr="00DD65EB">
              <w:rPr>
                <w:b/>
                <w:bCs/>
                <w:spacing w:val="-2"/>
                <w:lang w:val="fr-FR" w:bidi="ar-SY"/>
              </w:rPr>
              <w:t>ITU-R 1-7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 (إجراء الاعتماد والموافقة في</w:t>
            </w:r>
            <w:r w:rsidRPr="00DD65EB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 xml:space="preserve">نفس الوقت </w:t>
            </w:r>
            <w:r w:rsidRPr="00DD65EB">
              <w:rPr>
                <w:rFonts w:hint="cs"/>
                <w:b/>
                <w:bCs/>
                <w:spacing w:val="-2"/>
                <w:rtl/>
                <w:lang w:bidi="ar-EG"/>
              </w:rPr>
              <w:t>عن طريق المراسلة</w:t>
            </w:r>
            <w:r w:rsidRPr="00DD65EB">
              <w:rPr>
                <w:b/>
                <w:bCs/>
                <w:spacing w:val="-2"/>
                <w:rtl/>
                <w:lang w:bidi="ar-EG"/>
              </w:rPr>
              <w:t>)</w:t>
            </w:r>
          </w:p>
        </w:tc>
      </w:tr>
    </w:tbl>
    <w:p w:rsidR="000D1EDC" w:rsidRDefault="000D1EDC" w:rsidP="00A666B8">
      <w:pPr>
        <w:spacing w:before="600"/>
        <w:rPr>
          <w:rtl/>
          <w:lang w:bidi="ar-EG"/>
        </w:rPr>
      </w:pPr>
      <w:r w:rsidRPr="00DD65EB">
        <w:rPr>
          <w:rtl/>
          <w:lang w:bidi="ar-EG"/>
        </w:rPr>
        <w:t xml:space="preserve">قررت </w:t>
      </w:r>
      <w:r w:rsidR="00B52366" w:rsidRPr="00DD65EB">
        <w:rPr>
          <w:rFonts w:hint="cs"/>
          <w:rtl/>
          <w:lang w:bidi="ar-EG"/>
        </w:rPr>
        <w:t>لجنة</w:t>
      </w:r>
      <w:r w:rsidRPr="00DD65EB">
        <w:rPr>
          <w:rtl/>
          <w:lang w:bidi="ar-EG"/>
        </w:rPr>
        <w:t xml:space="preserve"> الدراسات</w:t>
      </w:r>
      <w:r w:rsidRPr="00DD65EB">
        <w:rPr>
          <w:rFonts w:hint="cs"/>
          <w:rtl/>
          <w:lang w:bidi="ar-EG"/>
        </w:rPr>
        <w:t> </w:t>
      </w:r>
      <w:r w:rsidRPr="00DD65EB">
        <w:rPr>
          <w:lang w:val="en-GB"/>
        </w:rPr>
        <w:t>6</w:t>
      </w:r>
      <w:r w:rsidRPr="00DD65EB">
        <w:rPr>
          <w:rtl/>
          <w:lang w:bidi="ar-EG"/>
        </w:rPr>
        <w:t xml:space="preserve"> للاتصالات الراديوية في اجتماعها </w:t>
      </w:r>
      <w:r w:rsidR="00B52366" w:rsidRPr="00DD65EB">
        <w:rPr>
          <w:rFonts w:hint="cs"/>
          <w:rtl/>
          <w:lang w:bidi="ar-EG"/>
        </w:rPr>
        <w:t>المنعقد</w:t>
      </w:r>
      <w:r w:rsidRPr="00DD65EB">
        <w:rPr>
          <w:rtl/>
          <w:lang w:bidi="ar-EG"/>
        </w:rPr>
        <w:t xml:space="preserve"> </w:t>
      </w:r>
      <w:r w:rsidRPr="00DD65EB">
        <w:rPr>
          <w:rFonts w:hint="cs"/>
          <w:rtl/>
          <w:lang w:bidi="ar-EG"/>
        </w:rPr>
        <w:t xml:space="preserve">في </w:t>
      </w:r>
      <w:r w:rsidRPr="00DD65EB">
        <w:rPr>
          <w:lang w:bidi="ar-EG"/>
        </w:rPr>
        <w:t>5</w:t>
      </w:r>
      <w:r w:rsidRPr="00DD65EB">
        <w:rPr>
          <w:rFonts w:hint="cs"/>
          <w:rtl/>
          <w:lang w:bidi="ar-EG"/>
        </w:rPr>
        <w:t xml:space="preserve"> أبريل </w:t>
      </w:r>
      <w:r w:rsidRPr="00DD65EB">
        <w:rPr>
          <w:lang w:bidi="ar-EG"/>
        </w:rPr>
        <w:t>2019</w:t>
      </w:r>
      <w:r w:rsidRPr="00DD65EB">
        <w:rPr>
          <w:rFonts w:hint="cs"/>
          <w:rtl/>
          <w:lang w:bidi="ar-EG"/>
        </w:rPr>
        <w:t xml:space="preserve"> </w:t>
      </w:r>
      <w:r w:rsidRPr="00DD65EB">
        <w:rPr>
          <w:rtl/>
          <w:lang w:bidi="ar-EG"/>
        </w:rPr>
        <w:t>أن تلتمس اعتماد</w:t>
      </w:r>
      <w:r w:rsidR="00DD65EB" w:rsidRPr="00DD65EB">
        <w:rPr>
          <w:rFonts w:hint="cs"/>
          <w:rtl/>
          <w:lang w:bidi="ar-EG"/>
        </w:rPr>
        <w:t xml:space="preserve"> مشروعي توصيتين جديدتين ومشاريع مراجعة </w:t>
      </w:r>
      <w:r w:rsidR="00DD65EB" w:rsidRPr="00DD65EB">
        <w:rPr>
          <w:lang w:bidi="ar-EG"/>
        </w:rPr>
        <w:t>4</w:t>
      </w:r>
      <w:r w:rsidR="00DD65EB" w:rsidRPr="00DD65EB">
        <w:rPr>
          <w:rFonts w:hint="cs"/>
          <w:rtl/>
          <w:lang w:bidi="ar-EG"/>
        </w:rPr>
        <w:t xml:space="preserve"> توصيات</w:t>
      </w:r>
      <w:r w:rsidRPr="00DD65EB">
        <w:rPr>
          <w:rFonts w:hint="cs"/>
          <w:rtl/>
          <w:lang w:bidi="ar-EG"/>
        </w:rPr>
        <w:t xml:space="preserve"> لقطاع الاتصالات الراديوية عن طريق </w:t>
      </w:r>
      <w:r w:rsidR="00B52366" w:rsidRPr="00DD65EB">
        <w:rPr>
          <w:rFonts w:hint="cs"/>
          <w:rtl/>
          <w:lang w:bidi="ar-EG"/>
        </w:rPr>
        <w:t>المراسلة</w:t>
      </w:r>
      <w:r w:rsidRPr="00DD65EB">
        <w:rPr>
          <w:rFonts w:hint="cs"/>
          <w:rtl/>
          <w:lang w:bidi="ar-EG"/>
        </w:rPr>
        <w:t xml:space="preserve"> (الفقرة</w:t>
      </w:r>
      <w:r w:rsidRPr="00DD65EB">
        <w:rPr>
          <w:rFonts w:hint="eastAsia"/>
          <w:rtl/>
          <w:lang w:bidi="ar-EG"/>
        </w:rPr>
        <w:t> </w:t>
      </w:r>
      <w:proofErr w:type="spellStart"/>
      <w:r w:rsidRPr="00DD65EB">
        <w:t>2.6.A2</w:t>
      </w:r>
      <w:proofErr w:type="spellEnd"/>
      <w:r w:rsidRPr="00DD65EB">
        <w:rPr>
          <w:rFonts w:hint="cs"/>
          <w:rtl/>
          <w:lang w:bidi="ar-EG"/>
        </w:rPr>
        <w:t xml:space="preserve"> من القرار </w:t>
      </w:r>
      <w:r w:rsidRPr="00DD65EB">
        <w:t>ITU</w:t>
      </w:r>
      <w:r w:rsidRPr="00DD65EB">
        <w:noBreakHyphen/>
        <w:t>R 1</w:t>
      </w:r>
      <w:r w:rsidRPr="00DD65EB">
        <w:noBreakHyphen/>
        <w:t>7</w:t>
      </w:r>
      <w:r w:rsidRPr="00DD65EB">
        <w:rPr>
          <w:rFonts w:hint="cs"/>
          <w:rtl/>
          <w:lang w:bidi="ar-EG"/>
        </w:rPr>
        <w:t>) وقررت</w:t>
      </w:r>
      <w:r w:rsidR="00C91030">
        <w:rPr>
          <w:rFonts w:hint="eastAsia"/>
          <w:rtl/>
          <w:lang w:bidi="ar-EG"/>
        </w:rPr>
        <w:t> </w:t>
      </w:r>
      <w:r w:rsidRPr="00DD65EB">
        <w:rPr>
          <w:rFonts w:hint="cs"/>
          <w:rtl/>
          <w:lang w:bidi="ar-EG"/>
        </w:rPr>
        <w:t xml:space="preserve">كذلك تطبيق إجراء الاعتماد </w:t>
      </w:r>
      <w:r w:rsidR="00B52366" w:rsidRPr="00DD65EB">
        <w:rPr>
          <w:rFonts w:hint="cs"/>
          <w:rtl/>
          <w:lang w:bidi="ar-EG"/>
        </w:rPr>
        <w:t>والموافقة</w:t>
      </w:r>
      <w:r w:rsidRPr="00DD65EB">
        <w:rPr>
          <w:rFonts w:hint="cs"/>
          <w:rtl/>
          <w:lang w:bidi="ar-EG"/>
        </w:rPr>
        <w:t xml:space="preserve"> في نفس الوقت عن طريق </w:t>
      </w:r>
      <w:r w:rsidR="00B52366" w:rsidRPr="00DD65EB">
        <w:rPr>
          <w:rFonts w:hint="cs"/>
          <w:rtl/>
          <w:lang w:bidi="ar-EG"/>
        </w:rPr>
        <w:t>المراسلة</w:t>
      </w:r>
      <w:r w:rsidRPr="00DD65EB">
        <w:rPr>
          <w:rFonts w:hint="eastAsia"/>
          <w:rtl/>
          <w:lang w:bidi="ar-EG"/>
        </w:rPr>
        <w:t> </w:t>
      </w:r>
      <w:r w:rsidRPr="00DD65EB">
        <w:t>(</w:t>
      </w:r>
      <w:proofErr w:type="spellStart"/>
      <w:r w:rsidRPr="00DD65EB">
        <w:t>PSAA</w:t>
      </w:r>
      <w:proofErr w:type="spellEnd"/>
      <w:r w:rsidRPr="00DD65EB">
        <w:t>)</w:t>
      </w:r>
      <w:r w:rsidRPr="00DD65EB">
        <w:rPr>
          <w:rFonts w:hint="cs"/>
          <w:rtl/>
          <w:lang w:bidi="ar-EG"/>
        </w:rPr>
        <w:t xml:space="preserve"> (الفقرة </w:t>
      </w:r>
      <w:proofErr w:type="spellStart"/>
      <w:r w:rsidRPr="00DD65EB">
        <w:t>4.2.6.A2</w:t>
      </w:r>
      <w:proofErr w:type="spellEnd"/>
      <w:r w:rsidRPr="00DD65EB">
        <w:rPr>
          <w:rFonts w:hint="cs"/>
          <w:rtl/>
          <w:lang w:bidi="ar-EG"/>
        </w:rPr>
        <w:t xml:space="preserve"> من القرار </w:t>
      </w:r>
      <w:r w:rsidRPr="00DD65EB">
        <w:t>ITU</w:t>
      </w:r>
      <w:r w:rsidRPr="00DD65EB">
        <w:noBreakHyphen/>
        <w:t>R 1</w:t>
      </w:r>
      <w:r w:rsidRPr="00DD65EB">
        <w:noBreakHyphen/>
        <w:t>7</w:t>
      </w:r>
      <w:r w:rsidRPr="00DD65EB">
        <w:rPr>
          <w:rFonts w:hint="cs"/>
          <w:rtl/>
          <w:lang w:bidi="ar-EG"/>
        </w:rPr>
        <w:t>). ويرد في</w:t>
      </w:r>
      <w:r w:rsidR="00C91030">
        <w:rPr>
          <w:rFonts w:hint="eastAsia"/>
          <w:rtl/>
          <w:lang w:bidi="ar-EG"/>
        </w:rPr>
        <w:t> </w:t>
      </w:r>
      <w:r w:rsidR="00B52366" w:rsidRPr="00DD65EB">
        <w:rPr>
          <w:rFonts w:hint="cs"/>
          <w:rtl/>
        </w:rPr>
        <w:t>الملحق</w:t>
      </w:r>
      <w:r w:rsidRPr="00DD65EB">
        <w:rPr>
          <w:rFonts w:hint="cs"/>
          <w:rtl/>
        </w:rPr>
        <w:t xml:space="preserve"> بهذه الرسالة</w:t>
      </w:r>
      <w:r w:rsidRPr="00DD65EB">
        <w:rPr>
          <w:rFonts w:hint="cs"/>
          <w:rtl/>
          <w:lang w:bidi="ar-EG"/>
        </w:rPr>
        <w:t xml:space="preserve"> </w:t>
      </w:r>
      <w:r w:rsidR="00DD65EB" w:rsidRPr="00DD65EB">
        <w:rPr>
          <w:rFonts w:hint="cs"/>
          <w:rtl/>
          <w:lang w:bidi="ar-EG"/>
        </w:rPr>
        <w:t>عناوين وملخصات مشاريع التوصيات.</w:t>
      </w:r>
      <w:r w:rsidRPr="00DD65EB">
        <w:rPr>
          <w:rFonts w:hint="cs"/>
          <w:rtl/>
          <w:lang w:bidi="ar-EG"/>
        </w:rPr>
        <w:t xml:space="preserve"> ويرجى من أي دولة عضو تعترض على اعتماد مشروع توصية أن </w:t>
      </w:r>
      <w:r w:rsidR="00B52366" w:rsidRPr="00DD65EB">
        <w:rPr>
          <w:rFonts w:hint="cs"/>
          <w:rtl/>
          <w:lang w:bidi="ar-EG"/>
        </w:rPr>
        <w:t>تخبر</w:t>
      </w:r>
      <w:r w:rsidRPr="00DD65EB">
        <w:rPr>
          <w:rFonts w:hint="cs"/>
          <w:rtl/>
          <w:lang w:bidi="ar-EG"/>
        </w:rPr>
        <w:t xml:space="preserve"> </w:t>
      </w:r>
      <w:r w:rsidR="00B52366" w:rsidRPr="00DD65EB">
        <w:rPr>
          <w:rFonts w:hint="cs"/>
          <w:rtl/>
          <w:lang w:bidi="ar-EG"/>
        </w:rPr>
        <w:t>المدير</w:t>
      </w:r>
      <w:r w:rsidRPr="00DD65EB">
        <w:rPr>
          <w:rFonts w:hint="cs"/>
          <w:rtl/>
          <w:lang w:bidi="ar-EG"/>
        </w:rPr>
        <w:t xml:space="preserve"> ورئيس </w:t>
      </w:r>
      <w:r w:rsidR="00B52366" w:rsidRPr="00DD65EB">
        <w:rPr>
          <w:rFonts w:hint="cs"/>
          <w:rtl/>
          <w:lang w:bidi="ar-EG"/>
        </w:rPr>
        <w:t>لجنة</w:t>
      </w:r>
      <w:r w:rsidRPr="00DD65EB">
        <w:rPr>
          <w:rFonts w:hint="cs"/>
          <w:rtl/>
          <w:lang w:bidi="ar-EG"/>
        </w:rPr>
        <w:t xml:space="preserve"> الدراسات بأسباب</w:t>
      </w:r>
      <w:r w:rsidRPr="00DD65EB">
        <w:rPr>
          <w:rFonts w:hint="eastAsia"/>
          <w:rtl/>
          <w:lang w:bidi="ar-EG"/>
        </w:rPr>
        <w:t> </w:t>
      </w:r>
      <w:r w:rsidRPr="00DD65EB">
        <w:rPr>
          <w:rFonts w:hint="cs"/>
          <w:rtl/>
          <w:lang w:bidi="ar-EG"/>
        </w:rPr>
        <w:t>اعتراضها.</w:t>
      </w:r>
    </w:p>
    <w:p w:rsidR="000D1EDC" w:rsidRPr="002841F3" w:rsidRDefault="00B52366" w:rsidP="00CE2B2D">
      <w:pPr>
        <w:rPr>
          <w:spacing w:val="2"/>
          <w:rtl/>
          <w:lang w:bidi="ar-EG"/>
        </w:rPr>
      </w:pPr>
      <w:r w:rsidRPr="002841F3">
        <w:rPr>
          <w:rFonts w:hint="cs"/>
          <w:spacing w:val="2"/>
          <w:rtl/>
          <w:lang w:bidi="ar-EG"/>
        </w:rPr>
        <w:t>وت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تد</w:t>
      </w:r>
      <w:r w:rsidR="000D1EDC" w:rsidRPr="002841F3">
        <w:rPr>
          <w:spacing w:val="2"/>
          <w:rtl/>
          <w:lang w:bidi="ar-EG"/>
        </w:rPr>
        <w:t xml:space="preserve"> فترة النظر </w:t>
      </w:r>
      <w:r w:rsidRPr="002841F3">
        <w:rPr>
          <w:rFonts w:hint="cs"/>
          <w:spacing w:val="2"/>
          <w:rtl/>
          <w:lang w:bidi="ar-EG"/>
        </w:rPr>
        <w:t>ل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دة</w:t>
      </w:r>
      <w:r w:rsidR="000D1EDC" w:rsidRPr="002841F3">
        <w:rPr>
          <w:rFonts w:hint="cs"/>
          <w:spacing w:val="2"/>
          <w:rtl/>
          <w:lang w:bidi="ar-EG"/>
        </w:rPr>
        <w:t xml:space="preserve"> شهرين </w:t>
      </w:r>
      <w:r w:rsidR="000D1EDC" w:rsidRPr="002841F3">
        <w:rPr>
          <w:spacing w:val="2"/>
          <w:rtl/>
          <w:lang w:bidi="ar-EG"/>
        </w:rPr>
        <w:t>تنتهي في</w:t>
      </w:r>
      <w:r w:rsidR="000D1EDC" w:rsidRPr="002841F3">
        <w:rPr>
          <w:rFonts w:hint="cs"/>
          <w:spacing w:val="2"/>
          <w:rtl/>
          <w:lang w:bidi="ar-EG"/>
        </w:rPr>
        <w:t xml:space="preserve"> </w:t>
      </w:r>
      <w:r w:rsidR="00CE2B2D">
        <w:rPr>
          <w:spacing w:val="2"/>
          <w:u w:val="single"/>
          <w:lang w:bidi="ar-EG"/>
        </w:rPr>
        <w:t>24</w:t>
      </w:r>
      <w:bookmarkStart w:id="0" w:name="_GoBack"/>
      <w:bookmarkEnd w:id="0"/>
      <w:r w:rsidR="000D1EDC">
        <w:rPr>
          <w:rFonts w:hint="cs"/>
          <w:spacing w:val="2"/>
          <w:u w:val="single"/>
          <w:rtl/>
          <w:lang w:bidi="ar-EG"/>
        </w:rPr>
        <w:t xml:space="preserve"> يونيو </w:t>
      </w:r>
      <w:r w:rsidR="000D1EDC">
        <w:rPr>
          <w:spacing w:val="2"/>
          <w:u w:val="single"/>
          <w:lang w:bidi="ar-EG"/>
        </w:rPr>
        <w:t>2019</w:t>
      </w:r>
      <w:r w:rsidR="000D1EDC" w:rsidRPr="002841F3">
        <w:rPr>
          <w:spacing w:val="2"/>
          <w:rtl/>
          <w:lang w:bidi="ar-EG"/>
        </w:rPr>
        <w:t xml:space="preserve">. وإذا </w:t>
      </w:r>
      <w:r w:rsidRPr="002841F3">
        <w:rPr>
          <w:rFonts w:hint="cs"/>
          <w:spacing w:val="2"/>
          <w:rtl/>
          <w:lang w:bidi="ar-EG"/>
        </w:rPr>
        <w:t>ل</w:t>
      </w:r>
      <w:r>
        <w:rPr>
          <w:rFonts w:hint="cs"/>
          <w:spacing w:val="2"/>
          <w:rtl/>
          <w:lang w:bidi="ar-EG"/>
        </w:rPr>
        <w:t>م</w:t>
      </w:r>
      <w:r w:rsidR="000D1EDC" w:rsidRPr="002841F3">
        <w:rPr>
          <w:spacing w:val="2"/>
          <w:rtl/>
          <w:lang w:bidi="ar-EG"/>
        </w:rPr>
        <w:t xml:space="preserve"> ترد أي اعتراضات من الدول الأعضاء خلال هذه</w:t>
      </w:r>
      <w:r w:rsidR="00C91030">
        <w:rPr>
          <w:rFonts w:hint="cs"/>
          <w:spacing w:val="2"/>
          <w:rtl/>
          <w:lang w:bidi="ar-EG"/>
        </w:rPr>
        <w:t> </w:t>
      </w:r>
      <w:r w:rsidR="000D1EDC" w:rsidRPr="002841F3">
        <w:rPr>
          <w:spacing w:val="2"/>
          <w:rtl/>
          <w:lang w:bidi="ar-EG"/>
        </w:rPr>
        <w:t>الفترة فإن</w:t>
      </w:r>
      <w:r>
        <w:rPr>
          <w:rFonts w:hint="cs"/>
          <w:spacing w:val="2"/>
          <w:rtl/>
          <w:lang w:bidi="ar-EG"/>
        </w:rPr>
        <w:t> </w:t>
      </w:r>
      <w:r w:rsidR="000D1EDC" w:rsidRPr="002841F3">
        <w:rPr>
          <w:rFonts w:hint="cs"/>
          <w:spacing w:val="2"/>
          <w:rtl/>
          <w:lang w:bidi="ar-EG"/>
        </w:rPr>
        <w:t>مشاريع التوصيات تعتبر قد اعتمدتها</w:t>
      </w:r>
      <w:r w:rsidR="000D1EDC" w:rsidRPr="002841F3">
        <w:rPr>
          <w:spacing w:val="2"/>
          <w:rtl/>
          <w:lang w:bidi="ar-EG"/>
        </w:rPr>
        <w:t xml:space="preserve"> </w:t>
      </w:r>
      <w:r w:rsidRPr="002841F3">
        <w:rPr>
          <w:rFonts w:hint="cs"/>
          <w:spacing w:val="2"/>
          <w:rtl/>
          <w:lang w:bidi="ar-EG"/>
        </w:rPr>
        <w:t>ل</w:t>
      </w:r>
      <w:r>
        <w:rPr>
          <w:rFonts w:hint="cs"/>
          <w:spacing w:val="2"/>
          <w:rtl/>
          <w:lang w:bidi="ar-EG"/>
        </w:rPr>
        <w:t>ج</w:t>
      </w:r>
      <w:r w:rsidRPr="002841F3">
        <w:rPr>
          <w:rFonts w:hint="cs"/>
          <w:spacing w:val="2"/>
          <w:rtl/>
          <w:lang w:bidi="ar-EG"/>
        </w:rPr>
        <w:t>نة</w:t>
      </w:r>
      <w:r w:rsidR="000D1EDC" w:rsidRPr="002841F3">
        <w:rPr>
          <w:spacing w:val="2"/>
          <w:rtl/>
          <w:lang w:bidi="ar-EG"/>
        </w:rPr>
        <w:t xml:space="preserve"> الدراسات</w:t>
      </w:r>
      <w:r w:rsidR="000D1EDC" w:rsidRPr="002841F3">
        <w:rPr>
          <w:rFonts w:hint="eastAsia"/>
          <w:spacing w:val="2"/>
          <w:rtl/>
          <w:lang w:bidi="ar-EG"/>
        </w:rPr>
        <w:t> </w:t>
      </w:r>
      <w:r w:rsidR="00D1645B">
        <w:rPr>
          <w:spacing w:val="2"/>
        </w:rPr>
        <w:t>6</w:t>
      </w:r>
      <w:r w:rsidR="000D1EDC" w:rsidRPr="002841F3">
        <w:rPr>
          <w:spacing w:val="2"/>
          <w:rtl/>
          <w:lang w:bidi="ar-EG"/>
        </w:rPr>
        <w:t xml:space="preserve">. </w:t>
      </w:r>
      <w:r w:rsidR="000D1EDC" w:rsidRPr="002841F3">
        <w:rPr>
          <w:rFonts w:hint="cs"/>
          <w:spacing w:val="2"/>
          <w:rtl/>
          <w:lang w:bidi="ar-EG"/>
        </w:rPr>
        <w:t>وعلاوة</w:t>
      </w:r>
      <w:r w:rsidR="000D1EDC">
        <w:rPr>
          <w:rFonts w:hint="cs"/>
          <w:spacing w:val="2"/>
          <w:rtl/>
          <w:lang w:bidi="ar-EG"/>
        </w:rPr>
        <w:t>ً</w:t>
      </w:r>
      <w:r w:rsidR="000D1EDC" w:rsidRPr="002841F3">
        <w:rPr>
          <w:rFonts w:hint="cs"/>
          <w:spacing w:val="2"/>
          <w:rtl/>
          <w:lang w:bidi="ar-EG"/>
        </w:rPr>
        <w:t xml:space="preserve"> على</w:t>
      </w:r>
      <w:r w:rsidR="000D1EDC" w:rsidRPr="002841F3">
        <w:rPr>
          <w:spacing w:val="2"/>
          <w:rtl/>
          <w:lang w:bidi="ar-EG"/>
        </w:rPr>
        <w:t xml:space="preserve"> ذلك، </w:t>
      </w:r>
      <w:r w:rsidRPr="002841F3">
        <w:rPr>
          <w:rFonts w:hint="cs"/>
          <w:spacing w:val="2"/>
          <w:rtl/>
          <w:lang w:bidi="ar-EG"/>
        </w:rPr>
        <w:t>ول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ا</w:t>
      </w:r>
      <w:r w:rsidR="000D1EDC" w:rsidRPr="002841F3">
        <w:rPr>
          <w:spacing w:val="2"/>
          <w:rtl/>
          <w:lang w:bidi="ar-EG"/>
        </w:rPr>
        <w:t xml:space="preserve"> كان قد</w:t>
      </w:r>
      <w:r w:rsidR="000D1EDC">
        <w:rPr>
          <w:rFonts w:hint="cs"/>
          <w:spacing w:val="2"/>
          <w:rtl/>
          <w:lang w:bidi="ar-EG"/>
        </w:rPr>
        <w:t> </w:t>
      </w:r>
      <w:r w:rsidRPr="002841F3">
        <w:rPr>
          <w:rFonts w:hint="cs"/>
          <w:spacing w:val="2"/>
          <w:rtl/>
          <w:lang w:bidi="ar-EG"/>
        </w:rPr>
        <w:t>ت</w:t>
      </w:r>
      <w:r>
        <w:rPr>
          <w:rFonts w:hint="cs"/>
          <w:spacing w:val="2"/>
          <w:rtl/>
          <w:lang w:bidi="ar-EG"/>
        </w:rPr>
        <w:t>م</w:t>
      </w:r>
      <w:r w:rsidR="000D1EDC" w:rsidRPr="002841F3">
        <w:rPr>
          <w:spacing w:val="2"/>
          <w:rtl/>
          <w:lang w:bidi="ar-EG"/>
        </w:rPr>
        <w:t xml:space="preserve"> اتباع إجراء الاعتماد </w:t>
      </w:r>
      <w:r w:rsidRPr="002841F3">
        <w:rPr>
          <w:rFonts w:hint="cs"/>
          <w:spacing w:val="2"/>
          <w:rtl/>
          <w:lang w:bidi="ar-EG"/>
        </w:rPr>
        <w:t>وال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وافقة</w:t>
      </w:r>
      <w:r w:rsidR="000D1EDC" w:rsidRPr="002841F3">
        <w:rPr>
          <w:spacing w:val="2"/>
          <w:rtl/>
          <w:lang w:bidi="ar-EG"/>
        </w:rPr>
        <w:t xml:space="preserve"> في</w:t>
      </w:r>
      <w:r w:rsidR="000D1EDC" w:rsidRPr="002841F3">
        <w:rPr>
          <w:rFonts w:hint="cs"/>
          <w:spacing w:val="2"/>
          <w:rtl/>
          <w:lang w:bidi="ar-EG"/>
        </w:rPr>
        <w:t> </w:t>
      </w:r>
      <w:r w:rsidR="000D1EDC" w:rsidRPr="002841F3">
        <w:rPr>
          <w:spacing w:val="2"/>
          <w:rtl/>
          <w:lang w:bidi="ar-EG"/>
        </w:rPr>
        <w:t xml:space="preserve">نفس الوقت عن طريق </w:t>
      </w:r>
      <w:r w:rsidRPr="002841F3">
        <w:rPr>
          <w:rFonts w:hint="cs"/>
          <w:spacing w:val="2"/>
          <w:rtl/>
          <w:lang w:bidi="ar-EG"/>
        </w:rPr>
        <w:t>ال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راسلة</w:t>
      </w:r>
      <w:r w:rsidR="000D1EDC" w:rsidRPr="002841F3">
        <w:rPr>
          <w:spacing w:val="2"/>
          <w:rtl/>
          <w:lang w:bidi="ar-EG"/>
        </w:rPr>
        <w:t xml:space="preserve">، فإن </w:t>
      </w:r>
      <w:r w:rsidR="000D1EDC" w:rsidRPr="002841F3">
        <w:rPr>
          <w:rFonts w:hint="cs"/>
          <w:spacing w:val="2"/>
          <w:rtl/>
          <w:lang w:bidi="ar-EG"/>
        </w:rPr>
        <w:t xml:space="preserve">مشاريع التوصيات ستعتبر </w:t>
      </w:r>
      <w:r w:rsidR="000D1EDC" w:rsidRPr="002841F3">
        <w:rPr>
          <w:spacing w:val="2"/>
          <w:rtl/>
          <w:lang w:bidi="ar-EG"/>
        </w:rPr>
        <w:t xml:space="preserve">أيضاً </w:t>
      </w:r>
      <w:r w:rsidRPr="002841F3">
        <w:rPr>
          <w:rFonts w:hint="cs"/>
          <w:spacing w:val="2"/>
          <w:rtl/>
          <w:lang w:bidi="ar-EG"/>
        </w:rPr>
        <w:t>ب</w:t>
      </w:r>
      <w:r>
        <w:rPr>
          <w:rFonts w:hint="cs"/>
          <w:spacing w:val="2"/>
          <w:rtl/>
          <w:lang w:bidi="ar-EG"/>
        </w:rPr>
        <w:t>ح</w:t>
      </w:r>
      <w:r w:rsidRPr="002841F3">
        <w:rPr>
          <w:rFonts w:hint="cs"/>
          <w:spacing w:val="2"/>
          <w:rtl/>
          <w:lang w:bidi="ar-EG"/>
        </w:rPr>
        <w:t>كم</w:t>
      </w:r>
      <w:r w:rsidR="000D1EDC" w:rsidRPr="002841F3">
        <w:rPr>
          <w:spacing w:val="2"/>
          <w:rtl/>
          <w:lang w:bidi="ar-EG"/>
        </w:rPr>
        <w:t xml:space="preserve"> </w:t>
      </w:r>
      <w:r w:rsidRPr="002841F3">
        <w:rPr>
          <w:rFonts w:hint="cs"/>
          <w:spacing w:val="2"/>
          <w:rtl/>
          <w:lang w:bidi="ar-EG"/>
        </w:rPr>
        <w:t>ال</w:t>
      </w:r>
      <w:r>
        <w:rPr>
          <w:rFonts w:hint="cs"/>
          <w:spacing w:val="2"/>
          <w:rtl/>
          <w:lang w:bidi="ar-EG"/>
        </w:rPr>
        <w:t>م</w:t>
      </w:r>
      <w:r w:rsidRPr="002841F3">
        <w:rPr>
          <w:rFonts w:hint="cs"/>
          <w:spacing w:val="2"/>
          <w:rtl/>
          <w:lang w:bidi="ar-EG"/>
        </w:rPr>
        <w:t>وافق</w:t>
      </w:r>
      <w:r w:rsidR="000D1EDC" w:rsidRPr="002841F3">
        <w:rPr>
          <w:spacing w:val="2"/>
          <w:rtl/>
          <w:lang w:bidi="ar-EG"/>
        </w:rPr>
        <w:t xml:space="preserve"> </w:t>
      </w:r>
      <w:r w:rsidR="000D1EDC" w:rsidRPr="002841F3">
        <w:rPr>
          <w:rFonts w:hint="cs"/>
          <w:spacing w:val="2"/>
          <w:rtl/>
          <w:lang w:bidi="ar-EG"/>
        </w:rPr>
        <w:t>عليها</w:t>
      </w:r>
      <w:r w:rsidR="000D1EDC" w:rsidRPr="002841F3">
        <w:rPr>
          <w:spacing w:val="2"/>
          <w:rtl/>
          <w:lang w:bidi="ar-EG"/>
        </w:rPr>
        <w:t>.</w:t>
      </w:r>
    </w:p>
    <w:p w:rsidR="000D1EDC" w:rsidRPr="00651E76" w:rsidRDefault="000D1EDC" w:rsidP="00D1645B">
      <w:pPr>
        <w:rPr>
          <w:rtl/>
        </w:rPr>
      </w:pPr>
      <w:r w:rsidRPr="00651E76">
        <w:rPr>
          <w:rtl/>
          <w:lang w:bidi="ar-EG"/>
        </w:rPr>
        <w:t xml:space="preserve">وبعد </w:t>
      </w:r>
      <w:r w:rsidR="00B52366" w:rsidRPr="00651E76">
        <w:rPr>
          <w:rFonts w:hint="cs"/>
          <w:rtl/>
          <w:lang w:bidi="ar-EG"/>
        </w:rPr>
        <w:t>المهلة</w:t>
      </w:r>
      <w:r w:rsidRPr="00651E76">
        <w:rPr>
          <w:rtl/>
          <w:lang w:bidi="ar-EG"/>
        </w:rPr>
        <w:t xml:space="preserve"> </w:t>
      </w:r>
      <w:r w:rsidR="00B52366" w:rsidRPr="00651E76">
        <w:rPr>
          <w:rFonts w:hint="cs"/>
          <w:rtl/>
          <w:lang w:bidi="ar-EG"/>
        </w:rPr>
        <w:t>المحددة</w:t>
      </w:r>
      <w:r w:rsidRPr="00651E76">
        <w:rPr>
          <w:rtl/>
          <w:lang w:bidi="ar-EG"/>
        </w:rPr>
        <w:t xml:space="preserve"> أعلاه</w:t>
      </w:r>
      <w:r w:rsidRPr="00651E76">
        <w:rPr>
          <w:rFonts w:hint="cs"/>
          <w:rtl/>
          <w:lang w:bidi="ar-EG"/>
        </w:rPr>
        <w:t>،</w:t>
      </w:r>
      <w:r w:rsidRPr="00651E76">
        <w:rPr>
          <w:rtl/>
          <w:lang w:bidi="ar-EG"/>
        </w:rPr>
        <w:t xml:space="preserve"> ستعلن نتائج </w:t>
      </w:r>
      <w:r w:rsidRPr="00651E76">
        <w:rPr>
          <w:rFonts w:hint="cs"/>
          <w:rtl/>
          <w:lang w:bidi="ar-EG"/>
        </w:rPr>
        <w:t xml:space="preserve">الإجراءات </w:t>
      </w:r>
      <w:r w:rsidR="00B52366" w:rsidRPr="00651E76">
        <w:rPr>
          <w:rFonts w:hint="cs"/>
          <w:rtl/>
          <w:lang w:bidi="ar-EG"/>
        </w:rPr>
        <w:t>المذكورة</w:t>
      </w:r>
      <w:r w:rsidRPr="00651E76">
        <w:rPr>
          <w:rFonts w:hint="cs"/>
          <w:rtl/>
          <w:lang w:bidi="ar-EG"/>
        </w:rPr>
        <w:t xml:space="preserve"> أعلاه</w:t>
      </w:r>
      <w:r w:rsidRPr="00651E76">
        <w:rPr>
          <w:rtl/>
          <w:lang w:bidi="ar-EG"/>
        </w:rPr>
        <w:t xml:space="preserve"> في </w:t>
      </w:r>
      <w:r w:rsidRPr="00651E76">
        <w:rPr>
          <w:rFonts w:hint="cs"/>
          <w:rtl/>
          <w:lang w:bidi="ar-EG"/>
        </w:rPr>
        <w:t>رسالة</w:t>
      </w:r>
      <w:r w:rsidRPr="00651E76">
        <w:rPr>
          <w:rtl/>
          <w:lang w:bidi="ar-EG"/>
        </w:rPr>
        <w:t xml:space="preserve"> إدارية</w:t>
      </w:r>
      <w:r w:rsidRPr="00651E76">
        <w:rPr>
          <w:rFonts w:hint="cs"/>
          <w:rtl/>
          <w:lang w:bidi="ar-EG"/>
        </w:rPr>
        <w:t xml:space="preserve"> معممة</w:t>
      </w:r>
      <w:r w:rsidRPr="00651E76">
        <w:rPr>
          <w:rtl/>
          <w:lang w:bidi="ar-EG"/>
        </w:rPr>
        <w:t xml:space="preserve"> وستنشر التوص</w:t>
      </w:r>
      <w:r w:rsidRPr="00651E76">
        <w:rPr>
          <w:rFonts w:hint="cs"/>
          <w:rtl/>
          <w:lang w:bidi="ar-EG"/>
        </w:rPr>
        <w:t>يات</w:t>
      </w:r>
      <w:r w:rsidRPr="00651E76">
        <w:rPr>
          <w:rtl/>
          <w:lang w:bidi="ar-EG"/>
        </w:rPr>
        <w:t xml:space="preserve"> </w:t>
      </w:r>
      <w:r w:rsidR="00B52366" w:rsidRPr="00651E76">
        <w:rPr>
          <w:rFonts w:hint="cs"/>
          <w:rtl/>
          <w:lang w:bidi="ar-EG"/>
        </w:rPr>
        <w:t>الموافق</w:t>
      </w:r>
      <w:r w:rsidRPr="00651E76">
        <w:rPr>
          <w:rtl/>
          <w:lang w:bidi="ar-EG"/>
        </w:rPr>
        <w:t xml:space="preserve"> عليها في</w:t>
      </w:r>
      <w:r w:rsidRPr="00651E76">
        <w:rPr>
          <w:rFonts w:hint="cs"/>
          <w:rtl/>
          <w:lang w:bidi="ar-EG"/>
        </w:rPr>
        <w:t> </w:t>
      </w:r>
      <w:r w:rsidRPr="00651E76">
        <w:rPr>
          <w:rtl/>
          <w:lang w:bidi="ar-EG"/>
        </w:rPr>
        <w:t>أقرب وقت</w:t>
      </w:r>
      <w:r w:rsidRPr="00651E76">
        <w:rPr>
          <w:rFonts w:hint="cs"/>
          <w:rtl/>
          <w:lang w:bidi="ar-EG"/>
        </w:rPr>
        <w:t> </w:t>
      </w:r>
      <w:r w:rsidR="00B52366" w:rsidRPr="00651E76">
        <w:rPr>
          <w:rFonts w:hint="cs"/>
          <w:rtl/>
          <w:lang w:bidi="ar-EG"/>
        </w:rPr>
        <w:t>ممكن</w:t>
      </w:r>
      <w:r w:rsidRPr="00651E76">
        <w:rPr>
          <w:rFonts w:hint="cs"/>
          <w:rtl/>
          <w:lang w:bidi="ar-EG"/>
        </w:rPr>
        <w:t xml:space="preserve"> (انظر </w:t>
      </w:r>
      <w:r w:rsidR="00CE2B2D">
        <w:rPr>
          <w:rStyle w:val="Hyperlink"/>
          <w:rFonts w:ascii="Calibri" w:hAnsi="Calibri"/>
          <w:lang w:bidi="ar-EG"/>
        </w:rPr>
        <w:fldChar w:fldCharType="begin"/>
      </w:r>
      <w:r w:rsidR="00CE2B2D">
        <w:rPr>
          <w:rStyle w:val="Hyperlink"/>
          <w:rFonts w:ascii="Calibri" w:hAnsi="Calibri"/>
          <w:lang w:bidi="ar-EG"/>
        </w:rPr>
        <w:instrText xml:space="preserve"> HYPERLINK "http://www.itu.int/pub/R-REC" </w:instrText>
      </w:r>
      <w:r w:rsidR="00CE2B2D">
        <w:rPr>
          <w:rStyle w:val="Hyperlink"/>
          <w:rFonts w:ascii="Calibri" w:hAnsi="Calibri"/>
          <w:lang w:bidi="ar-EG"/>
        </w:rPr>
        <w:fldChar w:fldCharType="separate"/>
      </w:r>
      <w:r w:rsidRPr="00651E76">
        <w:rPr>
          <w:rStyle w:val="Hyperlink"/>
          <w:rFonts w:ascii="Calibri" w:hAnsi="Calibri"/>
          <w:lang w:bidi="ar-EG"/>
        </w:rPr>
        <w:t>http://</w:t>
      </w:r>
      <w:proofErr w:type="spellStart"/>
      <w:r w:rsidRPr="00651E76">
        <w:rPr>
          <w:rStyle w:val="Hyperlink"/>
          <w:rFonts w:ascii="Calibri" w:hAnsi="Calibri"/>
          <w:lang w:bidi="ar-EG"/>
        </w:rPr>
        <w:t>www.itu.int</w:t>
      </w:r>
      <w:proofErr w:type="spellEnd"/>
      <w:r w:rsidRPr="00651E76">
        <w:rPr>
          <w:rStyle w:val="Hyperlink"/>
          <w:rFonts w:ascii="Calibri" w:hAnsi="Calibri"/>
          <w:lang w:bidi="ar-EG"/>
        </w:rPr>
        <w:t>/pub/R-REC</w:t>
      </w:r>
      <w:r w:rsidR="00CE2B2D">
        <w:rPr>
          <w:rStyle w:val="Hyperlink"/>
          <w:rFonts w:ascii="Calibri" w:hAnsi="Calibri"/>
          <w:lang w:bidi="ar-EG"/>
        </w:rPr>
        <w:fldChar w:fldCharType="end"/>
      </w:r>
      <w:r w:rsidRPr="00651E76">
        <w:rPr>
          <w:rFonts w:hint="cs"/>
          <w:rtl/>
          <w:lang w:bidi="ar-EG"/>
        </w:rPr>
        <w:t>).</w:t>
      </w:r>
    </w:p>
    <w:p w:rsidR="000D1EDC" w:rsidRPr="00651E76" w:rsidRDefault="000D1EDC" w:rsidP="00C91030">
      <w:pPr>
        <w:keepNext/>
        <w:keepLines/>
        <w:rPr>
          <w:rtl/>
          <w:lang w:bidi="ar-EG"/>
        </w:rPr>
      </w:pPr>
      <w:r w:rsidRPr="00651E76">
        <w:rPr>
          <w:rtl/>
          <w:lang w:bidi="ar-EG"/>
        </w:rPr>
        <w:lastRenderedPageBreak/>
        <w:t xml:space="preserve">ويرجى من أي منظمة عضو في </w:t>
      </w:r>
      <w:r w:rsidR="00B52366" w:rsidRPr="00651E76">
        <w:rPr>
          <w:rFonts w:hint="cs"/>
          <w:rtl/>
          <w:lang w:bidi="ar-EG"/>
        </w:rPr>
        <w:t>الاتحاد</w:t>
      </w:r>
      <w:r w:rsidRPr="00651E76">
        <w:rPr>
          <w:rtl/>
          <w:lang w:bidi="ar-EG"/>
        </w:rPr>
        <w:t xml:space="preserve"> تعلم بوجود براءة اختراع لديها أو لدى غيرها تغطي كلياً أو جزئياً عناصر مشاريع التوصيات </w:t>
      </w:r>
      <w:r w:rsidR="00B52366" w:rsidRPr="00651E76">
        <w:rPr>
          <w:rFonts w:hint="cs"/>
          <w:rtl/>
          <w:lang w:bidi="ar-EG"/>
        </w:rPr>
        <w:t>المذكورة</w:t>
      </w:r>
      <w:r w:rsidRPr="00651E76">
        <w:rPr>
          <w:rtl/>
          <w:lang w:bidi="ar-EG"/>
        </w:rPr>
        <w:t xml:space="preserve"> في هذه الرسالة أن تبلغ الأمانة بهذه </w:t>
      </w:r>
      <w:r w:rsidR="00B52366" w:rsidRPr="00651E76">
        <w:rPr>
          <w:rFonts w:hint="cs"/>
          <w:rtl/>
          <w:lang w:bidi="ar-EG"/>
        </w:rPr>
        <w:t>المعلومات</w:t>
      </w:r>
      <w:r w:rsidRPr="00651E76">
        <w:rPr>
          <w:rtl/>
          <w:lang w:bidi="ar-EG"/>
        </w:rPr>
        <w:t xml:space="preserve"> بأسرع ما </w:t>
      </w:r>
      <w:r w:rsidR="00B52366" w:rsidRPr="00651E76">
        <w:rPr>
          <w:rFonts w:hint="cs"/>
          <w:rtl/>
          <w:lang w:bidi="ar-EG"/>
        </w:rPr>
        <w:t>يمكن</w:t>
      </w:r>
      <w:r w:rsidRPr="00651E76">
        <w:rPr>
          <w:rtl/>
          <w:lang w:bidi="ar-EG"/>
        </w:rPr>
        <w:t xml:space="preserve">. </w:t>
      </w:r>
      <w:r w:rsidR="00B52366" w:rsidRPr="00651E76">
        <w:rPr>
          <w:rFonts w:hint="cs"/>
          <w:rtl/>
          <w:lang w:bidi="ar-EG"/>
        </w:rPr>
        <w:t>ويمكن</w:t>
      </w:r>
      <w:r w:rsidRPr="00651E76">
        <w:rPr>
          <w:rtl/>
          <w:lang w:bidi="ar-EG"/>
        </w:rPr>
        <w:t xml:space="preserve"> الاطلاع على السياسة </w:t>
      </w:r>
      <w:r w:rsidR="00B52366" w:rsidRPr="00651E76">
        <w:rPr>
          <w:rFonts w:hint="cs"/>
          <w:rtl/>
          <w:lang w:bidi="ar-EG"/>
        </w:rPr>
        <w:t>المشتركة</w:t>
      </w:r>
      <w:r w:rsidRPr="00651E76">
        <w:rPr>
          <w:rtl/>
          <w:lang w:bidi="ar-EG"/>
        </w:rPr>
        <w:t xml:space="preserve"> للبراءات</w:t>
      </w:r>
      <w:r w:rsidRPr="00651E76">
        <w:rPr>
          <w:rFonts w:hint="cs"/>
          <w:rtl/>
          <w:lang w:bidi="ar-EG"/>
        </w:rPr>
        <w:t> </w:t>
      </w:r>
      <w:r w:rsidRPr="00651E76">
        <w:t>"ITU</w:t>
      </w:r>
      <w:r w:rsidRPr="00651E76">
        <w:noBreakHyphen/>
        <w:t>T/ITU</w:t>
      </w:r>
      <w:r w:rsidRPr="00651E76">
        <w:noBreakHyphen/>
        <w:t>R/ISO/</w:t>
      </w:r>
      <w:proofErr w:type="spellStart"/>
      <w:r w:rsidRPr="00651E76">
        <w:t>IEC</w:t>
      </w:r>
      <w:proofErr w:type="spellEnd"/>
      <w:r w:rsidRPr="00651E76">
        <w:t>"</w:t>
      </w:r>
      <w:r w:rsidRPr="00651E76">
        <w:rPr>
          <w:rtl/>
          <w:lang w:bidi="ar-EG"/>
        </w:rPr>
        <w:t xml:space="preserve"> في </w:t>
      </w:r>
      <w:r w:rsidR="00B52366" w:rsidRPr="00651E76">
        <w:rPr>
          <w:rFonts w:hint="cs"/>
          <w:rtl/>
          <w:lang w:bidi="ar-EG"/>
        </w:rPr>
        <w:t>الموقع</w:t>
      </w:r>
      <w:r w:rsidRPr="00651E76">
        <w:rPr>
          <w:rtl/>
          <w:lang w:bidi="ar-EG"/>
        </w:rPr>
        <w:t xml:space="preserve"> الإلكتروني</w:t>
      </w:r>
      <w:r w:rsidRPr="00651E76">
        <w:rPr>
          <w:rFonts w:hint="cs"/>
          <w:rtl/>
          <w:lang w:bidi="ar-EG"/>
        </w:rPr>
        <w:t xml:space="preserve">: </w:t>
      </w:r>
      <w:hyperlink r:id="rId10" w:history="1">
        <w:r w:rsidRPr="00651E76">
          <w:rPr>
            <w:rStyle w:val="Hyperlink"/>
            <w:rFonts w:ascii="Calibri" w:hAnsi="Calibri"/>
            <w:lang w:bidi="ar-EG"/>
          </w:rPr>
          <w:t>http://</w:t>
        </w:r>
        <w:proofErr w:type="spellStart"/>
        <w:r w:rsidRPr="00651E76">
          <w:rPr>
            <w:rStyle w:val="Hyperlink"/>
            <w:rFonts w:ascii="Calibri" w:hAnsi="Calibri"/>
            <w:lang w:bidi="ar-EG"/>
          </w:rPr>
          <w:t>www.itu.int</w:t>
        </w:r>
        <w:proofErr w:type="spellEnd"/>
        <w:r w:rsidRPr="00651E76">
          <w:rPr>
            <w:rStyle w:val="Hyperlink"/>
            <w:rFonts w:ascii="Calibri" w:hAnsi="Calibri"/>
            <w:lang w:bidi="ar-EG"/>
          </w:rPr>
          <w:t>/</w:t>
        </w:r>
        <w:proofErr w:type="spellStart"/>
        <w:r w:rsidRPr="00651E76">
          <w:rPr>
            <w:rStyle w:val="Hyperlink"/>
            <w:rFonts w:ascii="Calibri" w:hAnsi="Calibri"/>
            <w:lang w:bidi="ar-EG"/>
          </w:rPr>
          <w:t>en</w:t>
        </w:r>
        <w:proofErr w:type="spellEnd"/>
        <w:r w:rsidRPr="00651E76">
          <w:rPr>
            <w:rStyle w:val="Hyperlink"/>
            <w:rFonts w:ascii="Calibri" w:hAnsi="Calibri"/>
            <w:lang w:bidi="ar-EG"/>
          </w:rPr>
          <w:t>/ITU-T/</w:t>
        </w:r>
        <w:proofErr w:type="spellStart"/>
        <w:r w:rsidRPr="00651E76">
          <w:rPr>
            <w:rStyle w:val="Hyperlink"/>
            <w:rFonts w:ascii="Calibri" w:hAnsi="Calibri"/>
            <w:lang w:bidi="ar-EG"/>
          </w:rPr>
          <w:t>ipr</w:t>
        </w:r>
        <w:proofErr w:type="spellEnd"/>
        <w:r w:rsidRPr="00651E76">
          <w:rPr>
            <w:rStyle w:val="Hyperlink"/>
            <w:rFonts w:ascii="Calibri" w:hAnsi="Calibri"/>
            <w:lang w:bidi="ar-EG"/>
          </w:rPr>
          <w:t>/Pages/</w:t>
        </w:r>
        <w:proofErr w:type="spellStart"/>
        <w:r w:rsidRPr="00651E76">
          <w:rPr>
            <w:rStyle w:val="Hyperlink"/>
            <w:rFonts w:ascii="Calibri" w:hAnsi="Calibri"/>
            <w:lang w:bidi="ar-EG"/>
          </w:rPr>
          <w:t>policy.aspx</w:t>
        </w:r>
        <w:proofErr w:type="spellEnd"/>
      </w:hyperlink>
      <w:r w:rsidRPr="00651E76">
        <w:rPr>
          <w:rtl/>
          <w:lang w:bidi="ar-EG"/>
        </w:rPr>
        <w:t>.</w:t>
      </w:r>
    </w:p>
    <w:p w:rsidR="000D1EDC" w:rsidRDefault="00D1645B" w:rsidP="00A666B8">
      <w:pPr>
        <w:keepNext/>
        <w:keepLines/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 w:rsidR="000D1EDC">
        <w:rPr>
          <w:rtl/>
        </w:rPr>
        <w:br/>
      </w:r>
      <w:r w:rsidR="00B52366">
        <w:rPr>
          <w:rFonts w:hint="cs"/>
          <w:rtl/>
        </w:rPr>
        <w:t>المدير</w:t>
      </w:r>
    </w:p>
    <w:p w:rsidR="000D1EDC" w:rsidRDefault="000D1EDC" w:rsidP="00D1645B">
      <w:pPr>
        <w:spacing w:before="72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الملحق:</w:t>
      </w:r>
      <w:r w:rsidRPr="008D3F8E">
        <w:rPr>
          <w:rFonts w:hint="cs"/>
          <w:rtl/>
          <w:lang w:bidi="ar-EG"/>
        </w:rPr>
        <w:tab/>
        <w:t xml:space="preserve">عناوين وملخصات </w:t>
      </w:r>
      <w:r>
        <w:rPr>
          <w:rFonts w:hint="cs"/>
          <w:rtl/>
          <w:lang w:bidi="ar-EG"/>
        </w:rPr>
        <w:t>مشاريع التوصيات</w:t>
      </w:r>
    </w:p>
    <w:p w:rsidR="000D1EDC" w:rsidRDefault="000D1EDC" w:rsidP="00D1645B">
      <w:pPr>
        <w:spacing w:before="600"/>
        <w:jc w:val="left"/>
        <w:rPr>
          <w:rtl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 w:rsidR="00D1645B" w:rsidRPr="00D1645B">
        <w:rPr>
          <w:lang w:val="en-GB" w:bidi="ar-EG"/>
        </w:rPr>
        <w:t>6/300</w:t>
      </w:r>
      <w:r w:rsidR="00D1645B">
        <w:rPr>
          <w:rFonts w:hint="cs"/>
          <w:rtl/>
          <w:lang w:val="en-GB" w:bidi="ar-EG"/>
        </w:rPr>
        <w:t xml:space="preserve"> و</w:t>
      </w:r>
      <w:r w:rsidR="00D1645B" w:rsidRPr="00D1645B">
        <w:rPr>
          <w:lang w:val="en-GB" w:bidi="ar-EG"/>
        </w:rPr>
        <w:t>6/306(</w:t>
      </w:r>
      <w:proofErr w:type="spellStart"/>
      <w:r w:rsidR="00D1645B" w:rsidRPr="00D1645B">
        <w:rPr>
          <w:lang w:val="en-GB" w:bidi="ar-EG"/>
        </w:rPr>
        <w:t>Rev.1</w:t>
      </w:r>
      <w:proofErr w:type="spellEnd"/>
      <w:r w:rsidR="00D1645B" w:rsidRPr="00D1645B">
        <w:rPr>
          <w:lang w:val="en-GB" w:bidi="ar-EG"/>
        </w:rPr>
        <w:t>)</w:t>
      </w:r>
      <w:r w:rsidR="00D1645B">
        <w:rPr>
          <w:rFonts w:hint="cs"/>
          <w:rtl/>
          <w:lang w:val="en-GB" w:bidi="ar-EG"/>
        </w:rPr>
        <w:t xml:space="preserve"> و</w:t>
      </w:r>
      <w:r w:rsidR="00D1645B" w:rsidRPr="00D1645B">
        <w:rPr>
          <w:lang w:val="en-GB" w:bidi="ar-EG"/>
        </w:rPr>
        <w:t>6/308(</w:t>
      </w:r>
      <w:proofErr w:type="spellStart"/>
      <w:r w:rsidR="00D1645B" w:rsidRPr="00D1645B">
        <w:rPr>
          <w:lang w:val="en-GB" w:bidi="ar-EG"/>
        </w:rPr>
        <w:t>Rev.2</w:t>
      </w:r>
      <w:proofErr w:type="spellEnd"/>
      <w:r w:rsidR="00D1645B" w:rsidRPr="00D1645B">
        <w:rPr>
          <w:lang w:val="en-GB" w:bidi="ar-EG"/>
        </w:rPr>
        <w:t>)</w:t>
      </w:r>
      <w:r w:rsidR="00D1645B">
        <w:rPr>
          <w:rFonts w:hint="cs"/>
          <w:rtl/>
          <w:lang w:val="en-GB" w:bidi="ar-EG"/>
        </w:rPr>
        <w:t xml:space="preserve"> و</w:t>
      </w:r>
      <w:r w:rsidR="00D1645B" w:rsidRPr="00D1645B">
        <w:rPr>
          <w:lang w:val="en-GB" w:bidi="ar-EG"/>
        </w:rPr>
        <w:t>6/310</w:t>
      </w:r>
      <w:r w:rsidR="00D1645B">
        <w:rPr>
          <w:rFonts w:hint="cs"/>
          <w:rtl/>
          <w:lang w:val="en-GB" w:bidi="ar-EG"/>
        </w:rPr>
        <w:t xml:space="preserve"> و</w:t>
      </w:r>
      <w:r w:rsidR="00D1645B" w:rsidRPr="00D1645B">
        <w:rPr>
          <w:lang w:val="en-GB" w:bidi="ar-EG"/>
        </w:rPr>
        <w:t>6/316</w:t>
      </w:r>
      <w:r w:rsidR="00D1645B">
        <w:rPr>
          <w:rFonts w:hint="cs"/>
          <w:rtl/>
          <w:lang w:val="en-GB" w:bidi="ar-EG"/>
        </w:rPr>
        <w:t xml:space="preserve"> و</w:t>
      </w:r>
      <w:r w:rsidR="00D1645B" w:rsidRPr="00D1645B">
        <w:rPr>
          <w:lang w:val="en-GB" w:bidi="ar-EG"/>
        </w:rPr>
        <w:t>6/321</w:t>
      </w:r>
    </w:p>
    <w:p w:rsidR="000D1EDC" w:rsidRDefault="000D1EDC" w:rsidP="00D1645B">
      <w:r>
        <w:rPr>
          <w:rFonts w:hint="cs"/>
          <w:rtl/>
        </w:rPr>
        <w:t xml:space="preserve">وتتاح هذه الوثائق في نسق إلكتروني في: </w:t>
      </w:r>
      <w:r w:rsidR="00CE2B2D">
        <w:rPr>
          <w:rStyle w:val="Hyperlink"/>
          <w:rFonts w:ascii="Calibri" w:hAnsi="Calibri"/>
        </w:rPr>
        <w:fldChar w:fldCharType="begin"/>
      </w:r>
      <w:r w:rsidR="00CE2B2D">
        <w:rPr>
          <w:rStyle w:val="Hyperlink"/>
          <w:rFonts w:ascii="Calibri" w:hAnsi="Calibri"/>
        </w:rPr>
        <w:instrText xml:space="preserve"> HYPERLINK "https://www.itu.int/md/R15-SG06-C/en" </w:instrText>
      </w:r>
      <w:r w:rsidR="00CE2B2D">
        <w:rPr>
          <w:rStyle w:val="Hyperlink"/>
          <w:rFonts w:ascii="Calibri" w:hAnsi="Calibri"/>
        </w:rPr>
        <w:fldChar w:fldCharType="separate"/>
      </w:r>
      <w:r w:rsidR="00D1645B" w:rsidRPr="000B312E">
        <w:rPr>
          <w:rStyle w:val="Hyperlink"/>
          <w:rFonts w:ascii="Calibri" w:hAnsi="Calibri"/>
        </w:rPr>
        <w:t>https://</w:t>
      </w:r>
      <w:proofErr w:type="spellStart"/>
      <w:r w:rsidR="00D1645B" w:rsidRPr="000B312E">
        <w:rPr>
          <w:rStyle w:val="Hyperlink"/>
          <w:rFonts w:ascii="Calibri" w:hAnsi="Calibri"/>
        </w:rPr>
        <w:t>www.itu.int</w:t>
      </w:r>
      <w:proofErr w:type="spellEnd"/>
      <w:r w:rsidR="00D1645B" w:rsidRPr="000B312E">
        <w:rPr>
          <w:rStyle w:val="Hyperlink"/>
          <w:rFonts w:ascii="Calibri" w:hAnsi="Calibri"/>
        </w:rPr>
        <w:t>/md/</w:t>
      </w:r>
      <w:proofErr w:type="spellStart"/>
      <w:r w:rsidR="00D1645B" w:rsidRPr="000B312E">
        <w:rPr>
          <w:rStyle w:val="Hyperlink"/>
          <w:rFonts w:ascii="Calibri" w:hAnsi="Calibri"/>
        </w:rPr>
        <w:t>R15</w:t>
      </w:r>
      <w:proofErr w:type="spellEnd"/>
      <w:r w:rsidR="00D1645B" w:rsidRPr="000B312E">
        <w:rPr>
          <w:rStyle w:val="Hyperlink"/>
          <w:rFonts w:ascii="Calibri" w:hAnsi="Calibri"/>
        </w:rPr>
        <w:t>-</w:t>
      </w:r>
      <w:proofErr w:type="spellStart"/>
      <w:r w:rsidR="00D1645B" w:rsidRPr="000B312E">
        <w:rPr>
          <w:rStyle w:val="Hyperlink"/>
          <w:rFonts w:ascii="Calibri" w:hAnsi="Calibri"/>
        </w:rPr>
        <w:t>SG06</w:t>
      </w:r>
      <w:proofErr w:type="spellEnd"/>
      <w:r w:rsidR="00D1645B" w:rsidRPr="000B312E">
        <w:rPr>
          <w:rStyle w:val="Hyperlink"/>
          <w:rFonts w:ascii="Calibri" w:hAnsi="Calibri"/>
        </w:rPr>
        <w:t>-C/</w:t>
      </w:r>
      <w:proofErr w:type="spellStart"/>
      <w:r w:rsidR="00D1645B" w:rsidRPr="000B312E">
        <w:rPr>
          <w:rStyle w:val="Hyperlink"/>
          <w:rFonts w:ascii="Calibri" w:hAnsi="Calibri"/>
        </w:rPr>
        <w:t>en</w:t>
      </w:r>
      <w:proofErr w:type="spellEnd"/>
      <w:r w:rsidR="00CE2B2D">
        <w:rPr>
          <w:rStyle w:val="Hyperlink"/>
          <w:rFonts w:ascii="Calibri" w:hAnsi="Calibri"/>
        </w:rPr>
        <w:fldChar w:fldCharType="end"/>
      </w:r>
      <w:r w:rsidR="00D1645B">
        <w:rPr>
          <w:rFonts w:hint="cs"/>
          <w:rtl/>
        </w:rPr>
        <w:t> </w:t>
      </w:r>
    </w:p>
    <w:p w:rsidR="000D1EDC" w:rsidRPr="00E45690" w:rsidRDefault="000D1EDC" w:rsidP="000D1EDC">
      <w:pPr>
        <w:tabs>
          <w:tab w:val="left" w:pos="283"/>
        </w:tabs>
        <w:spacing w:before="42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0D1EDC" w:rsidRPr="00E45690" w:rsidRDefault="000D1EDC" w:rsidP="00DD65EB">
      <w:pPr>
        <w:tabs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</w:t>
      </w:r>
      <w:r w:rsidR="00B52366" w:rsidRPr="00E45690">
        <w:rPr>
          <w:rFonts w:hint="cs"/>
          <w:sz w:val="16"/>
          <w:szCs w:val="22"/>
          <w:rtl/>
          <w:lang w:bidi="ar-EG"/>
        </w:rPr>
        <w:t>الات</w:t>
      </w:r>
      <w:r w:rsidR="00B52366">
        <w:rPr>
          <w:rFonts w:hint="cs"/>
          <w:sz w:val="16"/>
          <w:szCs w:val="22"/>
          <w:rtl/>
          <w:lang w:bidi="ar-EG"/>
        </w:rPr>
        <w:t>ح</w:t>
      </w:r>
      <w:r w:rsidR="00B52366" w:rsidRPr="00E45690">
        <w:rPr>
          <w:rFonts w:hint="cs"/>
          <w:sz w:val="16"/>
          <w:szCs w:val="22"/>
          <w:rtl/>
          <w:lang w:bidi="ar-EG"/>
        </w:rPr>
        <w:t>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</w:t>
      </w:r>
      <w:r w:rsidR="00B52366" w:rsidRPr="00E45690">
        <w:rPr>
          <w:rFonts w:hint="cs"/>
          <w:sz w:val="16"/>
          <w:szCs w:val="22"/>
          <w:rtl/>
          <w:lang w:bidi="ar-EG"/>
        </w:rPr>
        <w:t>ال</w:t>
      </w:r>
      <w:r w:rsidR="00B52366">
        <w:rPr>
          <w:rFonts w:hint="cs"/>
          <w:sz w:val="16"/>
          <w:szCs w:val="22"/>
          <w:rtl/>
          <w:lang w:bidi="ar-EG"/>
        </w:rPr>
        <w:t>م</w:t>
      </w:r>
      <w:r w:rsidR="00B52366" w:rsidRPr="00E45690">
        <w:rPr>
          <w:rFonts w:hint="cs"/>
          <w:sz w:val="16"/>
          <w:szCs w:val="22"/>
          <w:rtl/>
          <w:lang w:bidi="ar-EG"/>
        </w:rPr>
        <w:t>شاركون</w:t>
      </w:r>
      <w:r w:rsidRPr="00E45690">
        <w:rPr>
          <w:rFonts w:hint="cs"/>
          <w:sz w:val="16"/>
          <w:szCs w:val="22"/>
          <w:rtl/>
          <w:lang w:bidi="ar-EG"/>
        </w:rPr>
        <w:t xml:space="preserve"> في أعمال </w:t>
      </w:r>
      <w:r w:rsidR="00B52366" w:rsidRPr="00E45690">
        <w:rPr>
          <w:rFonts w:hint="cs"/>
          <w:sz w:val="16"/>
          <w:szCs w:val="22"/>
          <w:rtl/>
          <w:lang w:bidi="ar-EG"/>
        </w:rPr>
        <w:t>ل</w:t>
      </w:r>
      <w:r w:rsidR="00B52366">
        <w:rPr>
          <w:rFonts w:hint="cs"/>
          <w:sz w:val="16"/>
          <w:szCs w:val="22"/>
          <w:rtl/>
          <w:lang w:bidi="ar-EG"/>
        </w:rPr>
        <w:t>ج</w:t>
      </w:r>
      <w:r w:rsidR="00B52366" w:rsidRPr="00E45690">
        <w:rPr>
          <w:rFonts w:hint="cs"/>
          <w:sz w:val="16"/>
          <w:szCs w:val="22"/>
          <w:rtl/>
          <w:lang w:bidi="ar-EG"/>
        </w:rPr>
        <w:t>نة</w:t>
      </w:r>
      <w:r w:rsidRPr="00E45690">
        <w:rPr>
          <w:rFonts w:hint="cs"/>
          <w:sz w:val="16"/>
          <w:szCs w:val="22"/>
          <w:rtl/>
          <w:lang w:bidi="ar-EG"/>
        </w:rPr>
        <w:t xml:space="preserve"> الدراسات </w:t>
      </w:r>
      <w:r w:rsidR="00DD65EB">
        <w:rPr>
          <w:sz w:val="16"/>
          <w:szCs w:val="22"/>
          <w:lang w:val="fr-CH"/>
        </w:rPr>
        <w:t>6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0D1EDC" w:rsidRPr="00E45690" w:rsidRDefault="000D1EDC" w:rsidP="00D1645B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</w:r>
      <w:r w:rsidR="00B52366" w:rsidRPr="00E45690">
        <w:rPr>
          <w:rFonts w:hint="cs"/>
          <w:sz w:val="16"/>
          <w:szCs w:val="22"/>
          <w:rtl/>
          <w:lang w:bidi="ar-EG"/>
        </w:rPr>
        <w:t>ال</w:t>
      </w:r>
      <w:r w:rsidR="00B52366">
        <w:rPr>
          <w:rFonts w:hint="cs"/>
          <w:sz w:val="16"/>
          <w:szCs w:val="22"/>
          <w:rtl/>
          <w:lang w:bidi="ar-EG"/>
        </w:rPr>
        <w:t>م</w:t>
      </w:r>
      <w:r w:rsidR="00B52366" w:rsidRPr="00E45690">
        <w:rPr>
          <w:rFonts w:hint="cs"/>
          <w:sz w:val="16"/>
          <w:szCs w:val="22"/>
          <w:rtl/>
          <w:lang w:bidi="ar-EG"/>
        </w:rPr>
        <w:t>نتسبون</w:t>
      </w:r>
      <w:r w:rsidRPr="00E45690">
        <w:rPr>
          <w:sz w:val="16"/>
          <w:szCs w:val="22"/>
          <w:rtl/>
          <w:lang w:bidi="ar-EG"/>
        </w:rPr>
        <w:t xml:space="preserve"> إلى قطاع الاتصالات الراديوية </w:t>
      </w:r>
      <w:r w:rsidR="00B52366" w:rsidRPr="00E45690">
        <w:rPr>
          <w:rFonts w:hint="cs"/>
          <w:sz w:val="16"/>
          <w:szCs w:val="22"/>
          <w:rtl/>
          <w:lang w:bidi="ar-EG"/>
        </w:rPr>
        <w:t>ال</w:t>
      </w:r>
      <w:r w:rsidR="00B52366">
        <w:rPr>
          <w:rFonts w:hint="cs"/>
          <w:sz w:val="16"/>
          <w:szCs w:val="22"/>
          <w:rtl/>
          <w:lang w:bidi="ar-EG"/>
        </w:rPr>
        <w:t>م</w:t>
      </w:r>
      <w:r w:rsidR="00B52366" w:rsidRPr="00E45690">
        <w:rPr>
          <w:rFonts w:hint="cs"/>
          <w:sz w:val="16"/>
          <w:szCs w:val="22"/>
          <w:rtl/>
          <w:lang w:bidi="ar-EG"/>
        </w:rPr>
        <w:t>شاركون</w:t>
      </w:r>
      <w:r w:rsidRPr="00E45690">
        <w:rPr>
          <w:sz w:val="16"/>
          <w:szCs w:val="22"/>
          <w:rtl/>
          <w:lang w:bidi="ar-EG"/>
        </w:rPr>
        <w:t xml:space="preserve"> في أعمال </w:t>
      </w:r>
      <w:r w:rsidR="00B52366" w:rsidRPr="00E45690">
        <w:rPr>
          <w:rFonts w:hint="cs"/>
          <w:sz w:val="16"/>
          <w:szCs w:val="22"/>
          <w:rtl/>
          <w:lang w:bidi="ar-EG"/>
        </w:rPr>
        <w:t>ل</w:t>
      </w:r>
      <w:r w:rsidR="00B52366">
        <w:rPr>
          <w:rFonts w:hint="cs"/>
          <w:sz w:val="16"/>
          <w:szCs w:val="22"/>
          <w:rtl/>
          <w:lang w:bidi="ar-EG"/>
        </w:rPr>
        <w:t>ج</w:t>
      </w:r>
      <w:r w:rsidR="00B52366" w:rsidRPr="00E45690">
        <w:rPr>
          <w:rFonts w:hint="cs"/>
          <w:sz w:val="16"/>
          <w:szCs w:val="22"/>
          <w:rtl/>
          <w:lang w:bidi="ar-EG"/>
        </w:rPr>
        <w:t>نة</w:t>
      </w:r>
      <w:r w:rsidRPr="00E45690">
        <w:rPr>
          <w:sz w:val="16"/>
          <w:szCs w:val="22"/>
          <w:rtl/>
          <w:lang w:bidi="ar-EG"/>
        </w:rPr>
        <w:t xml:space="preserve"> الدراسات </w:t>
      </w:r>
      <w:r w:rsidR="00D1645B">
        <w:rPr>
          <w:sz w:val="16"/>
          <w:szCs w:val="22"/>
        </w:rPr>
        <w:t>6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0D1EDC" w:rsidRPr="00E45690" w:rsidRDefault="000D1EDC" w:rsidP="000D1EDC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 xml:space="preserve">الهيئات </w:t>
      </w:r>
      <w:r w:rsidR="00B52366" w:rsidRPr="00E45690">
        <w:rPr>
          <w:rFonts w:hint="cs"/>
          <w:sz w:val="16"/>
          <w:szCs w:val="22"/>
          <w:rtl/>
        </w:rPr>
        <w:t>الأكادي</w:t>
      </w:r>
      <w:r w:rsidR="00B52366">
        <w:rPr>
          <w:rFonts w:hint="cs"/>
          <w:sz w:val="16"/>
          <w:szCs w:val="22"/>
          <w:rtl/>
        </w:rPr>
        <w:t>م</w:t>
      </w:r>
      <w:r w:rsidR="00B52366" w:rsidRPr="00E45690">
        <w:rPr>
          <w:rFonts w:hint="cs"/>
          <w:sz w:val="16"/>
          <w:szCs w:val="22"/>
          <w:rtl/>
        </w:rPr>
        <w:t>ية</w:t>
      </w:r>
      <w:r w:rsidRPr="00E45690">
        <w:rPr>
          <w:rFonts w:hint="cs"/>
          <w:sz w:val="16"/>
          <w:szCs w:val="22"/>
          <w:rtl/>
        </w:rPr>
        <w:t xml:space="preserve"> </w:t>
      </w:r>
      <w:r w:rsidR="00B52366" w:rsidRPr="00E45690">
        <w:rPr>
          <w:rFonts w:hint="cs"/>
          <w:sz w:val="16"/>
          <w:szCs w:val="22"/>
          <w:rtl/>
        </w:rPr>
        <w:t>ال</w:t>
      </w:r>
      <w:r w:rsidR="00B52366">
        <w:rPr>
          <w:rFonts w:hint="cs"/>
          <w:sz w:val="16"/>
          <w:szCs w:val="22"/>
          <w:rtl/>
        </w:rPr>
        <w:t>م</w:t>
      </w:r>
      <w:r w:rsidR="00B52366" w:rsidRPr="00E45690">
        <w:rPr>
          <w:rFonts w:hint="cs"/>
          <w:sz w:val="16"/>
          <w:szCs w:val="22"/>
          <w:rtl/>
        </w:rPr>
        <w:t>نضمة</w:t>
      </w:r>
      <w:r w:rsidRPr="00E45690">
        <w:rPr>
          <w:rFonts w:hint="cs"/>
          <w:sz w:val="16"/>
          <w:szCs w:val="22"/>
          <w:rtl/>
        </w:rPr>
        <w:t xml:space="preserve"> إلى </w:t>
      </w:r>
      <w:r w:rsidR="00B52366">
        <w:rPr>
          <w:rFonts w:hint="cs"/>
          <w:sz w:val="16"/>
          <w:szCs w:val="22"/>
          <w:rtl/>
        </w:rPr>
        <w:t>الاتحاد</w:t>
      </w:r>
    </w:p>
    <w:p w:rsidR="000D1EDC" w:rsidRPr="00E45690" w:rsidRDefault="000D1EDC" w:rsidP="000D1EDC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رؤساء ل</w:t>
      </w:r>
      <w:r w:rsidR="00B52366">
        <w:rPr>
          <w:rFonts w:hint="cs"/>
          <w:sz w:val="16"/>
          <w:szCs w:val="22"/>
          <w:rtl/>
          <w:lang w:bidi="ar-EG"/>
        </w:rPr>
        <w:t>جان</w:t>
      </w:r>
      <w:r w:rsidRPr="00E45690">
        <w:rPr>
          <w:sz w:val="16"/>
          <w:szCs w:val="22"/>
          <w:rtl/>
          <w:lang w:bidi="ar-EG"/>
        </w:rPr>
        <w:t xml:space="preserve"> دراسات الاتصالات الراديوية </w:t>
      </w:r>
      <w:r>
        <w:rPr>
          <w:rFonts w:hint="cs"/>
          <w:sz w:val="16"/>
          <w:szCs w:val="22"/>
          <w:rtl/>
          <w:lang w:bidi="ar-EG"/>
        </w:rPr>
        <w:t>ونوابهم</w:t>
      </w:r>
    </w:p>
    <w:p w:rsidR="000D1EDC" w:rsidRPr="00E45690" w:rsidRDefault="000D1EDC" w:rsidP="000D1EDC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رئيس الاجتماع التحضيري </w:t>
      </w:r>
      <w:r w:rsidR="00B52366" w:rsidRPr="00E45690">
        <w:rPr>
          <w:rFonts w:hint="cs"/>
          <w:sz w:val="16"/>
          <w:szCs w:val="22"/>
          <w:rtl/>
          <w:lang w:bidi="ar-EG"/>
        </w:rPr>
        <w:t>للمؤت</w:t>
      </w:r>
      <w:r w:rsidR="00B52366">
        <w:rPr>
          <w:rFonts w:hint="cs"/>
          <w:sz w:val="16"/>
          <w:szCs w:val="22"/>
          <w:rtl/>
          <w:lang w:bidi="ar-EG"/>
        </w:rPr>
        <w:t>م</w:t>
      </w:r>
      <w:r w:rsidR="00B52366" w:rsidRPr="00E45690">
        <w:rPr>
          <w:rFonts w:hint="cs"/>
          <w:sz w:val="16"/>
          <w:szCs w:val="22"/>
          <w:rtl/>
          <w:lang w:bidi="ar-EG"/>
        </w:rPr>
        <w:t>ر</w:t>
      </w:r>
      <w:r w:rsidRPr="00E45690">
        <w:rPr>
          <w:sz w:val="16"/>
          <w:szCs w:val="22"/>
          <w:rtl/>
          <w:lang w:bidi="ar-EG"/>
        </w:rPr>
        <w:t xml:space="preserve"> ونوابه</w:t>
      </w:r>
    </w:p>
    <w:p w:rsidR="000D1EDC" w:rsidRPr="00E45690" w:rsidRDefault="000D1EDC" w:rsidP="000D1EDC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أعضاء </w:t>
      </w:r>
      <w:r w:rsidR="00B52366" w:rsidRPr="00E45690">
        <w:rPr>
          <w:rFonts w:hint="cs"/>
          <w:sz w:val="16"/>
          <w:szCs w:val="22"/>
          <w:rtl/>
          <w:lang w:bidi="ar-EG"/>
        </w:rPr>
        <w:t>ل</w:t>
      </w:r>
      <w:r w:rsidR="00B52366">
        <w:rPr>
          <w:rFonts w:hint="cs"/>
          <w:sz w:val="16"/>
          <w:szCs w:val="22"/>
          <w:rtl/>
          <w:lang w:bidi="ar-EG"/>
        </w:rPr>
        <w:t>ج</w:t>
      </w:r>
      <w:r w:rsidR="00B52366" w:rsidRPr="00E45690">
        <w:rPr>
          <w:rFonts w:hint="cs"/>
          <w:sz w:val="16"/>
          <w:szCs w:val="22"/>
          <w:rtl/>
          <w:lang w:bidi="ar-EG"/>
        </w:rPr>
        <w:t>نة</w:t>
      </w:r>
      <w:r w:rsidRPr="00E45690">
        <w:rPr>
          <w:sz w:val="16"/>
          <w:szCs w:val="22"/>
          <w:rtl/>
          <w:lang w:bidi="ar-EG"/>
        </w:rPr>
        <w:t xml:space="preserve"> لوائح الراديو</w:t>
      </w:r>
    </w:p>
    <w:p w:rsidR="000D1EDC" w:rsidRPr="00E45690" w:rsidRDefault="000D1EDC" w:rsidP="000D1EDC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الأمين العام </w:t>
      </w:r>
      <w:r w:rsidR="00B52366" w:rsidRPr="00E45690">
        <w:rPr>
          <w:rFonts w:hint="cs"/>
          <w:sz w:val="16"/>
          <w:szCs w:val="22"/>
          <w:rtl/>
          <w:lang w:bidi="ar-EG"/>
        </w:rPr>
        <w:t>للات</w:t>
      </w:r>
      <w:r w:rsidR="00B52366">
        <w:rPr>
          <w:rFonts w:hint="cs"/>
          <w:sz w:val="16"/>
          <w:szCs w:val="22"/>
          <w:rtl/>
          <w:lang w:bidi="ar-EG"/>
        </w:rPr>
        <w:t>ح</w:t>
      </w:r>
      <w:r w:rsidR="00B52366" w:rsidRPr="00E45690">
        <w:rPr>
          <w:rFonts w:hint="cs"/>
          <w:sz w:val="16"/>
          <w:szCs w:val="22"/>
          <w:rtl/>
          <w:lang w:bidi="ar-EG"/>
        </w:rPr>
        <w:t>اد</w:t>
      </w:r>
      <w:r w:rsidRPr="00E45690">
        <w:rPr>
          <w:sz w:val="16"/>
          <w:szCs w:val="22"/>
          <w:rtl/>
          <w:lang w:bidi="ar-EG"/>
        </w:rPr>
        <w:t xml:space="preserve"> ومدير مكتب تقييس الاتصالات ومدير مكتب تنمية الاتصالات</w:t>
      </w:r>
    </w:p>
    <w:p w:rsidR="000D1EDC" w:rsidRDefault="000D1EDC" w:rsidP="000D1EDC">
      <w:pPr>
        <w:rPr>
          <w:rtl/>
          <w:lang w:bidi="ar-EG"/>
        </w:rPr>
      </w:pPr>
      <w:r>
        <w:rPr>
          <w:rtl/>
        </w:rPr>
        <w:br w:type="page"/>
      </w:r>
    </w:p>
    <w:p w:rsidR="000D1EDC" w:rsidRDefault="00B52366" w:rsidP="00651E76">
      <w:pPr>
        <w:pStyle w:val="AnnexNo0"/>
        <w:rPr>
          <w:rtl/>
          <w:lang w:val="en-GB"/>
        </w:rPr>
      </w:pPr>
      <w:r w:rsidRPr="008D3F8E">
        <w:rPr>
          <w:rFonts w:hint="cs"/>
          <w:rtl/>
        </w:rPr>
        <w:lastRenderedPageBreak/>
        <w:t>الملحق</w:t>
      </w:r>
    </w:p>
    <w:p w:rsidR="000D1EDC" w:rsidRDefault="000D1EDC" w:rsidP="00E10E42">
      <w:pPr>
        <w:pStyle w:val="Annextitle0"/>
        <w:rPr>
          <w:rtl/>
        </w:rPr>
      </w:pPr>
      <w:r w:rsidRPr="008D3F8E">
        <w:rPr>
          <w:rFonts w:hint="cs"/>
          <w:rtl/>
        </w:rPr>
        <w:t>عناوين و</w:t>
      </w:r>
      <w:r w:rsidR="00E10E42">
        <w:rPr>
          <w:rFonts w:hint="cs"/>
          <w:rtl/>
        </w:rPr>
        <w:t>ملخصات</w:t>
      </w:r>
      <w:r w:rsidRPr="008D3F8E">
        <w:rPr>
          <w:rFonts w:hint="cs"/>
          <w:rtl/>
        </w:rPr>
        <w:t xml:space="preserve"> مشاريع التوصيات</w:t>
      </w:r>
    </w:p>
    <w:p w:rsidR="000D1EDC" w:rsidRDefault="000D1EDC" w:rsidP="00E10E4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مشروع التوصية</w:t>
      </w:r>
      <w:r>
        <w:rPr>
          <w:rFonts w:hint="cs"/>
          <w:u w:val="single"/>
          <w:rtl/>
        </w:rPr>
        <w:t xml:space="preserve"> الجديدة</w:t>
      </w:r>
      <w:r w:rsidRPr="00887D67">
        <w:rPr>
          <w:rFonts w:hint="cs"/>
          <w:u w:val="single"/>
          <w:rtl/>
        </w:rPr>
        <w:t xml:space="preserve"> </w:t>
      </w:r>
      <w:r w:rsidR="00E10E42" w:rsidRPr="00E10E42">
        <w:rPr>
          <w:u w:val="single"/>
        </w:rPr>
        <w:t>ITU-R BS.[</w:t>
      </w:r>
      <w:proofErr w:type="spellStart"/>
      <w:r w:rsidR="00E10E42" w:rsidRPr="00E10E42">
        <w:rPr>
          <w:u w:val="single"/>
        </w:rPr>
        <w:t>NEW1286</w:t>
      </w:r>
      <w:proofErr w:type="spellEnd"/>
      <w:r w:rsidR="00E10E42" w:rsidRPr="00E10E42">
        <w:rPr>
          <w:u w:val="single"/>
        </w:rPr>
        <w:t>]</w:t>
      </w:r>
      <w:r>
        <w:rPr>
          <w:rFonts w:hint="cs"/>
          <w:rtl/>
          <w:lang w:bidi="ar-EG"/>
        </w:rPr>
        <w:tab/>
        <w:t xml:space="preserve">الوثيقة </w:t>
      </w:r>
      <w:r w:rsidR="00E10E42" w:rsidRPr="00E10E42">
        <w:rPr>
          <w:lang w:bidi="ar-EG"/>
        </w:rPr>
        <w:t>6/306(</w:t>
      </w:r>
      <w:proofErr w:type="spellStart"/>
      <w:r w:rsidR="00E10E42" w:rsidRPr="00E10E42">
        <w:rPr>
          <w:lang w:bidi="ar-EG"/>
        </w:rPr>
        <w:t>Rev.1</w:t>
      </w:r>
      <w:proofErr w:type="spellEnd"/>
      <w:r w:rsidR="00E10E42" w:rsidRPr="00E10E42">
        <w:rPr>
          <w:lang w:bidi="ar-EG"/>
        </w:rPr>
        <w:t>)</w:t>
      </w:r>
    </w:p>
    <w:p w:rsidR="000D1EDC" w:rsidRDefault="00E10E42" w:rsidP="00B50993">
      <w:pPr>
        <w:pStyle w:val="Rectitle"/>
        <w:spacing w:before="240" w:after="240"/>
        <w:rPr>
          <w:rtl/>
          <w:lang w:bidi="ar-EG"/>
        </w:rPr>
      </w:pPr>
      <w:r w:rsidRPr="00E10E42">
        <w:rPr>
          <w:rtl/>
        </w:rPr>
        <w:t>طرائق</w:t>
      </w:r>
      <w:r w:rsidRPr="00E10E42">
        <w:rPr>
          <w:rFonts w:hint="cs"/>
          <w:rtl/>
        </w:rPr>
        <w:t xml:space="preserve"> للتقييم</w:t>
      </w:r>
      <w:r w:rsidRPr="00E10E42">
        <w:rPr>
          <w:rtl/>
        </w:rPr>
        <w:t xml:space="preserve"> الشخصي </w:t>
      </w:r>
      <w:r w:rsidRPr="00E10E42">
        <w:rPr>
          <w:rFonts w:hint="cs"/>
          <w:rtl/>
        </w:rPr>
        <w:t>لأنظمة صوتية مع صور مصاحبة</w:t>
      </w:r>
    </w:p>
    <w:p w:rsidR="00E10E42" w:rsidRDefault="00DD65EB" w:rsidP="00DD65E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توضح هذه التوصية </w:t>
      </w:r>
      <w:r w:rsidRPr="00E10E42">
        <w:rPr>
          <w:rtl/>
        </w:rPr>
        <w:t>طرائق</w:t>
      </w:r>
      <w:r w:rsidRPr="00E10E42">
        <w:rPr>
          <w:rFonts w:hint="cs"/>
          <w:rtl/>
        </w:rPr>
        <w:t xml:space="preserve"> للتقييم</w:t>
      </w:r>
      <w:r w:rsidRPr="00E10E42">
        <w:rPr>
          <w:rtl/>
        </w:rPr>
        <w:t xml:space="preserve"> الشخصي </w:t>
      </w:r>
      <w:r w:rsidRPr="00E10E42">
        <w:rPr>
          <w:rFonts w:hint="cs"/>
          <w:rtl/>
        </w:rPr>
        <w:t>لأنظمة صوتية مع صور مصاحبة</w:t>
      </w:r>
      <w:r>
        <w:rPr>
          <w:rFonts w:hint="cs"/>
          <w:rtl/>
        </w:rPr>
        <w:t xml:space="preserve">. وتدعم التوصية كل من الطرائق الخاصة بالأنظمة الصوتية المجسمة متعددة القنوات حتى </w:t>
      </w:r>
      <w:r>
        <w:t>3/2</w:t>
      </w:r>
      <w:r>
        <w:rPr>
          <w:rFonts w:hint="cs"/>
          <w:rtl/>
          <w:lang w:bidi="ar-EG"/>
        </w:rPr>
        <w:t xml:space="preserve"> مع صورة عالية الوضوح كما توصف في التوصية </w:t>
      </w:r>
      <w:r w:rsidRPr="009078B6">
        <w:rPr>
          <w:spacing w:val="-4"/>
          <w:lang w:bidi="ar-EG"/>
        </w:rPr>
        <w:t xml:space="preserve">ITU-R </w:t>
      </w:r>
      <w:proofErr w:type="spellStart"/>
      <w:r w:rsidRPr="009078B6">
        <w:rPr>
          <w:spacing w:val="-4"/>
          <w:lang w:bidi="ar-EG"/>
        </w:rPr>
        <w:t>BS.1286</w:t>
      </w:r>
      <w:proofErr w:type="spellEnd"/>
      <w:r>
        <w:rPr>
          <w:rFonts w:hint="cs"/>
          <w:rtl/>
          <w:lang w:bidi="ar-EG"/>
        </w:rPr>
        <w:t xml:space="preserve"> والطرائق الخاصة بالأنظمة الصوتية المتقدمة التي تصاحبها صورة للتلفزيون فائق الوضوح.</w:t>
      </w:r>
    </w:p>
    <w:p w:rsidR="00E10E42" w:rsidRDefault="00E10E42" w:rsidP="00E10E4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مشروع التوصية</w:t>
      </w:r>
      <w:r>
        <w:rPr>
          <w:rFonts w:hint="cs"/>
          <w:u w:val="single"/>
          <w:rtl/>
        </w:rPr>
        <w:t xml:space="preserve"> الجديدة</w:t>
      </w:r>
      <w:r w:rsidRPr="00887D67">
        <w:rPr>
          <w:rFonts w:hint="cs"/>
          <w:u w:val="single"/>
          <w:rtl/>
        </w:rPr>
        <w:t xml:space="preserve"> </w:t>
      </w:r>
      <w:r w:rsidRPr="00E10E42">
        <w:rPr>
          <w:u w:val="single"/>
        </w:rPr>
        <w:t>ITU-R BS.[RENDERER]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rFonts w:asciiTheme="minorHAnsi" w:hAnsiTheme="minorHAnsi" w:cstheme="minorHAnsi"/>
          <w:sz w:val="24"/>
          <w:szCs w:val="24"/>
        </w:rPr>
        <w:t>6/308(</w:t>
      </w:r>
      <w:proofErr w:type="spellStart"/>
      <w:r>
        <w:rPr>
          <w:rFonts w:asciiTheme="minorHAnsi" w:hAnsiTheme="minorHAnsi" w:cstheme="minorHAnsi"/>
          <w:sz w:val="24"/>
          <w:szCs w:val="24"/>
        </w:rPr>
        <w:t>Rev.2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E10E42" w:rsidRDefault="00DD65EB" w:rsidP="00B50993">
      <w:pPr>
        <w:pStyle w:val="Rectitle"/>
        <w:spacing w:before="240" w:after="240"/>
        <w:rPr>
          <w:rtl/>
          <w:lang w:bidi="ar-EG"/>
        </w:rPr>
      </w:pPr>
      <w:r>
        <w:rPr>
          <w:rFonts w:hint="cs"/>
          <w:rtl/>
          <w:lang w:bidi="ar-EG"/>
        </w:rPr>
        <w:t>عارض نموذج تعريف الإشارة السمعية من أجل الأنظمة الصوتية المتقدمة</w:t>
      </w:r>
    </w:p>
    <w:p w:rsidR="000D1EDC" w:rsidRPr="009078B6" w:rsidRDefault="00DD65EB" w:rsidP="009078B6">
      <w:pPr>
        <w:rPr>
          <w:spacing w:val="-4"/>
          <w:rtl/>
          <w:lang w:bidi="ar-EG"/>
        </w:rPr>
      </w:pPr>
      <w:r w:rsidRPr="009078B6">
        <w:rPr>
          <w:rFonts w:hint="cs"/>
          <w:spacing w:val="-4"/>
          <w:rtl/>
          <w:lang w:bidi="ar-EG"/>
        </w:rPr>
        <w:t xml:space="preserve">توصف هذه التوصية العارض المرجعي الخاص بالاستعمال مع الأنظمة الصوتية المتقدمة </w:t>
      </w:r>
      <w:r w:rsidRPr="00B50993">
        <w:rPr>
          <w:rFonts w:hint="cs"/>
          <w:spacing w:val="-4"/>
          <w:rtl/>
          <w:lang w:bidi="ar-EG"/>
        </w:rPr>
        <w:t>الموصفة</w:t>
      </w:r>
      <w:r w:rsidRPr="009078B6">
        <w:rPr>
          <w:rFonts w:hint="cs"/>
          <w:spacing w:val="-4"/>
          <w:rtl/>
          <w:lang w:bidi="ar-EG"/>
        </w:rPr>
        <w:t xml:space="preserve"> في التوصية</w:t>
      </w:r>
      <w:r w:rsidR="009078B6">
        <w:rPr>
          <w:rFonts w:hint="eastAsia"/>
          <w:spacing w:val="-4"/>
          <w:rtl/>
          <w:lang w:bidi="ar-EG"/>
        </w:rPr>
        <w:t> </w:t>
      </w:r>
      <w:r w:rsidRPr="009078B6">
        <w:rPr>
          <w:spacing w:val="-4"/>
          <w:lang w:bidi="ar-EG"/>
        </w:rPr>
        <w:t>ITU</w:t>
      </w:r>
      <w:r w:rsidR="009078B6" w:rsidRPr="009078B6">
        <w:rPr>
          <w:spacing w:val="-4"/>
          <w:lang w:bidi="ar-EG"/>
        </w:rPr>
        <w:noBreakHyphen/>
      </w:r>
      <w:r w:rsidRPr="009078B6">
        <w:rPr>
          <w:spacing w:val="-4"/>
          <w:lang w:bidi="ar-EG"/>
        </w:rPr>
        <w:t>R</w:t>
      </w:r>
      <w:r w:rsidR="009078B6" w:rsidRPr="009078B6">
        <w:rPr>
          <w:spacing w:val="-4"/>
          <w:lang w:bidi="ar-EG"/>
        </w:rPr>
        <w:t> </w:t>
      </w:r>
      <w:proofErr w:type="spellStart"/>
      <w:r w:rsidRPr="009078B6">
        <w:rPr>
          <w:spacing w:val="-4"/>
          <w:lang w:bidi="ar-EG"/>
        </w:rPr>
        <w:t>BS.2051</w:t>
      </w:r>
      <w:proofErr w:type="spellEnd"/>
      <w:r w:rsidR="009078B6" w:rsidRPr="009078B6">
        <w:rPr>
          <w:spacing w:val="-4"/>
          <w:lang w:bidi="ar-EG"/>
        </w:rPr>
        <w:noBreakHyphen/>
      </w:r>
      <w:r w:rsidRPr="009078B6">
        <w:rPr>
          <w:spacing w:val="-4"/>
          <w:lang w:bidi="ar-EG"/>
        </w:rPr>
        <w:t>2</w:t>
      </w:r>
      <w:r w:rsidRPr="009078B6">
        <w:rPr>
          <w:rFonts w:hint="cs"/>
          <w:spacing w:val="-4"/>
          <w:rtl/>
          <w:lang w:bidi="ar-EG"/>
        </w:rPr>
        <w:t xml:space="preserve"> والبيانات</w:t>
      </w:r>
      <w:r w:rsidR="009078B6">
        <w:rPr>
          <w:rFonts w:hint="eastAsia"/>
          <w:spacing w:val="-4"/>
          <w:rtl/>
          <w:lang w:bidi="ar-EG"/>
        </w:rPr>
        <w:t> </w:t>
      </w:r>
      <w:r w:rsidRPr="009078B6">
        <w:rPr>
          <w:rFonts w:hint="cs"/>
          <w:spacing w:val="-4"/>
          <w:rtl/>
          <w:lang w:bidi="ar-EG"/>
        </w:rPr>
        <w:t>الشرحية</w:t>
      </w:r>
      <w:r w:rsidR="009078B6" w:rsidRPr="009078B6">
        <w:rPr>
          <w:rFonts w:hint="cs"/>
          <w:spacing w:val="-4"/>
          <w:rtl/>
          <w:lang w:bidi="ar-EG"/>
        </w:rPr>
        <w:t xml:space="preserve"> ذات الصلة بالإشارة السمعية </w:t>
      </w:r>
      <w:r w:rsidR="009078B6" w:rsidRPr="00B50993">
        <w:rPr>
          <w:rFonts w:hint="cs"/>
          <w:spacing w:val="-4"/>
          <w:rtl/>
          <w:lang w:bidi="ar-EG"/>
        </w:rPr>
        <w:t>الموصفة</w:t>
      </w:r>
      <w:r w:rsidR="009078B6" w:rsidRPr="009078B6">
        <w:rPr>
          <w:rFonts w:hint="cs"/>
          <w:spacing w:val="-4"/>
          <w:rtl/>
          <w:lang w:bidi="ar-EG"/>
        </w:rPr>
        <w:t xml:space="preserve"> بنموذج تعريف الإشارة السمعية </w:t>
      </w:r>
      <w:r w:rsidR="009078B6" w:rsidRPr="009078B6">
        <w:rPr>
          <w:spacing w:val="-4"/>
          <w:lang w:bidi="ar-EG"/>
        </w:rPr>
        <w:t>(ADM)</w:t>
      </w:r>
      <w:r w:rsidR="009078B6" w:rsidRPr="009078B6">
        <w:rPr>
          <w:rFonts w:hint="cs"/>
          <w:spacing w:val="-4"/>
          <w:rtl/>
          <w:lang w:bidi="ar-EG"/>
        </w:rPr>
        <w:t xml:space="preserve"> الوارد في التوصية </w:t>
      </w:r>
      <w:r w:rsidR="009078B6" w:rsidRPr="009078B6">
        <w:rPr>
          <w:spacing w:val="-4"/>
          <w:lang w:bidi="ar-EG"/>
        </w:rPr>
        <w:t>ITU</w:t>
      </w:r>
      <w:r w:rsidR="009078B6" w:rsidRPr="009078B6">
        <w:rPr>
          <w:spacing w:val="-4"/>
          <w:lang w:bidi="ar-EG"/>
        </w:rPr>
        <w:noBreakHyphen/>
        <w:t>R </w:t>
      </w:r>
      <w:proofErr w:type="spellStart"/>
      <w:r w:rsidR="009078B6" w:rsidRPr="009078B6">
        <w:rPr>
          <w:spacing w:val="-4"/>
          <w:lang w:bidi="ar-EG"/>
        </w:rPr>
        <w:t>BS.2076</w:t>
      </w:r>
      <w:proofErr w:type="spellEnd"/>
      <w:r w:rsidR="009078B6">
        <w:rPr>
          <w:spacing w:val="-4"/>
          <w:lang w:bidi="ar-EG"/>
        </w:rPr>
        <w:noBreakHyphen/>
      </w:r>
      <w:r w:rsidR="009078B6" w:rsidRPr="009078B6">
        <w:rPr>
          <w:spacing w:val="-4"/>
          <w:lang w:bidi="ar-EG"/>
        </w:rPr>
        <w:t>1</w:t>
      </w:r>
      <w:r w:rsidR="009078B6" w:rsidRPr="009078B6">
        <w:rPr>
          <w:rFonts w:hint="cs"/>
          <w:spacing w:val="-4"/>
          <w:rtl/>
          <w:lang w:bidi="ar-EG"/>
        </w:rPr>
        <w:t>.</w:t>
      </w:r>
    </w:p>
    <w:p w:rsidR="00E10E42" w:rsidRDefault="00E10E42" w:rsidP="00651E7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مراجعة التوصية </w:t>
      </w:r>
      <w:r w:rsidR="00651E76" w:rsidRPr="00651E76">
        <w:rPr>
          <w:rFonts w:asciiTheme="minorHAnsi" w:hAnsiTheme="minorHAnsi" w:cstheme="minorHAnsi"/>
          <w:szCs w:val="22"/>
          <w:u w:val="single"/>
        </w:rPr>
        <w:t xml:space="preserve">ITU-R </w:t>
      </w:r>
      <w:proofErr w:type="spellStart"/>
      <w:r w:rsidR="00651E76" w:rsidRPr="00651E76">
        <w:rPr>
          <w:rFonts w:asciiTheme="minorHAnsi" w:hAnsiTheme="minorHAnsi" w:cstheme="minorHAnsi"/>
          <w:szCs w:val="22"/>
          <w:u w:val="single"/>
        </w:rPr>
        <w:t>BS.1114</w:t>
      </w:r>
      <w:proofErr w:type="spellEnd"/>
      <w:r w:rsidR="00651E76" w:rsidRPr="00651E76">
        <w:rPr>
          <w:rFonts w:asciiTheme="minorHAnsi" w:hAnsiTheme="minorHAnsi" w:cstheme="minorHAnsi"/>
          <w:szCs w:val="22"/>
          <w:u w:val="single"/>
        </w:rPr>
        <w:t>-10</w:t>
      </w:r>
      <w:r>
        <w:rPr>
          <w:rFonts w:hint="cs"/>
          <w:rtl/>
          <w:lang w:bidi="ar-EG"/>
        </w:rPr>
        <w:tab/>
        <w:t xml:space="preserve">الوثيقة </w:t>
      </w:r>
      <w:r w:rsidR="00651E76" w:rsidRPr="00651E76">
        <w:rPr>
          <w:lang w:bidi="ar-EG"/>
        </w:rPr>
        <w:t>6/310</w:t>
      </w:r>
    </w:p>
    <w:p w:rsidR="00E10E42" w:rsidRDefault="00651E76" w:rsidP="00B50993">
      <w:pPr>
        <w:pStyle w:val="Rectitle"/>
        <w:spacing w:before="240" w:after="240"/>
        <w:rPr>
          <w:rtl/>
          <w:lang w:bidi="ar-EG"/>
        </w:rPr>
      </w:pPr>
      <w:r w:rsidRPr="00651E76">
        <w:rPr>
          <w:rFonts w:hint="cs"/>
          <w:rtl/>
        </w:rPr>
        <w:t xml:space="preserve">أنظمة الإذاعة الصوتية الرقمية للأرض الموجهة </w:t>
      </w:r>
      <w:r w:rsidRPr="00651E76">
        <w:rPr>
          <w:rFonts w:hint="cs"/>
          <w:rtl/>
          <w:lang w:bidi="ar-EG"/>
        </w:rPr>
        <w:t>إلى</w:t>
      </w:r>
      <w:r w:rsidRPr="00651E76">
        <w:rPr>
          <w:rFonts w:hint="cs"/>
          <w:rtl/>
        </w:rPr>
        <w:t xml:space="preserve"> مستقبلات ثابتة ومحمولة </w:t>
      </w:r>
      <w:r>
        <w:rPr>
          <w:rtl/>
        </w:rPr>
        <w:br/>
      </w:r>
      <w:r w:rsidRPr="00651E76">
        <w:rPr>
          <w:rFonts w:hint="cs"/>
          <w:rtl/>
        </w:rPr>
        <w:t xml:space="preserve">ومركبة على متن مركبات في مدى التردد </w:t>
      </w:r>
      <w:r w:rsidRPr="00651E76">
        <w:rPr>
          <w:lang w:bidi="ar-EG"/>
        </w:rPr>
        <w:t>MHz 3 000-30</w:t>
      </w:r>
    </w:p>
    <w:p w:rsidR="00651E76" w:rsidRDefault="009078B6" w:rsidP="009078B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يدرج النظام </w:t>
      </w:r>
      <w:proofErr w:type="spellStart"/>
      <w:r>
        <w:rPr>
          <w:lang w:bidi="ar-EG"/>
        </w:rPr>
        <w:t>RAVIS</w:t>
      </w:r>
      <w:proofErr w:type="spellEnd"/>
      <w:r>
        <w:rPr>
          <w:rFonts w:hint="cs"/>
          <w:rtl/>
          <w:lang w:bidi="ar-EG"/>
        </w:rPr>
        <w:t xml:space="preserve"> في التوصية </w:t>
      </w:r>
      <w:r w:rsidRPr="009078B6">
        <w:rPr>
          <w:lang w:bidi="ar-EG"/>
        </w:rPr>
        <w:t xml:space="preserve">ITU-R </w:t>
      </w:r>
      <w:proofErr w:type="spellStart"/>
      <w:r w:rsidRPr="009078B6">
        <w:rPr>
          <w:lang w:bidi="ar-EG"/>
        </w:rPr>
        <w:t>BS.1114</w:t>
      </w:r>
      <w:proofErr w:type="spellEnd"/>
      <w:r>
        <w:rPr>
          <w:rFonts w:hint="cs"/>
          <w:rtl/>
          <w:lang w:bidi="ar-EG"/>
        </w:rPr>
        <w:t xml:space="preserve"> بوصفه النظام الرقمي </w:t>
      </w:r>
      <w:r>
        <w:rPr>
          <w:lang w:bidi="ar-EG"/>
        </w:rPr>
        <w:t>I</w:t>
      </w:r>
      <w:r>
        <w:rPr>
          <w:rFonts w:hint="cs"/>
          <w:rtl/>
          <w:lang w:bidi="ar-EG"/>
        </w:rPr>
        <w:t xml:space="preserve">.ويصف الملحق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الجديد خصائص النظام </w:t>
      </w:r>
      <w:proofErr w:type="spellStart"/>
      <w:r>
        <w:rPr>
          <w:lang w:bidi="ar-EG"/>
        </w:rPr>
        <w:t>RAVIS</w:t>
      </w:r>
      <w:proofErr w:type="spellEnd"/>
      <w:r>
        <w:rPr>
          <w:rFonts w:hint="cs"/>
          <w:rtl/>
          <w:lang w:bidi="ar-EG"/>
        </w:rPr>
        <w:t>.</w:t>
      </w:r>
    </w:p>
    <w:p w:rsidR="00651E76" w:rsidRDefault="00651E76" w:rsidP="00651E7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مراجعة التوصية </w:t>
      </w:r>
      <w:r w:rsidRPr="00651E76">
        <w:rPr>
          <w:rFonts w:asciiTheme="minorHAnsi" w:hAnsiTheme="minorHAnsi" w:cstheme="minorHAnsi"/>
          <w:szCs w:val="22"/>
          <w:u w:val="single"/>
        </w:rPr>
        <w:t xml:space="preserve">ITU-R </w:t>
      </w:r>
      <w:proofErr w:type="spellStart"/>
      <w:r w:rsidRPr="00651E76">
        <w:rPr>
          <w:rFonts w:asciiTheme="minorHAnsi" w:hAnsiTheme="minorHAnsi" w:cstheme="minorHAnsi"/>
          <w:szCs w:val="22"/>
          <w:u w:val="single"/>
        </w:rPr>
        <w:t>BS.1660</w:t>
      </w:r>
      <w:proofErr w:type="spellEnd"/>
      <w:r w:rsidRPr="00651E76">
        <w:rPr>
          <w:rFonts w:asciiTheme="minorHAnsi" w:hAnsiTheme="minorHAnsi" w:cstheme="minorHAnsi"/>
          <w:szCs w:val="22"/>
          <w:u w:val="single"/>
        </w:rPr>
        <w:t>-7</w:t>
      </w:r>
      <w:r>
        <w:rPr>
          <w:rFonts w:hint="cs"/>
          <w:rtl/>
          <w:lang w:bidi="ar-EG"/>
        </w:rPr>
        <w:tab/>
        <w:t xml:space="preserve">الوثيقة </w:t>
      </w:r>
      <w:r w:rsidRPr="00651E76">
        <w:rPr>
          <w:lang w:bidi="ar-EG"/>
        </w:rPr>
        <w:t>6/316</w:t>
      </w:r>
    </w:p>
    <w:p w:rsidR="00651E76" w:rsidRDefault="00651E76" w:rsidP="00B50993">
      <w:pPr>
        <w:pStyle w:val="Rectitle"/>
        <w:spacing w:before="240" w:after="240"/>
        <w:rPr>
          <w:rtl/>
          <w:lang w:bidi="ar-EG"/>
        </w:rPr>
      </w:pPr>
      <w:r w:rsidRPr="00651E76">
        <w:rPr>
          <w:rFonts w:hint="cs"/>
          <w:rtl/>
        </w:rPr>
        <w:t xml:space="preserve">الأساس التقني لتخطيط الإذاعة الصوتية الرقمية للأرض في النطاق </w:t>
      </w:r>
      <w:r w:rsidRPr="00651E76">
        <w:rPr>
          <w:lang w:bidi="ar-EG"/>
        </w:rPr>
        <w:t>VHF</w:t>
      </w:r>
    </w:p>
    <w:p w:rsidR="00651E76" w:rsidRDefault="009078B6" w:rsidP="00651E7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تدرج معلومات الخصائص التقنية للنظام الرقمي </w:t>
      </w:r>
      <w:r>
        <w:rPr>
          <w:lang w:bidi="ar-EG"/>
        </w:rPr>
        <w:t>C</w:t>
      </w:r>
      <w:r>
        <w:rPr>
          <w:rFonts w:hint="cs"/>
          <w:rtl/>
          <w:lang w:bidi="ar-EG"/>
        </w:rPr>
        <w:t xml:space="preserve"> (نظام الراديو </w:t>
      </w:r>
      <w:r>
        <w:rPr>
          <w:lang w:bidi="ar-EG"/>
        </w:rPr>
        <w:t>HD</w:t>
      </w:r>
      <w:r>
        <w:rPr>
          <w:rFonts w:hint="cs"/>
          <w:rtl/>
          <w:lang w:bidi="ar-EG"/>
        </w:rPr>
        <w:t xml:space="preserve">) في صورة الملحق 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الجديد. وفي الملحق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، تحدث معلومات النظام الرقمي </w:t>
      </w:r>
      <w:r>
        <w:rPr>
          <w:lang w:bidi="ar-EG"/>
        </w:rPr>
        <w:t>A</w:t>
      </w:r>
      <w:r>
        <w:rPr>
          <w:rFonts w:hint="cs"/>
          <w:rtl/>
          <w:lang w:bidi="ar-EG"/>
        </w:rPr>
        <w:t>.</w:t>
      </w:r>
    </w:p>
    <w:p w:rsidR="00651E76" w:rsidRDefault="00651E76" w:rsidP="00651E7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مراجعة التوصية </w:t>
      </w:r>
      <w:r w:rsidRPr="00651E76">
        <w:rPr>
          <w:rFonts w:asciiTheme="minorHAnsi" w:hAnsiTheme="minorHAnsi" w:cstheme="minorHAnsi"/>
          <w:szCs w:val="22"/>
          <w:u w:val="single"/>
        </w:rPr>
        <w:t xml:space="preserve">ITU-R </w:t>
      </w:r>
      <w:proofErr w:type="spellStart"/>
      <w:r w:rsidRPr="00651E76">
        <w:rPr>
          <w:rFonts w:asciiTheme="minorHAnsi" w:hAnsiTheme="minorHAnsi" w:cstheme="minorHAnsi"/>
          <w:szCs w:val="22"/>
          <w:u w:val="single"/>
        </w:rPr>
        <w:t>BT.2036</w:t>
      </w:r>
      <w:proofErr w:type="spellEnd"/>
      <w:r w:rsidRPr="00651E76">
        <w:rPr>
          <w:rFonts w:asciiTheme="minorHAnsi" w:hAnsiTheme="minorHAnsi" w:cstheme="minorHAnsi"/>
          <w:szCs w:val="22"/>
          <w:u w:val="single"/>
        </w:rPr>
        <w:t>-2</w:t>
      </w:r>
      <w:r>
        <w:rPr>
          <w:rFonts w:hint="cs"/>
          <w:rtl/>
          <w:lang w:bidi="ar-EG"/>
        </w:rPr>
        <w:tab/>
        <w:t xml:space="preserve">الوثيقة </w:t>
      </w:r>
      <w:r w:rsidRPr="00651E76">
        <w:rPr>
          <w:lang w:bidi="ar-EG"/>
        </w:rPr>
        <w:t>6/321</w:t>
      </w:r>
    </w:p>
    <w:p w:rsidR="00651E76" w:rsidRDefault="00651E76" w:rsidP="00B50993">
      <w:pPr>
        <w:pStyle w:val="Rectitle"/>
        <w:spacing w:before="240" w:after="240"/>
        <w:rPr>
          <w:rtl/>
        </w:rPr>
      </w:pPr>
      <w:bookmarkStart w:id="1" w:name="_Toc515001622"/>
      <w:r w:rsidRPr="00651E76">
        <w:rPr>
          <w:rtl/>
        </w:rPr>
        <w:t>خصائص نظام استقبال مرجعي لتخطيط ترددات أنظمة التلفزيون الرقمي للأرض</w:t>
      </w:r>
      <w:bookmarkEnd w:id="1"/>
    </w:p>
    <w:p w:rsidR="00651E76" w:rsidRDefault="00ED06DB" w:rsidP="00B50993">
      <w:pPr>
        <w:keepNext/>
        <w:keepLines/>
        <w:rPr>
          <w:rtl/>
          <w:lang w:bidi="ar-EG"/>
        </w:rPr>
      </w:pPr>
      <w:r>
        <w:rPr>
          <w:rFonts w:hint="cs"/>
          <w:rtl/>
        </w:rPr>
        <w:t xml:space="preserve">تتمثل المراجعة المقترحة في الاستعاضة عن الجدول </w:t>
      </w:r>
      <w:r>
        <w:t>16</w:t>
      </w:r>
      <w:r>
        <w:rPr>
          <w:rFonts w:hint="cs"/>
          <w:rtl/>
          <w:lang w:bidi="ar-EG"/>
        </w:rPr>
        <w:t xml:space="preserve"> الحالي للتوصية</w:t>
      </w:r>
      <w:r>
        <w:rPr>
          <w:rFonts w:hint="cs"/>
          <w:rtl/>
        </w:rPr>
        <w:t xml:space="preserve"> </w:t>
      </w:r>
      <w:r w:rsidRPr="00ED06DB">
        <w:t xml:space="preserve">ITU-R </w:t>
      </w:r>
      <w:proofErr w:type="spellStart"/>
      <w:r w:rsidRPr="00ED06DB">
        <w:t>BT.2036</w:t>
      </w:r>
      <w:proofErr w:type="spellEnd"/>
      <w:r w:rsidR="00651E76">
        <w:rPr>
          <w:rFonts w:hint="cs"/>
          <w:rtl/>
        </w:rPr>
        <w:t xml:space="preserve"> </w:t>
      </w:r>
      <w:r>
        <w:rPr>
          <w:rFonts w:hint="cs"/>
          <w:rtl/>
        </w:rPr>
        <w:t>الذي يقدم</w:t>
      </w:r>
      <w:r w:rsidR="00B52366">
        <w:rPr>
          <w:rFonts w:hint="cs"/>
          <w:rtl/>
        </w:rPr>
        <w:t xml:space="preserve"> </w:t>
      </w:r>
      <w:r w:rsidR="00651E76">
        <w:rPr>
          <w:rFonts w:hint="cs"/>
          <w:rtl/>
        </w:rPr>
        <w:t>"</w:t>
      </w:r>
      <w:r w:rsidR="00651E76" w:rsidRPr="00651E76">
        <w:rPr>
          <w:rFonts w:hint="cs"/>
          <w:rtl/>
        </w:rPr>
        <w:t>خصائص المستقبِل المرجعي ل</w:t>
      </w:r>
      <w:r w:rsidR="00651E76" w:rsidRPr="00651E76">
        <w:rPr>
          <w:rtl/>
        </w:rPr>
        <w:t>لإذاعة الرقمية للأرض متكاملة الخدمات</w:t>
      </w:r>
      <w:r w:rsidR="00651E76" w:rsidRPr="00651E76">
        <w:rPr>
          <w:rFonts w:hint="cs"/>
          <w:rtl/>
        </w:rPr>
        <w:t xml:space="preserve"> </w:t>
      </w:r>
      <w:r w:rsidR="00651E76">
        <w:t>(</w:t>
      </w:r>
      <w:proofErr w:type="spellStart"/>
      <w:r w:rsidR="00651E76" w:rsidRPr="00651E76">
        <w:t>ISDB</w:t>
      </w:r>
      <w:proofErr w:type="spellEnd"/>
      <w:r w:rsidR="00651E76" w:rsidRPr="00651E76">
        <w:t>-T</w:t>
      </w:r>
      <w:r w:rsidR="00651E76">
        <w:t>)</w:t>
      </w:r>
      <w:r w:rsidR="00651E76">
        <w:rPr>
          <w:rFonts w:hint="cs"/>
          <w:rtl/>
        </w:rPr>
        <w:t xml:space="preserve"> </w:t>
      </w:r>
      <w:r w:rsidR="00651E76" w:rsidRPr="00651E76">
        <w:rPr>
          <w:rFonts w:hint="cs"/>
          <w:rtl/>
        </w:rPr>
        <w:t>في تخطيط ال</w:t>
      </w:r>
      <w:r w:rsidR="00651E76" w:rsidRPr="00651E76">
        <w:rPr>
          <w:rtl/>
        </w:rPr>
        <w:t xml:space="preserve">إذاعة </w:t>
      </w:r>
      <w:r w:rsidR="00651E76" w:rsidRPr="00651E76">
        <w:rPr>
          <w:rFonts w:hint="cs"/>
          <w:rtl/>
        </w:rPr>
        <w:t>ال</w:t>
      </w:r>
      <w:r w:rsidR="00651E76" w:rsidRPr="00651E76">
        <w:rPr>
          <w:rtl/>
        </w:rPr>
        <w:t xml:space="preserve">تلفزيونية </w:t>
      </w:r>
      <w:r w:rsidR="00651E76" w:rsidRPr="00651E76">
        <w:rPr>
          <w:rFonts w:hint="cs"/>
          <w:rtl/>
        </w:rPr>
        <w:t>ال</w:t>
      </w:r>
      <w:r w:rsidR="00651E76" w:rsidRPr="00651E76">
        <w:rPr>
          <w:rtl/>
        </w:rPr>
        <w:t xml:space="preserve">رقمية للأرض </w:t>
      </w:r>
      <w:r w:rsidR="00651E76">
        <w:t>(</w:t>
      </w:r>
      <w:proofErr w:type="spellStart"/>
      <w:r w:rsidR="00651E76" w:rsidRPr="00651E76">
        <w:t>DTTB</w:t>
      </w:r>
      <w:proofErr w:type="spellEnd"/>
      <w:r w:rsidR="00651E76">
        <w:t>)</w:t>
      </w:r>
      <w:r w:rsidR="00651E76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بجدولين: يتناول الأول حالة تداخل عادية والثاني </w:t>
      </w:r>
      <w:r w:rsidRPr="00B52366">
        <w:rPr>
          <w:rFonts w:hint="cs"/>
          <w:rtl/>
          <w:lang w:bidi="ar-EG"/>
        </w:rPr>
        <w:t>مناعة</w:t>
      </w:r>
      <w:r>
        <w:rPr>
          <w:rFonts w:hint="cs"/>
          <w:rtl/>
          <w:lang w:bidi="ar-EG"/>
        </w:rPr>
        <w:t xml:space="preserve"> المستقبل المرجعي </w:t>
      </w:r>
      <w:r w:rsidRPr="00651E76">
        <w:rPr>
          <w:rFonts w:hint="cs"/>
          <w:rtl/>
        </w:rPr>
        <w:t>ل</w:t>
      </w:r>
      <w:r w:rsidRPr="00651E76">
        <w:rPr>
          <w:rtl/>
        </w:rPr>
        <w:t>لإذاعة الرقمية للأرض متكاملة الخدمات</w:t>
      </w:r>
      <w:r>
        <w:rPr>
          <w:rFonts w:hint="cs"/>
          <w:rtl/>
          <w:lang w:bidi="ar-EG"/>
        </w:rPr>
        <w:t xml:space="preserve"> من التداخل شديد الإشارة وتضاف ملاحظات لشرح المصطلحات الجديدة المستخدمة في الجدولين.</w:t>
      </w:r>
    </w:p>
    <w:p w:rsidR="00651E76" w:rsidRDefault="00651E76" w:rsidP="00651E7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مراجعة التوصية </w:t>
      </w:r>
      <w:r w:rsidRPr="00651E76">
        <w:rPr>
          <w:rFonts w:asciiTheme="minorHAnsi" w:hAnsiTheme="minorHAnsi" w:cstheme="minorHAnsi"/>
          <w:szCs w:val="22"/>
          <w:u w:val="single"/>
        </w:rPr>
        <w:t xml:space="preserve">ITU-R </w:t>
      </w:r>
      <w:proofErr w:type="spellStart"/>
      <w:r w:rsidRPr="00651E76">
        <w:rPr>
          <w:rFonts w:asciiTheme="minorHAnsi" w:hAnsiTheme="minorHAnsi" w:cstheme="minorHAnsi"/>
          <w:szCs w:val="22"/>
          <w:u w:val="single"/>
        </w:rPr>
        <w:t>BT.2111</w:t>
      </w:r>
      <w:proofErr w:type="spellEnd"/>
      <w:r w:rsidRPr="00651E76">
        <w:rPr>
          <w:rFonts w:asciiTheme="minorHAnsi" w:hAnsiTheme="minorHAnsi" w:cstheme="minorHAnsi"/>
          <w:szCs w:val="22"/>
          <w:u w:val="single"/>
        </w:rPr>
        <w:t>-0</w:t>
      </w:r>
      <w:r>
        <w:rPr>
          <w:rFonts w:hint="cs"/>
          <w:rtl/>
          <w:lang w:bidi="ar-EG"/>
        </w:rPr>
        <w:tab/>
        <w:t xml:space="preserve">الوثيقة </w:t>
      </w:r>
      <w:r w:rsidRPr="00651E76">
        <w:rPr>
          <w:lang w:bidi="ar-EG"/>
        </w:rPr>
        <w:t>6/300</w:t>
      </w:r>
    </w:p>
    <w:p w:rsidR="00651E76" w:rsidRDefault="00ED06DB" w:rsidP="00B50993">
      <w:pPr>
        <w:pStyle w:val="Rectitle"/>
        <w:spacing w:before="240" w:after="240"/>
        <w:rPr>
          <w:rtl/>
        </w:rPr>
      </w:pPr>
      <w:r>
        <w:rPr>
          <w:rFonts w:hint="cs"/>
          <w:rtl/>
        </w:rPr>
        <w:t>مواصفات نموذج اختبار شريط الألوان للأنظمة التلفزيونية ذات المدى الدينامي العالي</w:t>
      </w:r>
    </w:p>
    <w:p w:rsidR="00651E76" w:rsidRDefault="00ED06DB" w:rsidP="00F0179A">
      <w:pPr>
        <w:rPr>
          <w:rtl/>
          <w:lang w:bidi="ar-EG"/>
        </w:rPr>
      </w:pPr>
      <w:r>
        <w:rPr>
          <w:rFonts w:hint="cs"/>
          <w:rtl/>
        </w:rPr>
        <w:t>توضح المراجعة مواصفة إشارة تدرج نموذج اختبار شريط الألوان للأنظمة التلفزيونية ذات المدى الدينامي العالي الواردة في الشكلين </w:t>
      </w:r>
      <w:r>
        <w:t>5</w:t>
      </w:r>
      <w:r>
        <w:rPr>
          <w:rFonts w:hint="cs"/>
          <w:rtl/>
          <w:lang w:bidi="ar-EG"/>
        </w:rPr>
        <w:t xml:space="preserve"> </w:t>
      </w:r>
      <w:r w:rsidR="00265027">
        <w:rPr>
          <w:rFonts w:hint="cs"/>
          <w:rtl/>
          <w:lang w:bidi="ar-EG"/>
        </w:rPr>
        <w:t>و</w:t>
      </w:r>
      <w:r w:rsidR="00265027">
        <w:rPr>
          <w:lang w:bidi="ar-EG"/>
        </w:rPr>
        <w:t>6</w:t>
      </w:r>
      <w:r w:rsidR="00265027">
        <w:rPr>
          <w:rFonts w:hint="cs"/>
          <w:rtl/>
          <w:lang w:bidi="ar-EG"/>
        </w:rPr>
        <w:t xml:space="preserve"> والجدولين </w:t>
      </w:r>
      <w:r w:rsidR="00265027">
        <w:rPr>
          <w:lang w:bidi="ar-EG"/>
        </w:rPr>
        <w:t>5</w:t>
      </w:r>
      <w:r w:rsidR="00265027">
        <w:rPr>
          <w:rFonts w:hint="cs"/>
          <w:rtl/>
          <w:lang w:bidi="ar-EG"/>
        </w:rPr>
        <w:t xml:space="preserve"> و</w:t>
      </w:r>
      <w:r w:rsidR="00265027">
        <w:rPr>
          <w:lang w:bidi="ar-EG"/>
        </w:rPr>
        <w:t>6</w:t>
      </w:r>
      <w:r w:rsidR="00265027">
        <w:rPr>
          <w:rFonts w:hint="cs"/>
          <w:rtl/>
          <w:lang w:bidi="ar-EG"/>
        </w:rPr>
        <w:t>. ويوضح بشكل</w:t>
      </w:r>
      <w:r w:rsidR="00F0179A">
        <w:rPr>
          <w:rFonts w:hint="cs"/>
          <w:rtl/>
          <w:lang w:bidi="ar-EG"/>
        </w:rPr>
        <w:t>ٍ</w:t>
      </w:r>
      <w:r w:rsidR="00265027">
        <w:rPr>
          <w:rFonts w:hint="cs"/>
          <w:rtl/>
          <w:lang w:bidi="ar-EG"/>
        </w:rPr>
        <w:t xml:space="preserve"> خاص عينات البدء والانتهاء للجزء الممهور بالرمز </w:t>
      </w:r>
      <w:r w:rsidR="00F0179A">
        <w:rPr>
          <w:lang w:bidi="ar-EG"/>
        </w:rPr>
        <w:t>"</w:t>
      </w:r>
      <w:r w:rsidR="00265027">
        <w:rPr>
          <w:lang w:bidi="ar-EG"/>
        </w:rPr>
        <w:t>C</w:t>
      </w:r>
      <w:r w:rsidR="00F0179A">
        <w:rPr>
          <w:lang w:bidi="ar-EG"/>
        </w:rPr>
        <w:t>"</w:t>
      </w:r>
      <w:r w:rsidR="00265027">
        <w:rPr>
          <w:rFonts w:hint="cs"/>
          <w:rtl/>
          <w:lang w:bidi="ar-EG"/>
        </w:rPr>
        <w:t xml:space="preserve"> في الشكلين </w:t>
      </w:r>
      <w:r w:rsidR="00265027">
        <w:rPr>
          <w:lang w:bidi="ar-EG"/>
        </w:rPr>
        <w:t>5</w:t>
      </w:r>
      <w:r w:rsidR="00265027">
        <w:rPr>
          <w:rFonts w:hint="cs"/>
          <w:rtl/>
          <w:lang w:bidi="ar-EG"/>
        </w:rPr>
        <w:t xml:space="preserve"> و</w:t>
      </w:r>
      <w:r w:rsidR="00265027">
        <w:rPr>
          <w:lang w:bidi="ar-EG"/>
        </w:rPr>
        <w:t>6</w:t>
      </w:r>
      <w:r w:rsidR="00265027">
        <w:rPr>
          <w:rFonts w:hint="cs"/>
          <w:rtl/>
          <w:lang w:bidi="ar-EG"/>
        </w:rPr>
        <w:t>.</w:t>
      </w:r>
    </w:p>
    <w:p w:rsidR="00651E76" w:rsidRDefault="00265027" w:rsidP="00651E76">
      <w:pPr>
        <w:rPr>
          <w:rtl/>
          <w:lang w:bidi="ar-EG"/>
        </w:rPr>
      </w:pPr>
      <w:r>
        <w:rPr>
          <w:rFonts w:hint="cs"/>
          <w:rtl/>
          <w:lang w:bidi="ar-EG"/>
        </w:rPr>
        <w:t>ونتيجة</w:t>
      </w:r>
      <w:r w:rsidR="00F0179A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لذلك، تم تعديل بعض القيم الأخرى المذكورة في الجدولين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. ويشمل هذان الجدولان حالياً أعمدة إضافية لعرض القيمتين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>-بتات و</w:t>
      </w:r>
      <w:r>
        <w:rPr>
          <w:lang w:bidi="ar-EG"/>
        </w:rPr>
        <w:t>12</w:t>
      </w:r>
      <w:r w:rsidR="00B52366">
        <w:rPr>
          <w:rFonts w:hint="cs"/>
          <w:rtl/>
          <w:lang w:bidi="ar-EG"/>
        </w:rPr>
        <w:t>-بتة</w:t>
      </w:r>
      <w:r>
        <w:rPr>
          <w:rFonts w:hint="cs"/>
          <w:rtl/>
          <w:lang w:bidi="ar-EG"/>
        </w:rPr>
        <w:t xml:space="preserve"> بشكل</w:t>
      </w:r>
      <w:r w:rsidR="00F0179A">
        <w:rPr>
          <w:rFonts w:hint="cs"/>
          <w:rtl/>
          <w:lang w:bidi="ar-EG"/>
        </w:rPr>
        <w:t>ٍ</w:t>
      </w:r>
      <w:r>
        <w:rPr>
          <w:rFonts w:hint="cs"/>
          <w:rtl/>
          <w:lang w:bidi="ar-EG"/>
        </w:rPr>
        <w:t xml:space="preserve"> منفصل. وهناك تعديلات أخرى أدخلت على الجداول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والشكل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عبارة عن تصويبات صياغية أو توضيحات.</w:t>
      </w:r>
    </w:p>
    <w:p w:rsidR="000D1EDC" w:rsidRDefault="000D1EDC" w:rsidP="000D1EDC">
      <w:pPr>
        <w:spacing w:before="600"/>
        <w:jc w:val="center"/>
      </w:pPr>
      <w:r>
        <w:rPr>
          <w:rtl/>
        </w:rPr>
        <w:t>___________</w:t>
      </w:r>
    </w:p>
    <w:sectPr w:rsidR="000D1EDC" w:rsidSect="008B5B5D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DC" w:rsidRDefault="000D1EDC" w:rsidP="00E07379">
      <w:pPr>
        <w:spacing w:before="0" w:line="240" w:lineRule="auto"/>
      </w:pPr>
      <w:r>
        <w:separator/>
      </w:r>
    </w:p>
  </w:endnote>
  <w:endnote w:type="continuationSeparator" w:id="0">
    <w:p w:rsidR="000D1EDC" w:rsidRDefault="000D1ED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  <w:proofErr w:type="spellEnd"/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  <w:proofErr w:type="spellEnd"/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DC" w:rsidRDefault="000D1EDC" w:rsidP="00E07379">
      <w:pPr>
        <w:spacing w:before="0" w:line="240" w:lineRule="auto"/>
      </w:pPr>
      <w:r>
        <w:separator/>
      </w:r>
    </w:p>
  </w:footnote>
  <w:footnote w:type="continuationSeparator" w:id="0">
    <w:p w:rsidR="000D1EDC" w:rsidRDefault="000D1ED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CE2B2D">
      <w:rPr>
        <w:rStyle w:val="PageNumber"/>
        <w:noProof/>
      </w:rPr>
      <w:t>4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D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7AE0"/>
    <w:rsid w:val="000D1EDC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65027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1E76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078B6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666B8"/>
    <w:rsid w:val="00A71DD6"/>
    <w:rsid w:val="00A723C7"/>
    <w:rsid w:val="00A80E11"/>
    <w:rsid w:val="00A97F94"/>
    <w:rsid w:val="00AB1309"/>
    <w:rsid w:val="00AC0B7D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50993"/>
    <w:rsid w:val="00B5236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1030"/>
    <w:rsid w:val="00C938A9"/>
    <w:rsid w:val="00CA2A38"/>
    <w:rsid w:val="00CA50FF"/>
    <w:rsid w:val="00CC3CD2"/>
    <w:rsid w:val="00CC43BE"/>
    <w:rsid w:val="00CD123C"/>
    <w:rsid w:val="00CD2085"/>
    <w:rsid w:val="00CE2B2D"/>
    <w:rsid w:val="00CE2EE1"/>
    <w:rsid w:val="00CF3FFD"/>
    <w:rsid w:val="00CF5ED3"/>
    <w:rsid w:val="00D0494C"/>
    <w:rsid w:val="00D14BEB"/>
    <w:rsid w:val="00D1645B"/>
    <w:rsid w:val="00D21C89"/>
    <w:rsid w:val="00D34647"/>
    <w:rsid w:val="00D37B45"/>
    <w:rsid w:val="00D45542"/>
    <w:rsid w:val="00D74DAD"/>
    <w:rsid w:val="00D77D0F"/>
    <w:rsid w:val="00DA1CF0"/>
    <w:rsid w:val="00DB2271"/>
    <w:rsid w:val="00DB5659"/>
    <w:rsid w:val="00DC24B4"/>
    <w:rsid w:val="00DC5E81"/>
    <w:rsid w:val="00DD65EB"/>
    <w:rsid w:val="00DD7A05"/>
    <w:rsid w:val="00DF16DC"/>
    <w:rsid w:val="00DF5361"/>
    <w:rsid w:val="00DF5990"/>
    <w:rsid w:val="00E009A1"/>
    <w:rsid w:val="00E00D15"/>
    <w:rsid w:val="00E071BE"/>
    <w:rsid w:val="00E07379"/>
    <w:rsid w:val="00E10E42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22DE"/>
    <w:rsid w:val="00ED06DB"/>
    <w:rsid w:val="00EE52CF"/>
    <w:rsid w:val="00F0179A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03B9501-E25B-49FF-9DA0-C2A5CB35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0D1E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0D1EDC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26E71-40FF-4AB7-A29E-973B437E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Song, Xiaojing</cp:lastModifiedBy>
  <cp:revision>4</cp:revision>
  <cp:lastPrinted>2019-04-15T13:21:00Z</cp:lastPrinted>
  <dcterms:created xsi:type="dcterms:W3CDTF">2019-04-15T13:20:00Z</dcterms:created>
  <dcterms:modified xsi:type="dcterms:W3CDTF">2019-04-17T14:18:00Z</dcterms:modified>
  <cp:category>Conference document</cp:category>
</cp:coreProperties>
</file>