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D71D46" w:rsidRDefault="00D71D46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76916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0C36E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16FE8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946A29">
              <w:rPr>
                <w:b/>
                <w:bCs/>
                <w:szCs w:val="24"/>
                <w:lang w:val="fr-CH"/>
              </w:rPr>
              <w:t>910</w:t>
            </w:r>
          </w:p>
        </w:tc>
        <w:tc>
          <w:tcPr>
            <w:tcW w:w="2835" w:type="dxa"/>
            <w:shd w:val="clear" w:color="auto" w:fill="auto"/>
          </w:tcPr>
          <w:p w:rsidR="00E53DCE" w:rsidRPr="00416FE8" w:rsidRDefault="00CA5CB5" w:rsidP="00C136E8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17 </w:t>
            </w:r>
            <w:r w:rsidR="00C136E8">
              <w:rPr>
                <w:szCs w:val="24"/>
                <w:lang w:val="fr-CH"/>
              </w:rPr>
              <w:t>juillet</w:t>
            </w:r>
            <w:r>
              <w:rPr>
                <w:szCs w:val="24"/>
                <w:lang w:val="fr-CH"/>
              </w:rPr>
              <w:t xml:space="preserve"> 2019</w:t>
            </w:r>
          </w:p>
        </w:tc>
      </w:tr>
      <w:tr w:rsidR="00E53DCE" w:rsidRPr="00D76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D76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00B4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CA5CB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416FE8" w:rsidRPr="005622AB">
              <w:rPr>
                <w:b/>
                <w:lang w:val="fr-CH"/>
              </w:rPr>
              <w:t>, aux Membres du Secteur des radiocommunications, aux Associés de l'UIT-R participa</w:t>
            </w:r>
            <w:r w:rsidR="00416FE8">
              <w:rPr>
                <w:b/>
                <w:lang w:val="fr-CH"/>
              </w:rPr>
              <w:t>nt aux travaux de la Commission</w:t>
            </w:r>
            <w:r w:rsidR="00D76916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d'études</w:t>
            </w:r>
            <w:r w:rsidR="00D76916">
              <w:rPr>
                <w:b/>
                <w:lang w:val="fr-CH"/>
              </w:rPr>
              <w:t> </w:t>
            </w:r>
            <w:r w:rsidR="00CA5CB5">
              <w:rPr>
                <w:b/>
                <w:lang w:val="fr-CH"/>
              </w:rPr>
              <w:t>4</w:t>
            </w:r>
            <w:r w:rsidR="00416FE8" w:rsidRPr="005622AB">
              <w:rPr>
                <w:b/>
                <w:lang w:val="fr-CH"/>
              </w:rPr>
              <w:t xml:space="preserve"> des radiocommunications et aux </w:t>
            </w:r>
            <w:r w:rsidR="00416FE8">
              <w:rPr>
                <w:b/>
                <w:lang w:val="fr-CH"/>
              </w:rPr>
              <w:t>é</w:t>
            </w:r>
            <w:r w:rsidR="00416FE8" w:rsidRPr="005622AB">
              <w:rPr>
                <w:b/>
                <w:lang w:val="fr-CH"/>
              </w:rPr>
              <w:t>tablissements universitaire</w:t>
            </w:r>
            <w:r w:rsidR="00416FE8">
              <w:rPr>
                <w:b/>
                <w:lang w:val="fr-CH"/>
              </w:rPr>
              <w:t>s</w:t>
            </w:r>
            <w:r w:rsidR="00416FE8" w:rsidRPr="0022079C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participa</w:t>
            </w:r>
            <w:r w:rsidR="00416FE8">
              <w:rPr>
                <w:b/>
                <w:lang w:val="fr-CH"/>
              </w:rPr>
              <w:t>nt aux travaux</w:t>
            </w:r>
            <w:r w:rsidR="00416FE8"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700B4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00B4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00B4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6FE8" w:rsidRPr="005622AB" w:rsidRDefault="00416FE8" w:rsidP="00AF5F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CA5CB5">
              <w:rPr>
                <w:b/>
                <w:bCs/>
                <w:lang w:val="fr-CH"/>
              </w:rPr>
              <w:t>4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AF5F2D" w:rsidRPr="00AF5F2D">
              <w:rPr>
                <w:b/>
                <w:bCs/>
                <w:lang w:val="fr-FR"/>
              </w:rPr>
              <w:t>Services par satellite</w:t>
            </w:r>
            <w:r>
              <w:rPr>
                <w:b/>
                <w:bCs/>
                <w:lang w:val="fr-CH"/>
              </w:rPr>
              <w:t>)</w:t>
            </w:r>
          </w:p>
          <w:p w:rsidR="00946607" w:rsidRPr="00F748BA" w:rsidRDefault="00416FE8" w:rsidP="00AF5F2D">
            <w:pPr>
              <w:pStyle w:val="enumlev1"/>
              <w:jc w:val="left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="00F748BA" w:rsidRPr="00E22F0D">
              <w:rPr>
                <w:b/>
                <w:bCs/>
                <w:spacing w:val="-2"/>
                <w:lang w:val="fr-CH"/>
              </w:rPr>
              <w:t xml:space="preserve">Proposition </w:t>
            </w:r>
            <w:r w:rsidR="00946607" w:rsidRPr="00E22F0D">
              <w:rPr>
                <w:b/>
                <w:bCs/>
                <w:spacing w:val="-2"/>
                <w:lang w:val="fr-CH"/>
              </w:rPr>
              <w:t xml:space="preserve">d'approbation de </w:t>
            </w:r>
            <w:r w:rsidR="00AF5F2D" w:rsidRPr="00E22F0D">
              <w:rPr>
                <w:b/>
                <w:bCs/>
                <w:spacing w:val="-2"/>
                <w:lang w:val="fr-CH"/>
              </w:rPr>
              <w:t>5 projets</w:t>
            </w:r>
            <w:r w:rsidR="00946607" w:rsidRPr="00E22F0D">
              <w:rPr>
                <w:b/>
                <w:bCs/>
                <w:spacing w:val="-2"/>
                <w:lang w:val="fr-CH"/>
              </w:rPr>
              <w:t xml:space="preserve"> de </w:t>
            </w:r>
            <w:r w:rsidR="003D0676" w:rsidRPr="00E22F0D">
              <w:rPr>
                <w:b/>
                <w:bCs/>
                <w:spacing w:val="-2"/>
                <w:lang w:val="fr-CH"/>
              </w:rPr>
              <w:t>Recommandation</w:t>
            </w:r>
            <w:r w:rsidR="00F748BA" w:rsidRPr="00E22F0D">
              <w:rPr>
                <w:b/>
                <w:bCs/>
                <w:spacing w:val="-2"/>
                <w:lang w:val="fr-CH"/>
              </w:rPr>
              <w:t xml:space="preserve"> UIT-R révisée</w:t>
            </w:r>
          </w:p>
        </w:tc>
      </w:tr>
      <w:tr w:rsidR="00E53DCE" w:rsidRPr="00700B4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00B4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00B4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00B4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A695D" w:rsidRDefault="002A695D" w:rsidP="00AF5F2D">
      <w:pPr>
        <w:rPr>
          <w:lang w:val="fr-CH"/>
        </w:rPr>
      </w:pPr>
      <w:proofErr w:type="spellStart"/>
      <w:r>
        <w:rPr>
          <w:lang w:val="fr-CH"/>
        </w:rPr>
        <w:t>A</w:t>
      </w:r>
      <w:proofErr w:type="spellEnd"/>
      <w:r>
        <w:rPr>
          <w:lang w:val="fr-CH"/>
        </w:rPr>
        <w:t xml:space="preserve"> s</w:t>
      </w:r>
      <w:r w:rsidRPr="0010038F">
        <w:rPr>
          <w:lang w:val="fr-CH"/>
        </w:rPr>
        <w:t xml:space="preserve">a réunion </w:t>
      </w:r>
      <w:r w:rsidRPr="0083107E">
        <w:rPr>
          <w:lang w:val="fr-CH"/>
        </w:rPr>
        <w:t xml:space="preserve">tenue </w:t>
      </w:r>
      <w:r w:rsidR="00AF5F2D">
        <w:rPr>
          <w:lang w:val="fr-CH"/>
        </w:rPr>
        <w:t>le 5 juillet 2019</w:t>
      </w:r>
      <w:r w:rsidRPr="0083107E">
        <w:rPr>
          <w:lang w:val="fr-CH"/>
        </w:rPr>
        <w:t>, la Commission d</w:t>
      </w:r>
      <w:r>
        <w:rPr>
          <w:lang w:val="fr-CH"/>
        </w:rPr>
        <w:t>'</w:t>
      </w:r>
      <w:r w:rsidRPr="0083107E">
        <w:rPr>
          <w:lang w:val="fr-CH"/>
        </w:rPr>
        <w:t xml:space="preserve">études </w:t>
      </w:r>
      <w:r w:rsidR="00AF5F2D">
        <w:rPr>
          <w:lang w:val="fr-CH"/>
        </w:rPr>
        <w:t>4</w:t>
      </w:r>
      <w:r>
        <w:rPr>
          <w:lang w:val="fr-CH"/>
        </w:rPr>
        <w:t xml:space="preserve"> des radiocommunications </w:t>
      </w:r>
      <w:r w:rsidRPr="0083107E">
        <w:rPr>
          <w:lang w:val="fr-CH"/>
        </w:rPr>
        <w:t>a adopté le</w:t>
      </w:r>
      <w:r>
        <w:rPr>
          <w:lang w:val="fr-CH"/>
        </w:rPr>
        <w:t>s</w:t>
      </w:r>
      <w:r w:rsidRPr="0083107E">
        <w:rPr>
          <w:lang w:val="fr-CH"/>
        </w:rPr>
        <w:t xml:space="preserve"> texte</w:t>
      </w:r>
      <w:r>
        <w:rPr>
          <w:lang w:val="fr-CH"/>
        </w:rPr>
        <w:t>s</w:t>
      </w:r>
      <w:r w:rsidRPr="0083107E">
        <w:rPr>
          <w:lang w:val="fr-CH"/>
        </w:rPr>
        <w:t xml:space="preserve"> de </w:t>
      </w:r>
      <w:r w:rsidR="00AF5F2D">
        <w:rPr>
          <w:lang w:val="fr-CH"/>
        </w:rPr>
        <w:t>5</w:t>
      </w:r>
      <w:r>
        <w:rPr>
          <w:lang w:val="fr-CH"/>
        </w:rPr>
        <w:t xml:space="preserve"> </w:t>
      </w:r>
      <w:r w:rsidRPr="0083107E">
        <w:rPr>
          <w:lang w:val="fr-CH"/>
        </w:rPr>
        <w:t>projets</w:t>
      </w:r>
      <w:r w:rsidR="00AF5F2D">
        <w:rPr>
          <w:lang w:val="fr-CH"/>
        </w:rPr>
        <w:t xml:space="preserve"> </w:t>
      </w:r>
      <w:r w:rsidRPr="0083107E">
        <w:rPr>
          <w:lang w:val="fr-CH"/>
        </w:rPr>
        <w:t>de Recommandation</w:t>
      </w:r>
      <w:r w:rsidRPr="002A695D">
        <w:rPr>
          <w:lang w:val="fr-CH"/>
        </w:rPr>
        <w:t xml:space="preserve"> </w:t>
      </w:r>
      <w:r w:rsidRPr="000B0A53">
        <w:rPr>
          <w:lang w:val="fr-CH"/>
        </w:rPr>
        <w:t>UIT-R</w:t>
      </w:r>
      <w:r w:rsidRPr="0083107E">
        <w:rPr>
          <w:lang w:val="fr-CH"/>
        </w:rPr>
        <w:t xml:space="preserve"> révisée et </w:t>
      </w:r>
      <w:r>
        <w:rPr>
          <w:lang w:val="fr-CH"/>
        </w:rPr>
        <w:t>a décidé d'appliquer la procédure prévue dans la Résolution UIT-R 1-7 (voir le § </w:t>
      </w:r>
      <w:r w:rsidRPr="002A695D">
        <w:rPr>
          <w:lang w:val="fr-CH"/>
        </w:rPr>
        <w:t>A2.6.2.3</w:t>
      </w:r>
      <w:r w:rsidRPr="0083107E">
        <w:rPr>
          <w:lang w:val="fr-CH"/>
        </w:rPr>
        <w:t>) pour l</w:t>
      </w:r>
      <w:r>
        <w:rPr>
          <w:lang w:val="fr-CH"/>
        </w:rPr>
        <w:t>'</w:t>
      </w:r>
      <w:r w:rsidRPr="0083107E">
        <w:rPr>
          <w:lang w:val="fr-CH"/>
        </w:rPr>
        <w:t>approbation d</w:t>
      </w:r>
      <w:r>
        <w:rPr>
          <w:lang w:val="fr-CH"/>
        </w:rPr>
        <w:t xml:space="preserve">es </w:t>
      </w:r>
      <w:r w:rsidRPr="0083107E">
        <w:rPr>
          <w:lang w:val="fr-CH"/>
        </w:rPr>
        <w:t xml:space="preserve">Recommandations par consultation. </w:t>
      </w:r>
      <w:r>
        <w:rPr>
          <w:lang w:val="fr-CH"/>
        </w:rPr>
        <w:t>L</w:t>
      </w:r>
      <w:r w:rsidRPr="0083107E">
        <w:rPr>
          <w:lang w:val="fr-CH"/>
        </w:rPr>
        <w:t>e</w:t>
      </w:r>
      <w:r>
        <w:rPr>
          <w:lang w:val="fr-CH"/>
        </w:rPr>
        <w:t>s</w:t>
      </w:r>
      <w:r w:rsidRPr="0083107E">
        <w:rPr>
          <w:lang w:val="fr-CH"/>
        </w:rPr>
        <w:t xml:space="preserve"> titre</w:t>
      </w:r>
      <w:r w:rsidR="00AF5F2D">
        <w:rPr>
          <w:lang w:val="fr-CH"/>
        </w:rPr>
        <w:t>s</w:t>
      </w:r>
      <w:r w:rsidRPr="0083107E">
        <w:rPr>
          <w:lang w:val="fr-CH"/>
        </w:rPr>
        <w:t xml:space="preserve"> et résumé</w:t>
      </w:r>
      <w:r>
        <w:rPr>
          <w:lang w:val="fr-CH"/>
        </w:rPr>
        <w:t>s</w:t>
      </w:r>
      <w:r w:rsidRPr="0083107E">
        <w:rPr>
          <w:lang w:val="fr-CH"/>
        </w:rPr>
        <w:t xml:space="preserve"> de ces projets de Recommandation sont donnés </w:t>
      </w:r>
      <w:r>
        <w:rPr>
          <w:lang w:val="fr-CH"/>
        </w:rPr>
        <w:t xml:space="preserve">dans </w:t>
      </w:r>
      <w:r w:rsidRPr="00A12B99">
        <w:rPr>
          <w:lang w:val="fr-CH"/>
        </w:rPr>
        <w:t>l'Annexe</w:t>
      </w:r>
      <w:r w:rsidR="00AF5F2D">
        <w:rPr>
          <w:lang w:val="fr-CH"/>
        </w:rPr>
        <w:t xml:space="preserve"> de la présente Circulaire</w:t>
      </w:r>
      <w:r>
        <w:rPr>
          <w:lang w:val="fr-CH"/>
        </w:rPr>
        <w:t>.</w:t>
      </w:r>
      <w:r w:rsidRPr="000B0A53">
        <w:rPr>
          <w:lang w:val="fr-CH"/>
        </w:rPr>
        <w:t xml:space="preserve"> </w:t>
      </w:r>
      <w:r w:rsidRPr="008C61E2">
        <w:rPr>
          <w:lang w:val="fr-CH"/>
        </w:rPr>
        <w:t xml:space="preserve">Un </w:t>
      </w:r>
      <w:proofErr w:type="spellStart"/>
      <w:r w:rsidRPr="008C61E2">
        <w:rPr>
          <w:lang w:val="fr-CH"/>
        </w:rPr>
        <w:t>Etat</w:t>
      </w:r>
      <w:proofErr w:type="spellEnd"/>
      <w:r w:rsidRPr="008C61E2">
        <w:rPr>
          <w:lang w:val="fr-CH"/>
        </w:rPr>
        <w:t xml:space="preserve"> Membre qui soulève une objection au sujet de l'a</w:t>
      </w:r>
      <w:r>
        <w:rPr>
          <w:lang w:val="fr-CH"/>
        </w:rPr>
        <w:t>pprobation</w:t>
      </w:r>
      <w:r w:rsidRPr="008C61E2">
        <w:rPr>
          <w:lang w:val="fr-CH"/>
        </w:rPr>
        <w:t xml:space="preserve"> d'un projet de Recommandation est prié d'informer le Directeur et le Président de la Commission d'études des raisons de cette objection.</w:t>
      </w:r>
    </w:p>
    <w:p w:rsidR="002A695D" w:rsidRPr="0010038F" w:rsidRDefault="002A695D" w:rsidP="00AF5F2D">
      <w:pPr>
        <w:rPr>
          <w:lang w:val="fr-CH"/>
        </w:rPr>
      </w:pPr>
      <w:r w:rsidRPr="0010038F">
        <w:rPr>
          <w:lang w:val="fr-CH"/>
        </w:rPr>
        <w:t>Co</w:t>
      </w:r>
      <w:r>
        <w:rPr>
          <w:lang w:val="fr-CH"/>
        </w:rPr>
        <w:t>mpte tenu des dispositions du § </w:t>
      </w:r>
      <w:r w:rsidRPr="002A695D">
        <w:rPr>
          <w:lang w:val="fr-CH"/>
        </w:rPr>
        <w:t xml:space="preserve">A2.6.2.3 </w:t>
      </w:r>
      <w:r>
        <w:rPr>
          <w:lang w:val="fr-CH"/>
        </w:rPr>
        <w:t xml:space="preserve">de la Résolution UIT-R 1-7, les </w:t>
      </w:r>
      <w:proofErr w:type="spellStart"/>
      <w:r>
        <w:rPr>
          <w:lang w:val="fr-CH"/>
        </w:rPr>
        <w:t>Etats</w:t>
      </w:r>
      <w:proofErr w:type="spellEnd"/>
      <w:r>
        <w:rPr>
          <w:lang w:val="fr-CH"/>
        </w:rPr>
        <w:t xml:space="preserve"> Membres sont priés de </w:t>
      </w:r>
      <w:r w:rsidRPr="0010038F">
        <w:rPr>
          <w:lang w:val="fr-CH"/>
        </w:rPr>
        <w:t>faire savoir au Secrétariat (</w:t>
      </w:r>
      <w:hyperlink r:id="rId8" w:history="1">
        <w:r w:rsidRPr="0010038F">
          <w:rPr>
            <w:rStyle w:val="Hyperlink"/>
            <w:lang w:val="fr-CH"/>
          </w:rPr>
          <w:t>brsgd@itu.int</w:t>
        </w:r>
      </w:hyperlink>
      <w:r w:rsidRPr="0010038F">
        <w:rPr>
          <w:lang w:val="fr-CH"/>
        </w:rPr>
        <w:t xml:space="preserve">), au plus tard le </w:t>
      </w:r>
      <w:r w:rsidR="00AF5F2D" w:rsidRPr="00142B1F">
        <w:rPr>
          <w:u w:val="single"/>
          <w:lang w:val="fr-CH"/>
        </w:rPr>
        <w:t>17 septembre 2019</w:t>
      </w:r>
      <w:r w:rsidRPr="0010038F">
        <w:rPr>
          <w:lang w:val="fr-CH"/>
        </w:rPr>
        <w:t xml:space="preserve">, </w:t>
      </w:r>
      <w:r>
        <w:rPr>
          <w:lang w:val="fr-CH"/>
        </w:rPr>
        <w:t>s'ils approuvent ou non les propositions ci-dessus</w:t>
      </w:r>
      <w:r w:rsidRPr="0010038F">
        <w:rPr>
          <w:lang w:val="fr-CH"/>
        </w:rPr>
        <w:t>.</w:t>
      </w:r>
    </w:p>
    <w:p w:rsidR="002A695D" w:rsidRDefault="002A695D" w:rsidP="00142B1F">
      <w:pPr>
        <w:rPr>
          <w:lang w:val="fr-CH"/>
        </w:rPr>
      </w:pPr>
      <w:r w:rsidRPr="0083107E">
        <w:rPr>
          <w:lang w:val="fr-CH"/>
        </w:rPr>
        <w:t xml:space="preserve">Après la date limite mentionnée ci-dessus, les résultats de la présente consultation seront communiqués dans une Circulaire administrative et </w:t>
      </w:r>
      <w:r>
        <w:rPr>
          <w:lang w:val="fr-CH"/>
        </w:rPr>
        <w:t xml:space="preserve">les Recommandations seront publiées dans les meilleurs délais </w:t>
      </w:r>
      <w:r w:rsidRPr="00EE4B86">
        <w:rPr>
          <w:lang w:val="fr-CH"/>
        </w:rPr>
        <w:t>(</w:t>
      </w:r>
      <w:r>
        <w:rPr>
          <w:lang w:val="fr-CH"/>
        </w:rPr>
        <w:t xml:space="preserve">voir </w:t>
      </w:r>
      <w:hyperlink r:id="rId9" w:history="1">
        <w:r w:rsidRPr="00EE4B86">
          <w:rPr>
            <w:rStyle w:val="Hyperlink"/>
            <w:lang w:val="fr-CH"/>
          </w:rPr>
          <w:t>http://www.itu.int/pub/R-REC</w:t>
        </w:r>
      </w:hyperlink>
      <w:r w:rsidRPr="00EE4B86">
        <w:rPr>
          <w:lang w:val="fr-CH"/>
        </w:rPr>
        <w:t>).</w:t>
      </w:r>
    </w:p>
    <w:p w:rsidR="001E5403" w:rsidRPr="00700B4D" w:rsidRDefault="002A695D" w:rsidP="00D76916">
      <w:pPr>
        <w:keepNext/>
        <w:keepLines/>
        <w:rPr>
          <w:lang w:val="fr-CH"/>
        </w:rPr>
      </w:pPr>
      <w:r w:rsidRPr="00700B4D">
        <w:rPr>
          <w:spacing w:val="-4"/>
          <w:lang w:val="fr-CH"/>
        </w:rPr>
        <w:lastRenderedPageBreak/>
        <w:t>Toute organisation membre de l'UIT ayant connaissance d'un brevet détenu en son sein ou par</w:t>
      </w:r>
      <w:r w:rsidR="00D76916" w:rsidRPr="00700B4D">
        <w:rPr>
          <w:spacing w:val="-4"/>
          <w:lang w:val="fr-CH"/>
        </w:rPr>
        <w:t xml:space="preserve"> </w:t>
      </w:r>
      <w:r w:rsidRPr="00700B4D">
        <w:rPr>
          <w:spacing w:val="-4"/>
          <w:lang w:val="fr-CH"/>
        </w:rPr>
        <w:t>d'autres organismes, et susceptible de se rapporter complètement ou en partie à des éléments</w:t>
      </w:r>
      <w:r w:rsidR="00D76916" w:rsidRPr="00700B4D">
        <w:rPr>
          <w:spacing w:val="-4"/>
          <w:lang w:val="fr-CH"/>
        </w:rPr>
        <w:t xml:space="preserve"> </w:t>
      </w:r>
      <w:r w:rsidRPr="00700B4D">
        <w:rPr>
          <w:spacing w:val="-4"/>
          <w:lang w:val="fr-CH"/>
        </w:rPr>
        <w:t>d'un ou des projets de Recommandation mentionnés dans la présente lettre, est priée de</w:t>
      </w:r>
      <w:r w:rsidR="00D76916" w:rsidRPr="00700B4D">
        <w:rPr>
          <w:spacing w:val="-4"/>
          <w:lang w:val="fr-CH"/>
        </w:rPr>
        <w:t xml:space="preserve"> </w:t>
      </w:r>
      <w:r w:rsidRPr="00700B4D">
        <w:rPr>
          <w:spacing w:val="-4"/>
          <w:lang w:val="fr-CH"/>
        </w:rPr>
        <w:t xml:space="preserve">transmettre lesdites informations au Secrétariat, dans les meilleurs délais. La politique commune en matière de brevets de </w:t>
      </w:r>
      <w:r w:rsidRPr="00700B4D">
        <w:rPr>
          <w:lang w:val="fr-FR"/>
        </w:rPr>
        <w:t>l'UIT</w:t>
      </w:r>
      <w:r w:rsidRPr="00700B4D">
        <w:rPr>
          <w:lang w:val="fr-FR"/>
        </w:rPr>
        <w:noBreakHyphen/>
        <w:t>T/UIT</w:t>
      </w:r>
      <w:r w:rsidRPr="00700B4D">
        <w:rPr>
          <w:lang w:val="fr-FR"/>
        </w:rPr>
        <w:noBreakHyphen/>
        <w:t>R/ISO/CEI est disponible à l'adresse:</w:t>
      </w:r>
      <w:r w:rsidRPr="00700B4D">
        <w:rPr>
          <w:lang w:val="fr-CH"/>
        </w:rPr>
        <w:t xml:space="preserve"> </w:t>
      </w:r>
      <w:hyperlink r:id="rId10" w:history="1">
        <w:r w:rsidRPr="00700B4D">
          <w:rPr>
            <w:rStyle w:val="Hyperlink"/>
            <w:lang w:val="fr-CH"/>
          </w:rPr>
          <w:t>http://www.itu.int/en/ITU-T/ipr/Pages/policy.aspx</w:t>
        </w:r>
      </w:hyperlink>
      <w:r w:rsidRPr="00700B4D">
        <w:rPr>
          <w:lang w:val="fr-CH"/>
        </w:rPr>
        <w:t>.</w:t>
      </w:r>
    </w:p>
    <w:p w:rsidR="002569F7" w:rsidRDefault="00B76E35" w:rsidP="00AF5F2D">
      <w:pPr>
        <w:keepNext/>
        <w:keepLines/>
        <w:spacing w:before="1920" w:line="240" w:lineRule="auto"/>
        <w:jc w:val="left"/>
        <w:rPr>
          <w:szCs w:val="24"/>
          <w:lang w:val="fr-FR"/>
        </w:rPr>
      </w:pPr>
      <w:r w:rsidRPr="00946A29">
        <w:rPr>
          <w:szCs w:val="24"/>
          <w:lang w:val="fr-FR"/>
        </w:rPr>
        <w:t xml:space="preserve">Mario </w:t>
      </w:r>
      <w:proofErr w:type="spellStart"/>
      <w:r w:rsidRPr="00946A29">
        <w:rPr>
          <w:szCs w:val="24"/>
          <w:lang w:val="fr-FR"/>
        </w:rPr>
        <w:t>Maniewicz</w:t>
      </w:r>
      <w:proofErr w:type="spellEnd"/>
      <w:r w:rsidR="00E53DCE" w:rsidRPr="00773F7E">
        <w:rPr>
          <w:szCs w:val="24"/>
          <w:lang w:val="fr-FR"/>
        </w:rPr>
        <w:br/>
        <w:t xml:space="preserve">Directeur </w:t>
      </w:r>
    </w:p>
    <w:p w:rsidR="00C3556B" w:rsidRDefault="00C3556B" w:rsidP="002569F7">
      <w:pPr>
        <w:spacing w:before="0" w:line="240" w:lineRule="auto"/>
        <w:jc w:val="left"/>
        <w:rPr>
          <w:szCs w:val="24"/>
          <w:lang w:val="fr-FR"/>
        </w:rPr>
      </w:pPr>
    </w:p>
    <w:p w:rsidR="001E5403" w:rsidRDefault="001E5403" w:rsidP="002569F7">
      <w:pPr>
        <w:spacing w:before="0" w:line="240" w:lineRule="auto"/>
        <w:jc w:val="left"/>
        <w:rPr>
          <w:szCs w:val="24"/>
          <w:lang w:val="fr-FR"/>
        </w:rPr>
      </w:pPr>
    </w:p>
    <w:p w:rsidR="001E5403" w:rsidRDefault="001E5403" w:rsidP="002569F7">
      <w:pPr>
        <w:spacing w:before="0" w:line="240" w:lineRule="auto"/>
        <w:jc w:val="left"/>
        <w:rPr>
          <w:szCs w:val="24"/>
          <w:lang w:val="fr-FR"/>
        </w:rPr>
      </w:pPr>
    </w:p>
    <w:p w:rsidR="002A695D" w:rsidRPr="00B44E23" w:rsidRDefault="00AF5F2D" w:rsidP="00AF5F2D">
      <w:pPr>
        <w:spacing w:before="1560"/>
        <w:rPr>
          <w:bCs/>
          <w:lang w:val="fr-CH"/>
        </w:rPr>
      </w:pPr>
      <w:r>
        <w:rPr>
          <w:b/>
          <w:bCs/>
          <w:lang w:val="fr-CH"/>
        </w:rPr>
        <w:t>Annexe</w:t>
      </w:r>
      <w:r w:rsidR="002A695D" w:rsidRPr="002A695D">
        <w:rPr>
          <w:b/>
          <w:bCs/>
          <w:lang w:val="fr-CH"/>
        </w:rPr>
        <w:t>:</w:t>
      </w:r>
      <w:r w:rsidR="00D76916">
        <w:rPr>
          <w:b/>
          <w:bCs/>
          <w:lang w:val="fr-CH"/>
        </w:rPr>
        <w:tab/>
      </w:r>
      <w:r w:rsidR="00B44E23" w:rsidRPr="00B44E23">
        <w:rPr>
          <w:bCs/>
          <w:lang w:val="fr-CH"/>
        </w:rPr>
        <w:tab/>
      </w:r>
      <w:r>
        <w:rPr>
          <w:bCs/>
          <w:lang w:val="fr-CH"/>
        </w:rPr>
        <w:t>Titre</w:t>
      </w:r>
      <w:r w:rsidR="002A695D" w:rsidRPr="00B44E23">
        <w:rPr>
          <w:bCs/>
          <w:lang w:val="fr-CH"/>
        </w:rPr>
        <w:t>s et résumé</w:t>
      </w:r>
      <w:r>
        <w:rPr>
          <w:bCs/>
          <w:lang w:val="fr-CH"/>
        </w:rPr>
        <w:t>s</w:t>
      </w:r>
      <w:r w:rsidR="002A695D" w:rsidRPr="00B44E23">
        <w:rPr>
          <w:bCs/>
          <w:lang w:val="fr-CH"/>
        </w:rPr>
        <w:t xml:space="preserve"> des projets de Recommandation</w:t>
      </w:r>
    </w:p>
    <w:p w:rsidR="00AF5F2D" w:rsidRDefault="00B44E23" w:rsidP="00EC761D">
      <w:pPr>
        <w:tabs>
          <w:tab w:val="center" w:pos="7939"/>
          <w:tab w:val="right" w:pos="8505"/>
        </w:tabs>
        <w:spacing w:before="1200"/>
        <w:rPr>
          <w:lang w:val="fr-FR"/>
        </w:rPr>
      </w:pPr>
      <w:r>
        <w:rPr>
          <w:b/>
          <w:bCs/>
          <w:lang w:val="fr-CH"/>
        </w:rPr>
        <w:t>Documents</w:t>
      </w:r>
      <w:r w:rsidR="002A695D" w:rsidRPr="00005977">
        <w:rPr>
          <w:b/>
          <w:bCs/>
          <w:lang w:val="fr-CH"/>
        </w:rPr>
        <w:t xml:space="preserve">: </w:t>
      </w:r>
      <w:r w:rsidR="00AF5F2D">
        <w:rPr>
          <w:b/>
          <w:bCs/>
          <w:lang w:val="fr-CH"/>
        </w:rPr>
        <w:tab/>
      </w:r>
      <w:r w:rsidR="00AF5F2D" w:rsidRPr="00AF5F2D">
        <w:rPr>
          <w:lang w:val="fr-FR"/>
        </w:rPr>
        <w:t>Documents 4/52(R</w:t>
      </w:r>
      <w:r w:rsidR="00EC761D">
        <w:rPr>
          <w:lang w:val="fr-FR"/>
        </w:rPr>
        <w:t>é</w:t>
      </w:r>
      <w:r w:rsidR="00AF5F2D" w:rsidRPr="00AF5F2D">
        <w:rPr>
          <w:lang w:val="fr-FR"/>
        </w:rPr>
        <w:t>v.1), 4/53(R</w:t>
      </w:r>
      <w:r w:rsidR="00EC761D">
        <w:rPr>
          <w:lang w:val="fr-FR"/>
        </w:rPr>
        <w:t>é</w:t>
      </w:r>
      <w:r w:rsidR="00AF5F2D" w:rsidRPr="00AF5F2D">
        <w:rPr>
          <w:lang w:val="fr-FR"/>
        </w:rPr>
        <w:t>v.1), 4/54(R</w:t>
      </w:r>
      <w:r w:rsidR="00EC761D">
        <w:rPr>
          <w:lang w:val="fr-FR"/>
        </w:rPr>
        <w:t>év.1), 4/55(Rév.1) et</w:t>
      </w:r>
      <w:r w:rsidR="00AF5F2D" w:rsidRPr="00AF5F2D">
        <w:rPr>
          <w:lang w:val="fr-FR"/>
        </w:rPr>
        <w:t xml:space="preserve"> 4/56(R</w:t>
      </w:r>
      <w:r w:rsidR="00EC761D">
        <w:rPr>
          <w:lang w:val="fr-FR"/>
        </w:rPr>
        <w:t>é</w:t>
      </w:r>
      <w:r w:rsidR="00AF5F2D" w:rsidRPr="00AF5F2D">
        <w:rPr>
          <w:lang w:val="fr-FR"/>
        </w:rPr>
        <w:t>v.1)</w:t>
      </w:r>
    </w:p>
    <w:p w:rsidR="002A695D" w:rsidRPr="00005977" w:rsidRDefault="002A695D" w:rsidP="00AF5F2D">
      <w:pPr>
        <w:tabs>
          <w:tab w:val="center" w:pos="7939"/>
          <w:tab w:val="right" w:pos="8505"/>
        </w:tabs>
        <w:jc w:val="left"/>
        <w:rPr>
          <w:lang w:val="fr-CH"/>
        </w:rPr>
      </w:pPr>
      <w:r w:rsidRPr="002A695D">
        <w:rPr>
          <w:color w:val="000000"/>
          <w:lang w:val="fr-CH"/>
        </w:rPr>
        <w:t>Les documents sont disponibles en format électronique à l'adresse</w:t>
      </w:r>
      <w:r w:rsidR="00AF5F2D">
        <w:rPr>
          <w:color w:val="000000"/>
          <w:lang w:val="fr-CH"/>
        </w:rPr>
        <w:br/>
      </w:r>
      <w:hyperlink r:id="rId11" w:history="1">
        <w:r w:rsidR="00AF5F2D" w:rsidRPr="00AF5F2D">
          <w:rPr>
            <w:rStyle w:val="Hyperlink"/>
            <w:lang w:val="fr-FR"/>
          </w:rPr>
          <w:t>http://www.itu.int/md/R15-SG04-C/en</w:t>
        </w:r>
      </w:hyperlink>
    </w:p>
    <w:p w:rsidR="002A695D" w:rsidRPr="002A695D" w:rsidRDefault="002A695D" w:rsidP="00E22F0D">
      <w:pPr>
        <w:tabs>
          <w:tab w:val="left" w:pos="284"/>
          <w:tab w:val="left" w:pos="568"/>
        </w:tabs>
        <w:spacing w:before="3000" w:line="240" w:lineRule="auto"/>
        <w:rPr>
          <w:b/>
          <w:bCs/>
          <w:sz w:val="18"/>
          <w:szCs w:val="18"/>
          <w:lang w:val="fr-CH"/>
        </w:rPr>
      </w:pPr>
      <w:bookmarkStart w:id="0" w:name="ddistribution"/>
      <w:bookmarkEnd w:id="0"/>
      <w:r w:rsidRPr="002A695D">
        <w:rPr>
          <w:b/>
          <w:bCs/>
          <w:sz w:val="18"/>
          <w:szCs w:val="18"/>
          <w:lang w:val="fr-CH"/>
        </w:rPr>
        <w:t>Distribution: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Administrations des </w:t>
      </w:r>
      <w:proofErr w:type="spellStart"/>
      <w:r w:rsidRPr="002A695D">
        <w:t>Etats</w:t>
      </w:r>
      <w:proofErr w:type="spellEnd"/>
      <w:r w:rsidRPr="002A695D">
        <w:t xml:space="preserve"> Membres de l'UIT et Membres du Secteur des radiocommunications</w:t>
      </w:r>
      <w:r w:rsidR="00970468">
        <w:t xml:space="preserve"> participant aux travaux de </w:t>
      </w:r>
      <w:r w:rsidR="00970468">
        <w:tab/>
        <w:t xml:space="preserve">la </w:t>
      </w:r>
      <w:r w:rsidR="00AF5F2D">
        <w:t>Commission d'études 4</w:t>
      </w:r>
      <w:r w:rsidRPr="002A695D">
        <w:t xml:space="preserve"> des radiocommunications</w:t>
      </w:r>
    </w:p>
    <w:p w:rsidR="00970468" w:rsidRDefault="002A695D" w:rsidP="00AF5F2D">
      <w:pPr>
        <w:pStyle w:val="enumlev19pt"/>
        <w:spacing w:before="0" w:line="240" w:lineRule="auto"/>
      </w:pPr>
      <w:r w:rsidRPr="002A695D">
        <w:t>–</w:t>
      </w:r>
      <w:r w:rsidRPr="002A695D">
        <w:tab/>
        <w:t>Associés de l'UIT-R participant aux travaux de la Commission d'études</w:t>
      </w:r>
      <w:r w:rsidR="00AF5F2D">
        <w:t xml:space="preserve"> 4</w:t>
      </w:r>
      <w:r w:rsidRPr="002A695D">
        <w:t xml:space="preserve"> des radiocommunications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</w:r>
      <w:proofErr w:type="spellStart"/>
      <w:r w:rsidRPr="002A695D">
        <w:t>Etablissements</w:t>
      </w:r>
      <w:proofErr w:type="spellEnd"/>
      <w:r w:rsidRPr="002A695D">
        <w:t xml:space="preserve"> universitaires participant aux travaux de l'UIT </w:t>
      </w:r>
    </w:p>
    <w:p w:rsidR="00BA7FD4" w:rsidRDefault="002A695D" w:rsidP="00BA7FD4">
      <w:pPr>
        <w:pStyle w:val="enumlev19pt"/>
        <w:spacing w:before="0" w:line="240" w:lineRule="auto"/>
      </w:pPr>
      <w:r w:rsidRPr="002A695D">
        <w:t>–</w:t>
      </w:r>
      <w:r w:rsidRPr="002A695D">
        <w:tab/>
        <w:t>Présidents et Vice</w:t>
      </w:r>
      <w:r w:rsidRPr="002A695D">
        <w:noBreakHyphen/>
        <w:t>Présidents des Commissions d'études des radiocommunications</w:t>
      </w:r>
    </w:p>
    <w:p w:rsidR="00970468" w:rsidRDefault="002A695D" w:rsidP="00BA7FD4">
      <w:pPr>
        <w:pStyle w:val="enumlev19pt"/>
        <w:spacing w:before="0" w:line="240" w:lineRule="auto"/>
      </w:pPr>
      <w:r w:rsidRPr="002A695D">
        <w:t>–</w:t>
      </w:r>
      <w:r w:rsidRPr="002A695D">
        <w:tab/>
        <w:t>Président et Vice</w:t>
      </w:r>
      <w:r w:rsidRPr="002A695D">
        <w:noBreakHyphen/>
        <w:t>Présidents de la Réunion de préparation à la Conférence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>Membres du Comité du Règlement des radiocommunications</w:t>
      </w:r>
    </w:p>
    <w:p w:rsidR="002A695D" w:rsidRPr="002A695D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Secrétaire général de l'UIT, Directeur du Bureau de la normalisation des télécommunications, Directeur du Bureau de </w:t>
      </w:r>
      <w:r w:rsidRPr="002A695D">
        <w:tab/>
        <w:t>développement des télécommunications</w:t>
      </w:r>
    </w:p>
    <w:p w:rsidR="00F748BA" w:rsidRPr="00F748BA" w:rsidRDefault="00F748BA" w:rsidP="003D73E3">
      <w:pPr>
        <w:spacing w:before="0"/>
        <w:rPr>
          <w:lang w:val="fr-CH"/>
        </w:rPr>
      </w:pPr>
      <w:r w:rsidRPr="00F748BA">
        <w:rPr>
          <w:lang w:val="fr-CH"/>
        </w:rPr>
        <w:br w:type="page"/>
      </w:r>
    </w:p>
    <w:p w:rsidR="003D73E3" w:rsidRPr="000E1160" w:rsidRDefault="008E0005" w:rsidP="00E22F0D">
      <w:pPr>
        <w:pStyle w:val="AnnexNotitle0"/>
      </w:pPr>
      <w:r>
        <w:rPr>
          <w:rFonts w:asciiTheme="minorHAnsi" w:hAnsiTheme="minorHAnsi"/>
          <w:lang w:val="fr-CH"/>
        </w:rPr>
        <w:lastRenderedPageBreak/>
        <w:t xml:space="preserve">Annexe </w:t>
      </w:r>
      <w:r w:rsidR="00D76916">
        <w:rPr>
          <w:rFonts w:asciiTheme="minorHAnsi" w:hAnsiTheme="minorHAnsi"/>
          <w:lang w:val="fr-CH"/>
        </w:rPr>
        <w:br/>
      </w:r>
      <w:r w:rsidR="00D76916">
        <w:rPr>
          <w:rFonts w:asciiTheme="minorHAnsi" w:hAnsiTheme="minorHAnsi"/>
          <w:lang w:val="fr-CH"/>
        </w:rPr>
        <w:br/>
      </w:r>
      <w:r>
        <w:rPr>
          <w:rFonts w:asciiTheme="minorHAnsi" w:hAnsiTheme="minorHAnsi"/>
        </w:rPr>
        <w:t>Titres et résumés des projets de Recommandation</w:t>
      </w:r>
      <w:r w:rsidR="00E22F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adoptés </w:t>
      </w:r>
      <w:r w:rsidR="00E22F0D">
        <w:rPr>
          <w:rFonts w:asciiTheme="minorHAnsi" w:hAnsiTheme="minorHAnsi"/>
        </w:rPr>
        <w:br/>
      </w:r>
      <w:r>
        <w:rPr>
          <w:rFonts w:asciiTheme="minorHAnsi" w:hAnsiTheme="minorHAnsi"/>
        </w:rPr>
        <w:t>par la Commission d'études 4</w:t>
      </w:r>
      <w:r w:rsidR="00E22F0D">
        <w:rPr>
          <w:rFonts w:asciiTheme="minorHAnsi" w:hAnsiTheme="minorHAnsi"/>
        </w:rPr>
        <w:t xml:space="preserve"> </w:t>
      </w:r>
      <w:r w:rsidR="003D73E3" w:rsidRPr="003D73E3">
        <w:rPr>
          <w:rFonts w:asciiTheme="minorHAnsi" w:hAnsiTheme="minorHAnsi"/>
        </w:rPr>
        <w:t>des radiocommunications</w:t>
      </w:r>
    </w:p>
    <w:p w:rsidR="00B7471F" w:rsidRPr="00F44E4F" w:rsidRDefault="00B7471F" w:rsidP="006D1D84">
      <w:pPr>
        <w:tabs>
          <w:tab w:val="right" w:pos="9639"/>
        </w:tabs>
        <w:spacing w:before="600"/>
        <w:rPr>
          <w:u w:val="single"/>
          <w:lang w:val="fr-CH"/>
        </w:rPr>
      </w:pPr>
      <w:r w:rsidRPr="00F44E4F">
        <w:rPr>
          <w:u w:val="single"/>
          <w:lang w:val="fr-CH"/>
        </w:rPr>
        <w:t>Projet de révision de la Recommandation UIT-R M.1901-1</w:t>
      </w:r>
      <w:r w:rsidRPr="00F44E4F">
        <w:rPr>
          <w:lang w:val="fr-CH"/>
        </w:rPr>
        <w:tab/>
        <w:t>Doc.</w:t>
      </w:r>
      <w:r>
        <w:rPr>
          <w:lang w:val="fr-CH"/>
        </w:rPr>
        <w:t xml:space="preserve"> 4/52(Rév.1)</w:t>
      </w:r>
    </w:p>
    <w:p w:rsidR="00B7471F" w:rsidRPr="00B7471F" w:rsidRDefault="00B7471F" w:rsidP="00B7471F">
      <w:pPr>
        <w:pStyle w:val="Rectitle"/>
        <w:rPr>
          <w:lang w:val="fr-FR"/>
        </w:rPr>
      </w:pPr>
      <w:r w:rsidRPr="00B7471F">
        <w:rPr>
          <w:lang w:val="fr-FR"/>
        </w:rPr>
        <w:t xml:space="preserve">Orientations générales concernant les Recommandations UIT-R relatives aux systèmes et réseaux du service de radionavigation par satellite fonctionnant </w:t>
      </w:r>
      <w:r w:rsidRPr="00B7471F">
        <w:rPr>
          <w:lang w:val="fr-FR"/>
        </w:rPr>
        <w:br/>
        <w:t>dans les bandes de fréquences 1 164</w:t>
      </w:r>
      <w:r w:rsidRPr="00B7471F">
        <w:rPr>
          <w:lang w:val="fr-FR"/>
        </w:rPr>
        <w:noBreakHyphen/>
        <w:t xml:space="preserve">1 215 MHz, 1 215-1 300 MHz, </w:t>
      </w:r>
      <w:r w:rsidRPr="00B7471F">
        <w:rPr>
          <w:lang w:val="fr-FR"/>
        </w:rPr>
        <w:br/>
        <w:t>1 559-1 610 MHz, 5 000-5 010 MHz et 5 010-5 030 MHz</w:t>
      </w:r>
    </w:p>
    <w:p w:rsidR="00B7471F" w:rsidRPr="00954E1F" w:rsidRDefault="00B7471F" w:rsidP="0047091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Theme="minorHAnsi" w:eastAsia="MS Mincho" w:hAnsiTheme="minorHAnsi" w:cstheme="minorHAnsi"/>
          <w:szCs w:val="24"/>
          <w:lang w:val="fr-FR"/>
        </w:rPr>
      </w:pPr>
      <w:r w:rsidRPr="00954E1F">
        <w:rPr>
          <w:rFonts w:asciiTheme="minorHAnsi" w:eastAsia="MS Mincho" w:hAnsiTheme="minorHAnsi" w:cstheme="minorHAnsi"/>
          <w:szCs w:val="24"/>
          <w:lang w:val="fr-FR"/>
        </w:rPr>
        <w:t xml:space="preserve">Cette révision comprend: </w:t>
      </w:r>
      <w:r w:rsidRPr="00954E1F">
        <w:rPr>
          <w:rFonts w:asciiTheme="minorHAnsi" w:eastAsia="MS Mincho" w:hAnsiTheme="minorHAnsi" w:cstheme="minorHAnsi"/>
          <w:szCs w:val="24"/>
          <w:lang w:val="fr-FR" w:eastAsia="ja-JP"/>
        </w:rPr>
        <w:t xml:space="preserve">1) une légère clarification au point </w:t>
      </w:r>
      <w:r w:rsidRPr="00954E1F">
        <w:rPr>
          <w:rFonts w:asciiTheme="minorHAnsi" w:eastAsia="MS Mincho" w:hAnsiTheme="minorHAnsi" w:cstheme="minorHAnsi"/>
          <w:i/>
          <w:iCs/>
          <w:szCs w:val="24"/>
          <w:lang w:val="fr-FR" w:eastAsia="ja-JP"/>
        </w:rPr>
        <w:t>f)</w:t>
      </w:r>
      <w:r w:rsidRPr="00954E1F">
        <w:rPr>
          <w:rFonts w:asciiTheme="minorHAnsi" w:eastAsia="MS Mincho" w:hAnsiTheme="minorHAnsi" w:cstheme="minorHAnsi"/>
          <w:szCs w:val="24"/>
          <w:lang w:val="fr-FR" w:eastAsia="ja-JP"/>
        </w:rPr>
        <w:t xml:space="preserve"> du </w:t>
      </w:r>
      <w:r w:rsidRPr="00954E1F">
        <w:rPr>
          <w:rFonts w:asciiTheme="minorHAnsi" w:eastAsia="MS Mincho" w:hAnsiTheme="minorHAnsi" w:cstheme="minorHAnsi"/>
          <w:i/>
          <w:szCs w:val="24"/>
          <w:lang w:val="fr-FR" w:eastAsia="ja-JP"/>
        </w:rPr>
        <w:t>reconnaissant</w:t>
      </w:r>
      <w:r w:rsidRPr="00954E1F">
        <w:rPr>
          <w:rFonts w:asciiTheme="minorHAnsi" w:eastAsia="MS Mincho" w:hAnsiTheme="minorHAnsi" w:cstheme="minorHAnsi"/>
          <w:szCs w:val="24"/>
          <w:lang w:val="fr-FR" w:eastAsia="ja-JP"/>
        </w:rPr>
        <w:t>; 2</w:t>
      </w:r>
      <w:r w:rsidRPr="00954E1F">
        <w:rPr>
          <w:rFonts w:asciiTheme="minorHAnsi" w:eastAsia="MS Mincho" w:hAnsiTheme="minorHAnsi" w:cstheme="minorHAnsi"/>
          <w:szCs w:val="24"/>
          <w:lang w:val="fr-FR"/>
        </w:rPr>
        <w:t>) des mises à jour du Tableau 3 et de ses notes, y compris la suppression d</w:t>
      </w:r>
      <w:r>
        <w:rPr>
          <w:rFonts w:asciiTheme="minorHAnsi" w:eastAsia="MS Mincho" w:hAnsiTheme="minorHAnsi" w:cstheme="minorHAnsi"/>
          <w:szCs w:val="24"/>
          <w:lang w:val="fr-FR"/>
        </w:rPr>
        <w:t>'</w:t>
      </w:r>
      <w:r w:rsidRPr="00954E1F">
        <w:rPr>
          <w:rFonts w:asciiTheme="minorHAnsi" w:eastAsia="MS Mincho" w:hAnsiTheme="minorHAnsi" w:cstheme="minorHAnsi"/>
          <w:szCs w:val="24"/>
          <w:lang w:val="fr-FR"/>
        </w:rPr>
        <w:t>une note; et 3) l</w:t>
      </w:r>
      <w:r>
        <w:rPr>
          <w:rFonts w:asciiTheme="minorHAnsi" w:eastAsia="MS Mincho" w:hAnsiTheme="minorHAnsi" w:cstheme="minorHAnsi"/>
          <w:szCs w:val="24"/>
          <w:lang w:val="fr-FR"/>
        </w:rPr>
        <w:t>'</w:t>
      </w:r>
      <w:r w:rsidRPr="00954E1F">
        <w:rPr>
          <w:rFonts w:asciiTheme="minorHAnsi" w:eastAsia="MS Mincho" w:hAnsiTheme="minorHAnsi" w:cstheme="minorHAnsi"/>
          <w:szCs w:val="24"/>
          <w:lang w:val="fr-FR"/>
        </w:rPr>
        <w:t>ajout de deux notes sur l</w:t>
      </w:r>
      <w:r>
        <w:rPr>
          <w:rFonts w:asciiTheme="minorHAnsi" w:eastAsia="MS Mincho" w:hAnsiTheme="minorHAnsi" w:cstheme="minorHAnsi"/>
          <w:szCs w:val="24"/>
          <w:lang w:val="fr-FR"/>
        </w:rPr>
        <w:t>'</w:t>
      </w:r>
      <w:r w:rsidRPr="00954E1F">
        <w:rPr>
          <w:rFonts w:asciiTheme="minorHAnsi" w:eastAsia="MS Mincho" w:hAnsiTheme="minorHAnsi" w:cstheme="minorHAnsi"/>
          <w:szCs w:val="24"/>
          <w:lang w:val="fr-FR"/>
        </w:rPr>
        <w:t>évaluation des brouillages provenant de sources de brouillage par impulsions.</w:t>
      </w:r>
    </w:p>
    <w:p w:rsidR="00B7471F" w:rsidRPr="00F44E4F" w:rsidRDefault="00B7471F" w:rsidP="006D1D84">
      <w:pPr>
        <w:tabs>
          <w:tab w:val="right" w:pos="9639"/>
        </w:tabs>
        <w:spacing w:before="480"/>
        <w:rPr>
          <w:u w:val="single"/>
          <w:lang w:val="fr-CH"/>
        </w:rPr>
      </w:pPr>
      <w:r w:rsidRPr="00F44E4F">
        <w:rPr>
          <w:u w:val="single"/>
          <w:lang w:val="fr-CH"/>
        </w:rPr>
        <w:t>Projet de révision de la Recommandation UIT-R</w:t>
      </w:r>
      <w:r w:rsidRPr="00F44E4F">
        <w:rPr>
          <w:rFonts w:asciiTheme="minorHAnsi" w:hAnsiTheme="minorHAnsi" w:cstheme="minorHAnsi"/>
          <w:u w:val="single"/>
          <w:lang w:val="fr-CH"/>
        </w:rPr>
        <w:t xml:space="preserve"> M.1902-0</w:t>
      </w:r>
      <w:r w:rsidRPr="00F44E4F">
        <w:rPr>
          <w:lang w:val="fr-CH"/>
        </w:rPr>
        <w:tab/>
        <w:t xml:space="preserve">Doc. </w:t>
      </w:r>
      <w:r>
        <w:rPr>
          <w:lang w:val="fr-CH"/>
        </w:rPr>
        <w:t>4/53(Rév.1)</w:t>
      </w:r>
    </w:p>
    <w:p w:rsidR="00B7471F" w:rsidRPr="00B7471F" w:rsidRDefault="00B7471F" w:rsidP="00B7471F">
      <w:pPr>
        <w:pStyle w:val="Rectitle"/>
        <w:rPr>
          <w:lang w:val="fr-FR"/>
        </w:rPr>
      </w:pPr>
      <w:r w:rsidRPr="00B7471F">
        <w:rPr>
          <w:lang w:val="fr-FR"/>
        </w:rPr>
        <w:t xml:space="preserve">Caractéristiques et critères de protection applicables aux stations terriennes de réception du service de radionavigation par satellite (espace vers Terre) fonctionnant dans la bande 1 215-1 300 MHz </w:t>
      </w:r>
    </w:p>
    <w:p w:rsidR="00B7471F" w:rsidRDefault="00B7471F" w:rsidP="0047091C">
      <w:pPr>
        <w:spacing w:before="240" w:line="240" w:lineRule="auto"/>
        <w:rPr>
          <w:spacing w:val="-2"/>
          <w:lang w:val="fr-FR"/>
        </w:rPr>
      </w:pPr>
      <w:r w:rsidRPr="00954E1F">
        <w:rPr>
          <w:spacing w:val="-2"/>
          <w:lang w:val="fr-FR"/>
        </w:rPr>
        <w:t>Cette révision comprend des mises à jour des renseignements sur le système GLONASS afin de diffuser les dernières informations concernant le système, y compris les nouveaux signaux AMRC. Elle comprend aussi des mises à jour des renseignements sur les caractéristiques et les critères de protection des stations terriennes de réception du service de radionavigation par satellite (SRNS) fonctionnant dans la bande 1 215-1 300 MHz, compte tenu des renseignements mis à jour sur le système GLONASS. En outre, des mises à jour ont été apportées à la note de bas de page 1 définissant les termes AMRC et AMRF</w:t>
      </w:r>
      <w:r>
        <w:rPr>
          <w:spacing w:val="-2"/>
          <w:lang w:val="fr-FR"/>
        </w:rPr>
        <w:t>.</w:t>
      </w:r>
      <w:r w:rsidRPr="00954E1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Enfin</w:t>
      </w:r>
      <w:r w:rsidRPr="00954E1F">
        <w:rPr>
          <w:spacing w:val="-2"/>
          <w:lang w:val="fr-FR"/>
        </w:rPr>
        <w:t>, dans l</w:t>
      </w:r>
      <w:r>
        <w:rPr>
          <w:spacing w:val="-2"/>
          <w:lang w:val="fr-FR"/>
        </w:rPr>
        <w:t>'</w:t>
      </w:r>
      <w:r w:rsidRPr="00954E1F">
        <w:rPr>
          <w:spacing w:val="-2"/>
          <w:lang w:val="fr-FR"/>
        </w:rPr>
        <w:t>Annexe 1, des précisions ont été apportées sur ce que l</w:t>
      </w:r>
      <w:r>
        <w:rPr>
          <w:spacing w:val="-2"/>
          <w:lang w:val="fr-FR"/>
        </w:rPr>
        <w:t>'</w:t>
      </w:r>
      <w:r w:rsidRPr="00954E1F">
        <w:rPr>
          <w:spacing w:val="-2"/>
          <w:lang w:val="fr-FR"/>
        </w:rPr>
        <w:t>on entend par "brouillage par impulsions" et des précisions ont été apportées concernant le Tableau 1-1 et les notes associées.</w:t>
      </w:r>
    </w:p>
    <w:p w:rsidR="00B7471F" w:rsidRDefault="00B7471F" w:rsidP="00B747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pacing w:val="-2"/>
          <w:lang w:val="fr-FR"/>
        </w:rPr>
      </w:pPr>
      <w:r>
        <w:rPr>
          <w:spacing w:val="-2"/>
          <w:lang w:val="fr-FR"/>
        </w:rPr>
        <w:br w:type="page"/>
      </w:r>
    </w:p>
    <w:p w:rsidR="00B7471F" w:rsidRPr="00F44E4F" w:rsidRDefault="00B7471F" w:rsidP="006D1D84">
      <w:pPr>
        <w:tabs>
          <w:tab w:val="right" w:pos="9639"/>
        </w:tabs>
        <w:spacing w:before="480"/>
        <w:rPr>
          <w:lang w:val="fr-CH"/>
        </w:rPr>
      </w:pPr>
      <w:r w:rsidRPr="00F44E4F">
        <w:rPr>
          <w:u w:val="single"/>
          <w:lang w:val="fr-CH"/>
        </w:rPr>
        <w:lastRenderedPageBreak/>
        <w:t>Projet de révision de la Recommandation UIT-R M.1903</w:t>
      </w:r>
      <w:r>
        <w:rPr>
          <w:u w:val="single"/>
          <w:lang w:val="fr-CH"/>
        </w:rPr>
        <w:t>-0</w:t>
      </w:r>
      <w:r w:rsidRPr="00F44E4F">
        <w:rPr>
          <w:lang w:val="fr-CH"/>
        </w:rPr>
        <w:tab/>
        <w:t xml:space="preserve">Doc. </w:t>
      </w:r>
      <w:r>
        <w:rPr>
          <w:lang w:val="fr-CH"/>
        </w:rPr>
        <w:t>4/54(Rév.1)</w:t>
      </w:r>
    </w:p>
    <w:p w:rsidR="00B7471F" w:rsidRPr="00B7471F" w:rsidRDefault="00B7471F" w:rsidP="00B7471F">
      <w:pPr>
        <w:pStyle w:val="Rectitle"/>
        <w:rPr>
          <w:lang w:val="fr-FR"/>
        </w:rPr>
      </w:pPr>
      <w:r w:rsidRPr="00B7471F">
        <w:rPr>
          <w:lang w:val="fr-FR"/>
        </w:rPr>
        <w:t xml:space="preserve">Caractéristiques et critères de protection applicables aux stations terriennes de réception du service de radionavigation par satellite (espace vers Terre) et </w:t>
      </w:r>
      <w:r w:rsidRPr="00B7471F">
        <w:rPr>
          <w:lang w:val="fr-FR"/>
        </w:rPr>
        <w:br/>
        <w:t xml:space="preserve">aux récepteurs du service de radionavigation aéronautique </w:t>
      </w:r>
      <w:r w:rsidRPr="00B7471F">
        <w:rPr>
          <w:lang w:val="fr-FR"/>
        </w:rPr>
        <w:br/>
        <w:t>fonctionnant dans la bande 1 559-1 610 MHz</w:t>
      </w:r>
    </w:p>
    <w:p w:rsidR="00B7471F" w:rsidRPr="00954E1F" w:rsidRDefault="00B7471F" w:rsidP="0047091C">
      <w:pPr>
        <w:spacing w:line="240" w:lineRule="auto"/>
        <w:rPr>
          <w:spacing w:val="-2"/>
          <w:lang w:val="fr-FR"/>
        </w:rPr>
      </w:pPr>
      <w:r w:rsidRPr="00954E1F">
        <w:rPr>
          <w:spacing w:val="-2"/>
          <w:lang w:val="fr-FR"/>
        </w:rPr>
        <w:t>Cette révision comprend des mises à jour des renseignements sur le système GLONASS</w:t>
      </w:r>
      <w:bookmarkStart w:id="1" w:name="_GoBack"/>
      <w:bookmarkEnd w:id="1"/>
      <w:r w:rsidRPr="00954E1F">
        <w:rPr>
          <w:spacing w:val="-2"/>
          <w:lang w:val="fr-FR"/>
        </w:rPr>
        <w:t xml:space="preserve"> afin de diffuser les dernières informations concernant le système, y compris les nouveaux signaux AMRC. Elle comprend aussi des mises à jour des renseignements sur les caractéristiques et les critères de protection des stations terriennes de réception du service de radionavigation par satellite (SRNS) fonctionnant dans la bande </w:t>
      </w:r>
      <w:r w:rsidRPr="00954E1F">
        <w:rPr>
          <w:lang w:val="fr-FR"/>
        </w:rPr>
        <w:t>1 559-1 610 MHz</w:t>
      </w:r>
      <w:r w:rsidRPr="00954E1F">
        <w:rPr>
          <w:spacing w:val="-2"/>
          <w:lang w:val="fr-FR"/>
        </w:rPr>
        <w:t>, compte tenu des renseignements mis</w:t>
      </w:r>
      <w:r>
        <w:rPr>
          <w:spacing w:val="-2"/>
          <w:lang w:val="fr-FR"/>
        </w:rPr>
        <w:t xml:space="preserve"> à jour sur le système GLONASS.</w:t>
      </w:r>
    </w:p>
    <w:p w:rsidR="00B7471F" w:rsidRPr="00954E1F" w:rsidRDefault="00B7471F" w:rsidP="0047091C">
      <w:pPr>
        <w:keepLines/>
        <w:spacing w:line="240" w:lineRule="auto"/>
        <w:rPr>
          <w:spacing w:val="-2"/>
          <w:lang w:val="fr-FR"/>
        </w:rPr>
      </w:pPr>
      <w:bookmarkStart w:id="2" w:name="_Hlk488265232"/>
      <w:r w:rsidRPr="00954E1F">
        <w:rPr>
          <w:lang w:val="fr-FR"/>
        </w:rPr>
        <w:t xml:space="preserve">En outre, le texte de la note de bas de page 1 relative au titre concernant les émetteurs de Terre du SRNA est remplacé par un renvoi à la nouvelle Note 3 figurant dans la Recommandation. La CMR-15 ayant supprimé les numéros </w:t>
      </w:r>
      <w:r w:rsidRPr="00954E1F">
        <w:rPr>
          <w:b/>
          <w:bCs/>
          <w:lang w:val="fr-FR"/>
        </w:rPr>
        <w:t>5.362B</w:t>
      </w:r>
      <w:r w:rsidRPr="00954E1F">
        <w:rPr>
          <w:lang w:val="fr-FR"/>
        </w:rPr>
        <w:t xml:space="preserve"> et </w:t>
      </w:r>
      <w:r w:rsidRPr="00954E1F">
        <w:rPr>
          <w:b/>
          <w:bCs/>
          <w:lang w:val="fr-FR"/>
        </w:rPr>
        <w:t>5.362C</w:t>
      </w:r>
      <w:r w:rsidRPr="00954E1F">
        <w:rPr>
          <w:lang w:val="fr-FR"/>
        </w:rPr>
        <w:t xml:space="preserve"> du RR, les références à ces anciennes dispositions aux point </w:t>
      </w:r>
      <w:r w:rsidRPr="00954E1F">
        <w:rPr>
          <w:i/>
          <w:iCs/>
          <w:lang w:val="fr-FR"/>
        </w:rPr>
        <w:t>e)</w:t>
      </w:r>
      <w:r w:rsidRPr="00954E1F">
        <w:rPr>
          <w:lang w:val="fr-FR"/>
        </w:rPr>
        <w:t xml:space="preserve"> et </w:t>
      </w:r>
      <w:r w:rsidRPr="00954E1F">
        <w:rPr>
          <w:i/>
          <w:iCs/>
          <w:lang w:val="fr-FR"/>
        </w:rPr>
        <w:t>f)</w:t>
      </w:r>
      <w:r w:rsidRPr="00954E1F">
        <w:rPr>
          <w:lang w:val="fr-FR"/>
        </w:rPr>
        <w:t xml:space="preserve"> du </w:t>
      </w:r>
      <w:r w:rsidRPr="00954E1F">
        <w:rPr>
          <w:i/>
          <w:iCs/>
          <w:lang w:val="fr-FR"/>
        </w:rPr>
        <w:t xml:space="preserve">reconnaissant </w:t>
      </w:r>
      <w:r w:rsidRPr="00954E1F">
        <w:rPr>
          <w:lang w:val="fr-FR"/>
        </w:rPr>
        <w:t>n</w:t>
      </w:r>
      <w:r>
        <w:rPr>
          <w:lang w:val="fr-FR"/>
        </w:rPr>
        <w:t>'</w:t>
      </w:r>
      <w:r w:rsidRPr="00954E1F">
        <w:rPr>
          <w:lang w:val="fr-FR"/>
        </w:rPr>
        <w:t>ont plus lieu d</w:t>
      </w:r>
      <w:r>
        <w:rPr>
          <w:lang w:val="fr-FR"/>
        </w:rPr>
        <w:t>'</w:t>
      </w:r>
      <w:r w:rsidRPr="00954E1F">
        <w:rPr>
          <w:lang w:val="fr-FR"/>
        </w:rPr>
        <w:t>être et sont supprimées.</w:t>
      </w:r>
      <w:bookmarkStart w:id="3" w:name="_Hlk492460957"/>
      <w:r w:rsidRPr="00954E1F">
        <w:rPr>
          <w:lang w:val="fr-FR"/>
        </w:rPr>
        <w:t xml:space="preserve"> </w:t>
      </w:r>
      <w:bookmarkStart w:id="4" w:name="_Hlk503977460"/>
      <w:r w:rsidRPr="00954E1F">
        <w:rPr>
          <w:spacing w:val="-2"/>
          <w:lang w:val="fr-FR"/>
        </w:rPr>
        <w:t>Des mises à jour ont été apportées aux notes de bas de page définis</w:t>
      </w:r>
      <w:r>
        <w:rPr>
          <w:spacing w:val="-2"/>
          <w:lang w:val="fr-FR"/>
        </w:rPr>
        <w:t>sant les termes AMRC et AMRF.</w:t>
      </w:r>
      <w:r w:rsidRPr="00954E1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D</w:t>
      </w:r>
      <w:r w:rsidRPr="00954E1F">
        <w:rPr>
          <w:spacing w:val="-2"/>
          <w:lang w:val="fr-FR"/>
        </w:rPr>
        <w:t>ans l</w:t>
      </w:r>
      <w:r>
        <w:rPr>
          <w:spacing w:val="-2"/>
          <w:lang w:val="fr-FR"/>
        </w:rPr>
        <w:t>'</w:t>
      </w:r>
      <w:r w:rsidRPr="00954E1F">
        <w:rPr>
          <w:spacing w:val="-2"/>
          <w:lang w:val="fr-FR"/>
        </w:rPr>
        <w:t>Annexe 2, des précisions ont été apportées sur ce que l</w:t>
      </w:r>
      <w:r>
        <w:rPr>
          <w:spacing w:val="-2"/>
          <w:lang w:val="fr-FR"/>
        </w:rPr>
        <w:t>'</w:t>
      </w:r>
      <w:r w:rsidRPr="00954E1F">
        <w:rPr>
          <w:spacing w:val="-2"/>
          <w:lang w:val="fr-FR"/>
        </w:rPr>
        <w:t>on entend par "brouillage par impulsions" et des précisions ont été apportées concernant les titres de la Figure 1 et du Tableau 1 et les notes associées. Enfin, la Figure 2 a été remplacée.</w:t>
      </w:r>
    </w:p>
    <w:bookmarkEnd w:id="2"/>
    <w:bookmarkEnd w:id="3"/>
    <w:bookmarkEnd w:id="4"/>
    <w:p w:rsidR="00B7471F" w:rsidRDefault="00B7471F" w:rsidP="006D1D84">
      <w:pPr>
        <w:tabs>
          <w:tab w:val="right" w:pos="9639"/>
        </w:tabs>
        <w:spacing w:before="480"/>
        <w:rPr>
          <w:lang w:val="fr-CH"/>
        </w:rPr>
      </w:pPr>
      <w:r w:rsidRPr="00F44E4F">
        <w:rPr>
          <w:u w:val="single"/>
          <w:lang w:val="fr-CH"/>
        </w:rPr>
        <w:t>Projet de révision de la Recommandation UIT-R M.1904</w:t>
      </w:r>
      <w:r>
        <w:rPr>
          <w:u w:val="single"/>
          <w:lang w:val="fr-CH"/>
        </w:rPr>
        <w:t>-0</w:t>
      </w:r>
      <w:r w:rsidRPr="00F44E4F">
        <w:rPr>
          <w:lang w:val="fr-CH"/>
        </w:rPr>
        <w:tab/>
        <w:t xml:space="preserve">Doc. </w:t>
      </w:r>
      <w:r>
        <w:rPr>
          <w:lang w:val="fr-CH"/>
        </w:rPr>
        <w:t>4/55(Rév.1)</w:t>
      </w:r>
    </w:p>
    <w:p w:rsidR="00B7471F" w:rsidRPr="00B7471F" w:rsidRDefault="00B7471F" w:rsidP="00B7471F">
      <w:pPr>
        <w:pStyle w:val="Rectitle"/>
        <w:rPr>
          <w:lang w:val="fr-FR"/>
        </w:rPr>
      </w:pPr>
      <w:r w:rsidRPr="00B7471F">
        <w:rPr>
          <w:lang w:val="fr-FR"/>
        </w:rPr>
        <w:t xml:space="preserve">Caractéristiques, critères de qualité de fonctionnement et critères de protection applicables aux stations de réception du service de radionavigation par </w:t>
      </w:r>
      <w:r w:rsidRPr="00B7471F">
        <w:rPr>
          <w:lang w:val="fr-FR"/>
        </w:rPr>
        <w:br/>
        <w:t xml:space="preserve">satellite (espace-espace) fonctionnant dans les bandes de fréquences </w:t>
      </w:r>
      <w:r w:rsidRPr="00B7471F">
        <w:rPr>
          <w:lang w:val="fr-FR"/>
        </w:rPr>
        <w:br/>
        <w:t>1 164-1 215 MHz, 1 215-1 300 MHz et 1 559</w:t>
      </w:r>
      <w:r w:rsidRPr="00B7471F">
        <w:rPr>
          <w:lang w:val="fr-FR"/>
        </w:rPr>
        <w:noBreakHyphen/>
        <w:t>1 610 MHz</w:t>
      </w:r>
    </w:p>
    <w:p w:rsidR="00B7471F" w:rsidRDefault="00B7471F" w:rsidP="0047091C">
      <w:pPr>
        <w:spacing w:line="240" w:lineRule="auto"/>
        <w:rPr>
          <w:lang w:val="fr-FR"/>
        </w:rPr>
      </w:pPr>
      <w:r w:rsidRPr="00954E1F">
        <w:rPr>
          <w:spacing w:val="-2"/>
          <w:lang w:val="fr-FR"/>
        </w:rPr>
        <w:t xml:space="preserve">Cette révision comprend des mises à jour des renseignements sur le système GLONASS afin de diffuser les dernières informations concernant le système, y compris les nouveaux signaux AMRC. Elle comprend aussi des mises à jour des renseignements sur les caractéristiques, les critères de qualité de fonctionnement et les critères de protection des stations de réception </w:t>
      </w:r>
      <w:proofErr w:type="spellStart"/>
      <w:r w:rsidRPr="00954E1F">
        <w:rPr>
          <w:spacing w:val="-2"/>
          <w:lang w:val="fr-FR"/>
        </w:rPr>
        <w:t>spatioportées</w:t>
      </w:r>
      <w:proofErr w:type="spellEnd"/>
      <w:r w:rsidRPr="00954E1F">
        <w:rPr>
          <w:spacing w:val="-2"/>
          <w:lang w:val="fr-FR"/>
        </w:rPr>
        <w:t xml:space="preserve"> du service de radionavigation par satellite (SRNS), compte tenu des renseignements mis à jour sur le système GLONASS. Les seules autres mises à jour proposées se limitent aux tableaux et aux notes associées figurant dans les </w:t>
      </w:r>
      <w:r w:rsidRPr="00954E1F">
        <w:rPr>
          <w:lang w:val="fr-FR"/>
        </w:rPr>
        <w:t>Annexes 1, 2 et 3.</w:t>
      </w:r>
    </w:p>
    <w:p w:rsidR="00B7471F" w:rsidRDefault="00B7471F" w:rsidP="00B747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pacing w:val="-2"/>
          <w:lang w:val="fr-FR"/>
        </w:rPr>
      </w:pPr>
      <w:r>
        <w:rPr>
          <w:spacing w:val="-2"/>
          <w:lang w:val="fr-FR"/>
        </w:rPr>
        <w:br w:type="page"/>
      </w:r>
    </w:p>
    <w:p w:rsidR="00B7471F" w:rsidRPr="00F44E4F" w:rsidRDefault="00B7471F" w:rsidP="006D1D84">
      <w:pPr>
        <w:tabs>
          <w:tab w:val="right" w:pos="9639"/>
        </w:tabs>
        <w:spacing w:before="480"/>
        <w:rPr>
          <w:lang w:val="fr-CH"/>
        </w:rPr>
      </w:pPr>
      <w:r w:rsidRPr="00F44E4F">
        <w:rPr>
          <w:u w:val="single"/>
          <w:lang w:val="fr-CH"/>
        </w:rPr>
        <w:lastRenderedPageBreak/>
        <w:t>Projet de révision de la Recommandation UIT-R M.1905</w:t>
      </w:r>
      <w:r>
        <w:rPr>
          <w:u w:val="single"/>
          <w:lang w:val="fr-CH"/>
        </w:rPr>
        <w:t>-0</w:t>
      </w:r>
      <w:r w:rsidRPr="00F44E4F">
        <w:rPr>
          <w:lang w:val="fr-CH"/>
        </w:rPr>
        <w:tab/>
        <w:t xml:space="preserve">Doc. </w:t>
      </w:r>
      <w:r>
        <w:rPr>
          <w:lang w:val="fr-CH"/>
        </w:rPr>
        <w:t>4/56(Rév.1)</w:t>
      </w:r>
    </w:p>
    <w:p w:rsidR="00B7471F" w:rsidRPr="00B7471F" w:rsidRDefault="00B7471F" w:rsidP="00B7471F">
      <w:pPr>
        <w:pStyle w:val="Rectitle"/>
        <w:rPr>
          <w:lang w:val="fr-FR"/>
        </w:rPr>
      </w:pPr>
      <w:r w:rsidRPr="00B7471F">
        <w:rPr>
          <w:lang w:val="fr-FR"/>
        </w:rPr>
        <w:t>Caractéristiques et critères de protection applicables aux stations terriennes de réception du service de radionavigation par satellite (espace vers Terre) fonctionnant dans la bande 1 164-1 215 MHz</w:t>
      </w:r>
    </w:p>
    <w:p w:rsidR="00B7471F" w:rsidRPr="00954E1F" w:rsidRDefault="00B7471F" w:rsidP="0047091C">
      <w:pPr>
        <w:spacing w:before="240" w:line="240" w:lineRule="auto"/>
        <w:rPr>
          <w:rFonts w:eastAsia="MS Mincho"/>
          <w:szCs w:val="24"/>
          <w:lang w:val="fr-FR"/>
        </w:rPr>
      </w:pPr>
      <w:r w:rsidRPr="00954E1F">
        <w:rPr>
          <w:spacing w:val="-2"/>
          <w:lang w:val="fr-FR"/>
        </w:rPr>
        <w:t xml:space="preserve">Cette révision comprend des mises à jour des renseignements sur le système GLONASS afin de diffuser les dernières informations concernant le système, y compris les nouveaux signaux AMRC. Elle comprend aussi des mises à jour des renseignements sur les caractéristiques et les critères de protection des stations terriennes de réception du service de radionavigation par satellite (SRNS) fonctionnant dans la bande </w:t>
      </w:r>
      <w:r w:rsidRPr="00954E1F">
        <w:rPr>
          <w:rFonts w:eastAsia="MS Mincho"/>
          <w:lang w:val="fr-FR"/>
        </w:rPr>
        <w:t>1 164-1 215 MHz</w:t>
      </w:r>
      <w:r w:rsidRPr="00954E1F">
        <w:rPr>
          <w:spacing w:val="-2"/>
          <w:lang w:val="fr-FR"/>
        </w:rPr>
        <w:t>, compte tenu des renseignements mis à jour sur le système GLONASS. En</w:t>
      </w:r>
      <w:r>
        <w:rPr>
          <w:spacing w:val="-2"/>
          <w:lang w:val="fr-FR"/>
        </w:rPr>
        <w:t>fin</w:t>
      </w:r>
      <w:r w:rsidRPr="00954E1F">
        <w:rPr>
          <w:spacing w:val="-2"/>
          <w:lang w:val="fr-FR"/>
        </w:rPr>
        <w:t>, des mises à jour ont été proposées pour apporter des précisions dans l</w:t>
      </w:r>
      <w:r>
        <w:rPr>
          <w:spacing w:val="-2"/>
          <w:lang w:val="fr-FR"/>
        </w:rPr>
        <w:t>'</w:t>
      </w:r>
      <w:r w:rsidRPr="00954E1F">
        <w:rPr>
          <w:rFonts w:eastAsia="MS Mincho"/>
          <w:lang w:val="fr-FR"/>
        </w:rPr>
        <w:t>Annexe 2, y compris concernant le Tableau 2-1 et les notes associées.</w:t>
      </w:r>
    </w:p>
    <w:p w:rsidR="00B7471F" w:rsidRPr="00BC5160" w:rsidRDefault="00B7471F" w:rsidP="00B7471F">
      <w:pPr>
        <w:pStyle w:val="Reasons"/>
        <w:rPr>
          <w:lang w:val="fr-FR"/>
        </w:rPr>
      </w:pPr>
    </w:p>
    <w:p w:rsidR="00B7471F" w:rsidRDefault="00B7471F" w:rsidP="00B7471F">
      <w:pPr>
        <w:jc w:val="center"/>
      </w:pPr>
      <w:r>
        <w:t>______________</w:t>
      </w:r>
    </w:p>
    <w:sectPr w:rsidR="00B7471F" w:rsidSect="006C529E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>
      <w:r>
        <w:separator/>
      </w:r>
    </w:p>
  </w:endnote>
  <w:endnote w:type="continuationSeparator" w:id="0">
    <w:p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2474BA">
      <w:rPr>
        <w:noProof/>
        <w:sz w:val="16"/>
        <w:szCs w:val="16"/>
        <w:lang w:val="es-ES_tradnl"/>
      </w:rPr>
      <w:t>Y:\APP\BR\CIRCS_DMS\CACE\900\910\910f_.docx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700B4D">
      <w:rPr>
        <w:noProof/>
        <w:sz w:val="16"/>
        <w:szCs w:val="16"/>
      </w:rPr>
      <w:t>16.07.19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2474BA">
      <w:rPr>
        <w:noProof/>
        <w:sz w:val="16"/>
        <w:szCs w:val="16"/>
      </w:rPr>
      <w:t>16.07.19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D1" w:rsidRPr="0012237B" w:rsidRDefault="00E73DD1" w:rsidP="00E73DD1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12237B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12237B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2237B">
      <w:rPr>
        <w:sz w:val="18"/>
        <w:szCs w:val="18"/>
        <w:lang w:val="fr-FR"/>
      </w:rPr>
      <w:t xml:space="preserve">• Courriel: </w:t>
    </w:r>
    <w:hyperlink r:id="rId1" w:history="1">
      <w:r w:rsidRPr="0012237B">
        <w:rPr>
          <w:rStyle w:val="Hyperlink"/>
          <w:sz w:val="18"/>
          <w:szCs w:val="18"/>
          <w:lang w:val="fr-FR"/>
        </w:rPr>
        <w:t>itumail@itu.int</w:t>
      </w:r>
    </w:hyperlink>
    <w:r w:rsidRPr="0012237B">
      <w:rPr>
        <w:sz w:val="18"/>
        <w:szCs w:val="18"/>
        <w:lang w:val="fr-FR"/>
      </w:rPr>
      <w:t xml:space="preserve"> • </w:t>
    </w:r>
    <w:hyperlink r:id="rId2" w:history="1">
      <w:r w:rsidRPr="0012237B">
        <w:rPr>
          <w:rStyle w:val="Hyperlink"/>
          <w:sz w:val="18"/>
          <w:szCs w:val="18"/>
          <w:lang w:val="fr-FR"/>
        </w:rPr>
        <w:t>www.itu.int</w:t>
      </w:r>
    </w:hyperlink>
    <w:r w:rsidRPr="0012237B">
      <w:rPr>
        <w:sz w:val="18"/>
        <w:szCs w:val="18"/>
        <w:lang w:val="fr-FR"/>
      </w:rPr>
      <w:t xml:space="preserve"> </w:t>
    </w:r>
    <w:r w:rsidR="00821904" w:rsidRPr="0012237B">
      <w:rPr>
        <w:sz w:val="18"/>
        <w:szCs w:val="18"/>
        <w:lang w:val="fr-FR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>
      <w:r>
        <w:t>____________________</w:t>
      </w:r>
    </w:p>
  </w:footnote>
  <w:footnote w:type="continuationSeparator" w:id="0">
    <w:p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AF3325" w:rsidRDefault="00D76916" w:rsidP="00821904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47091C">
          <w:rPr>
            <w:rStyle w:val="PageNumber"/>
            <w:noProof/>
            <w:sz w:val="18"/>
            <w:szCs w:val="16"/>
          </w:rPr>
          <w:t>4</w:t>
        </w:r>
        <w:r w:rsidRPr="002569F7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946A29" w:rsidTr="00946A29">
      <w:tc>
        <w:tcPr>
          <w:tcW w:w="4808" w:type="dxa"/>
          <w:noWrap/>
          <w:tcMar>
            <w:left w:w="0" w:type="dxa"/>
          </w:tcMar>
        </w:tcPr>
        <w:p w:rsidR="00946A29" w:rsidRDefault="00946A29" w:rsidP="000F7DC1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79962D4" wp14:editId="427122C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946A29" w:rsidRDefault="00946A29" w:rsidP="000F7DC1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94F0163" wp14:editId="36F4DA14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0F74D7"/>
    <w:rsid w:val="00100B72"/>
    <w:rsid w:val="00101F7D"/>
    <w:rsid w:val="00103C76"/>
    <w:rsid w:val="0011265F"/>
    <w:rsid w:val="00117282"/>
    <w:rsid w:val="00117389"/>
    <w:rsid w:val="00121C2D"/>
    <w:rsid w:val="00134404"/>
    <w:rsid w:val="00142B1F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062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474BA"/>
    <w:rsid w:val="002569F7"/>
    <w:rsid w:val="00266E74"/>
    <w:rsid w:val="00283C3B"/>
    <w:rsid w:val="002861E6"/>
    <w:rsid w:val="00287D18"/>
    <w:rsid w:val="002A2618"/>
    <w:rsid w:val="002A5DD7"/>
    <w:rsid w:val="002A695D"/>
    <w:rsid w:val="002B0CAC"/>
    <w:rsid w:val="002D00BF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52CA8"/>
    <w:rsid w:val="003534B5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0676"/>
    <w:rsid w:val="003D4418"/>
    <w:rsid w:val="003D4A69"/>
    <w:rsid w:val="003D73E3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82E"/>
    <w:rsid w:val="00447ECB"/>
    <w:rsid w:val="00451F33"/>
    <w:rsid w:val="004623F7"/>
    <w:rsid w:val="0047091C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29E"/>
    <w:rsid w:val="006C53F8"/>
    <w:rsid w:val="006C7CDE"/>
    <w:rsid w:val="006D1D84"/>
    <w:rsid w:val="006E3B03"/>
    <w:rsid w:val="00700B4D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1904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05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607"/>
    <w:rsid w:val="00946A29"/>
    <w:rsid w:val="00947185"/>
    <w:rsid w:val="009518B3"/>
    <w:rsid w:val="00963D9D"/>
    <w:rsid w:val="00970468"/>
    <w:rsid w:val="0097645A"/>
    <w:rsid w:val="0098013E"/>
    <w:rsid w:val="00981B54"/>
    <w:rsid w:val="009842C3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3E9E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05CC"/>
    <w:rsid w:val="00AF3325"/>
    <w:rsid w:val="00AF34D9"/>
    <w:rsid w:val="00AF5F2D"/>
    <w:rsid w:val="00AF70DA"/>
    <w:rsid w:val="00B019D3"/>
    <w:rsid w:val="00B34CF9"/>
    <w:rsid w:val="00B37559"/>
    <w:rsid w:val="00B4054B"/>
    <w:rsid w:val="00B44E23"/>
    <w:rsid w:val="00B57444"/>
    <w:rsid w:val="00B579B0"/>
    <w:rsid w:val="00B57D11"/>
    <w:rsid w:val="00B649D7"/>
    <w:rsid w:val="00B7471F"/>
    <w:rsid w:val="00B76E35"/>
    <w:rsid w:val="00B81C2F"/>
    <w:rsid w:val="00B90743"/>
    <w:rsid w:val="00B90C45"/>
    <w:rsid w:val="00B933BE"/>
    <w:rsid w:val="00BA7FD4"/>
    <w:rsid w:val="00BD6738"/>
    <w:rsid w:val="00BD7E5E"/>
    <w:rsid w:val="00BE63DB"/>
    <w:rsid w:val="00BE6574"/>
    <w:rsid w:val="00C07319"/>
    <w:rsid w:val="00C136E8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A5CB5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D46"/>
    <w:rsid w:val="00D73277"/>
    <w:rsid w:val="00D76586"/>
    <w:rsid w:val="00D76916"/>
    <w:rsid w:val="00D82657"/>
    <w:rsid w:val="00D87E20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2F0D"/>
    <w:rsid w:val="00E23D2C"/>
    <w:rsid w:val="00E25BB1"/>
    <w:rsid w:val="00E27BBA"/>
    <w:rsid w:val="00E30E3F"/>
    <w:rsid w:val="00E327D0"/>
    <w:rsid w:val="00E35E8F"/>
    <w:rsid w:val="00E428AB"/>
    <w:rsid w:val="00E438E8"/>
    <w:rsid w:val="00E453A3"/>
    <w:rsid w:val="00E520E2"/>
    <w:rsid w:val="00E530C4"/>
    <w:rsid w:val="00E53DCE"/>
    <w:rsid w:val="00E54C8E"/>
    <w:rsid w:val="00E55996"/>
    <w:rsid w:val="00E5604C"/>
    <w:rsid w:val="00E64254"/>
    <w:rsid w:val="00E67928"/>
    <w:rsid w:val="00E70FB5"/>
    <w:rsid w:val="00E73DD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C761D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0743D"/>
    <w:rPr>
      <w:sz w:val="24"/>
      <w:szCs w:val="22"/>
      <w:lang w:val="en-US" w:eastAsia="en-US"/>
    </w:rPr>
  </w:style>
  <w:style w:type="paragraph" w:customStyle="1" w:styleId="enumlev19pt">
    <w:name w:val="enumlev1 + 9 pt"/>
    <w:aliases w:val="Left,Before:  0 cm,First line:  0 cm"/>
    <w:basedOn w:val="enumlev1"/>
    <w:rsid w:val="00970468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  <w:style w:type="paragraph" w:styleId="ListParagraph">
    <w:name w:val="List Paragraph"/>
    <w:basedOn w:val="Normal"/>
    <w:uiPriority w:val="34"/>
    <w:qFormat/>
    <w:rsid w:val="00E73D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4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ECF4-F5E3-4CCF-A591-0768FA85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50</TotalTime>
  <Pages>5</Pages>
  <Words>1236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8572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Limousin, Catherine</cp:lastModifiedBy>
  <cp:revision>14</cp:revision>
  <cp:lastPrinted>2019-07-16T12:57:00Z</cp:lastPrinted>
  <dcterms:created xsi:type="dcterms:W3CDTF">2019-07-10T13:30:00Z</dcterms:created>
  <dcterms:modified xsi:type="dcterms:W3CDTF">2019-07-16T13:58:00Z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