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Look w:val="04A0" w:firstRow="1" w:lastRow="0" w:firstColumn="1" w:lastColumn="0" w:noHBand="0" w:noVBand="1"/>
      </w:tblPr>
      <w:tblGrid>
        <w:gridCol w:w="1418"/>
        <w:gridCol w:w="5528"/>
        <w:gridCol w:w="2977"/>
      </w:tblGrid>
      <w:tr w:rsidR="00EA15B3" w:rsidRPr="00F42C8C" w:rsidTr="00621E6C">
        <w:trPr>
          <w:jc w:val="center"/>
        </w:trPr>
        <w:tc>
          <w:tcPr>
            <w:tcW w:w="9923" w:type="dxa"/>
            <w:gridSpan w:val="3"/>
          </w:tcPr>
          <w:p w:rsidR="00EA15B3" w:rsidRDefault="00C764BA" w:rsidP="008051AF">
            <w:pPr>
              <w:spacing w:before="0"/>
              <w:jc w:val="left"/>
              <w:rPr>
                <w:rFonts w:cstheme="minorHAnsi"/>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p w:rsidR="008051AF" w:rsidRDefault="008051AF" w:rsidP="008051AF">
            <w:pPr>
              <w:spacing w:before="0"/>
              <w:jc w:val="left"/>
              <w:rPr>
                <w:rFonts w:cs="Times New Roman Bold"/>
                <w:b/>
                <w:bCs/>
                <w:color w:val="808080"/>
                <w:sz w:val="28"/>
                <w:szCs w:val="28"/>
              </w:rPr>
            </w:pPr>
          </w:p>
          <w:p w:rsidR="008051AF" w:rsidRPr="00D2339B" w:rsidRDefault="008051AF" w:rsidP="008051AF">
            <w:pPr>
              <w:spacing w:before="0"/>
              <w:jc w:val="left"/>
              <w:rPr>
                <w:rFonts w:cs="Times New Roman Bold"/>
                <w:b/>
                <w:bCs/>
                <w:color w:val="808080"/>
                <w:sz w:val="28"/>
                <w:szCs w:val="28"/>
              </w:rPr>
            </w:pPr>
          </w:p>
        </w:tc>
      </w:tr>
      <w:tr w:rsidR="00EA15B3" w:rsidRPr="00F42C8C" w:rsidTr="00621E6C">
        <w:trPr>
          <w:jc w:val="center"/>
        </w:trPr>
        <w:tc>
          <w:tcPr>
            <w:tcW w:w="9923" w:type="dxa"/>
            <w:gridSpan w:val="3"/>
          </w:tcPr>
          <w:p w:rsidR="00EA15B3" w:rsidRPr="00F42C8C" w:rsidRDefault="00EA15B3" w:rsidP="00EA15B3">
            <w:pPr>
              <w:jc w:val="left"/>
            </w:pPr>
          </w:p>
        </w:tc>
      </w:tr>
      <w:tr w:rsidR="00786E9F" w:rsidRPr="00094683" w:rsidTr="00621E6C">
        <w:tblPrEx>
          <w:jc w:val="left"/>
        </w:tblPrEx>
        <w:tc>
          <w:tcPr>
            <w:tcW w:w="6946" w:type="dxa"/>
            <w:gridSpan w:val="2"/>
            <w:shd w:val="clear" w:color="auto" w:fill="auto"/>
          </w:tcPr>
          <w:p w:rsidR="00786E9F" w:rsidRPr="00094683" w:rsidRDefault="00405EAD" w:rsidP="003A4CE8">
            <w:pPr>
              <w:spacing w:before="0"/>
              <w:jc w:val="left"/>
              <w:rPr>
                <w:sz w:val="24"/>
                <w:szCs w:val="24"/>
                <w:lang w:val="fr-CH"/>
              </w:rPr>
            </w:pPr>
            <w:bookmarkStart w:id="2" w:name="Formula"/>
            <w:bookmarkStart w:id="3" w:name="MainStory"/>
            <w:bookmarkStart w:id="4" w:name="CurrentLocation"/>
            <w:bookmarkEnd w:id="2"/>
            <w:bookmarkEnd w:id="3"/>
            <w:bookmarkEnd w:id="4"/>
            <w:proofErr w:type="spellStart"/>
            <w:r w:rsidRPr="00094683">
              <w:rPr>
                <w:sz w:val="24"/>
                <w:szCs w:val="24"/>
                <w:lang w:val="fr-CH"/>
              </w:rPr>
              <w:t>Circular</w:t>
            </w:r>
            <w:proofErr w:type="spellEnd"/>
            <w:r w:rsidRPr="00094683">
              <w:rPr>
                <w:sz w:val="24"/>
                <w:szCs w:val="24"/>
                <w:lang w:val="fr-CH"/>
              </w:rPr>
              <w:t xml:space="preserve"> </w:t>
            </w:r>
            <w:proofErr w:type="spellStart"/>
            <w:r w:rsidRPr="00094683">
              <w:rPr>
                <w:sz w:val="24"/>
                <w:szCs w:val="24"/>
                <w:lang w:val="fr-CH"/>
              </w:rPr>
              <w:t>Administrativa</w:t>
            </w:r>
            <w:proofErr w:type="spellEnd"/>
          </w:p>
          <w:p w:rsidR="00786E9F" w:rsidRPr="00094683" w:rsidRDefault="00786E9F" w:rsidP="00786E9F">
            <w:pPr>
              <w:spacing w:before="0"/>
              <w:jc w:val="left"/>
              <w:rPr>
                <w:b/>
                <w:bCs/>
                <w:sz w:val="24"/>
                <w:szCs w:val="24"/>
                <w:lang w:val="fr-CH"/>
              </w:rPr>
            </w:pPr>
            <w:r w:rsidRPr="00094683">
              <w:rPr>
                <w:b/>
                <w:bCs/>
                <w:sz w:val="24"/>
                <w:szCs w:val="24"/>
                <w:lang w:val="fr-CH"/>
              </w:rPr>
              <w:t>CACE/</w:t>
            </w:r>
            <w:r w:rsidR="00F67A40">
              <w:rPr>
                <w:b/>
                <w:bCs/>
                <w:sz w:val="24"/>
                <w:szCs w:val="24"/>
                <w:lang w:val="fr-CH"/>
              </w:rPr>
              <w:t>910</w:t>
            </w:r>
          </w:p>
        </w:tc>
        <w:tc>
          <w:tcPr>
            <w:tcW w:w="2977" w:type="dxa"/>
            <w:shd w:val="clear" w:color="auto" w:fill="auto"/>
          </w:tcPr>
          <w:p w:rsidR="00786E9F" w:rsidRPr="00094683" w:rsidRDefault="00F67A40" w:rsidP="00F67A40">
            <w:pPr>
              <w:spacing w:before="0"/>
              <w:jc w:val="right"/>
              <w:rPr>
                <w:sz w:val="24"/>
                <w:szCs w:val="24"/>
                <w:lang w:val="en-GB"/>
              </w:rPr>
            </w:pPr>
            <w:r>
              <w:rPr>
                <w:sz w:val="24"/>
                <w:szCs w:val="24"/>
                <w:lang w:val="en-GB"/>
              </w:rPr>
              <w:t xml:space="preserve">17 de </w:t>
            </w:r>
            <w:proofErr w:type="spellStart"/>
            <w:r>
              <w:rPr>
                <w:sz w:val="24"/>
                <w:szCs w:val="24"/>
                <w:lang w:val="en-GB"/>
              </w:rPr>
              <w:t>julio</w:t>
            </w:r>
            <w:proofErr w:type="spellEnd"/>
            <w:r>
              <w:rPr>
                <w:sz w:val="24"/>
                <w:szCs w:val="24"/>
                <w:lang w:val="en-GB"/>
              </w:rPr>
              <w:t xml:space="preserve"> de 2019</w:t>
            </w:r>
          </w:p>
        </w:tc>
      </w:tr>
      <w:tr w:rsidR="00786E9F" w:rsidRPr="00094683" w:rsidTr="00621E6C">
        <w:tblPrEx>
          <w:jc w:val="left"/>
        </w:tblPrEx>
        <w:tc>
          <w:tcPr>
            <w:tcW w:w="9923" w:type="dxa"/>
            <w:gridSpan w:val="3"/>
            <w:shd w:val="clear" w:color="auto" w:fill="auto"/>
          </w:tcPr>
          <w:p w:rsidR="00786E9F" w:rsidRPr="00094683" w:rsidRDefault="00786E9F" w:rsidP="003A4CE8">
            <w:pPr>
              <w:spacing w:before="0"/>
              <w:jc w:val="left"/>
              <w:rPr>
                <w:rFonts w:cs="Arial"/>
                <w:sz w:val="24"/>
                <w:szCs w:val="24"/>
                <w:lang w:val="en-GB"/>
              </w:rPr>
            </w:pPr>
          </w:p>
        </w:tc>
      </w:tr>
      <w:tr w:rsidR="00786E9F" w:rsidRPr="00094683" w:rsidTr="00621E6C">
        <w:tblPrEx>
          <w:jc w:val="left"/>
        </w:tblPrEx>
        <w:tc>
          <w:tcPr>
            <w:tcW w:w="9923" w:type="dxa"/>
            <w:gridSpan w:val="3"/>
            <w:shd w:val="clear" w:color="auto" w:fill="auto"/>
          </w:tcPr>
          <w:p w:rsidR="00786E9F" w:rsidRPr="00094683" w:rsidRDefault="00786E9F" w:rsidP="003A4CE8">
            <w:pPr>
              <w:spacing w:before="0"/>
              <w:jc w:val="left"/>
              <w:rPr>
                <w:sz w:val="24"/>
                <w:szCs w:val="24"/>
              </w:rPr>
            </w:pPr>
          </w:p>
        </w:tc>
      </w:tr>
      <w:tr w:rsidR="00786E9F" w:rsidRPr="00094683" w:rsidTr="00621E6C">
        <w:tblPrEx>
          <w:jc w:val="left"/>
        </w:tblPrEx>
        <w:tc>
          <w:tcPr>
            <w:tcW w:w="9923" w:type="dxa"/>
            <w:gridSpan w:val="3"/>
            <w:shd w:val="clear" w:color="auto" w:fill="auto"/>
          </w:tcPr>
          <w:p w:rsidR="00786E9F" w:rsidRPr="00094683" w:rsidRDefault="00786E9F" w:rsidP="00F67A40">
            <w:pPr>
              <w:spacing w:before="0"/>
              <w:jc w:val="left"/>
              <w:rPr>
                <w:b/>
                <w:bCs/>
                <w:sz w:val="24"/>
                <w:szCs w:val="24"/>
              </w:rPr>
            </w:pPr>
            <w:r w:rsidRPr="00094683">
              <w:rPr>
                <w:b/>
                <w:bCs/>
                <w:sz w:val="24"/>
                <w:szCs w:val="24"/>
              </w:rPr>
              <w:t>A las Administraciones de los Estados Miembros de la UIT, a los Miembros del Sector de Radiocomunicaciones, a los Asociados del UIT-R que participan en los trabajos de la Comisión de Estudio </w:t>
            </w:r>
            <w:r w:rsidR="00F67A40">
              <w:rPr>
                <w:b/>
                <w:bCs/>
                <w:sz w:val="24"/>
                <w:szCs w:val="24"/>
              </w:rPr>
              <w:t>4</w:t>
            </w:r>
            <w:r w:rsidRPr="00094683">
              <w:rPr>
                <w:b/>
                <w:bCs/>
                <w:sz w:val="24"/>
                <w:szCs w:val="24"/>
              </w:rPr>
              <w:t xml:space="preserve"> de Radiocomunicaciones y a las Instituciones Académicas de la UIT</w:t>
            </w:r>
          </w:p>
        </w:tc>
      </w:tr>
      <w:tr w:rsidR="00786E9F" w:rsidRPr="00094683" w:rsidTr="00621E6C">
        <w:tblPrEx>
          <w:jc w:val="left"/>
        </w:tblPrEx>
        <w:tc>
          <w:tcPr>
            <w:tcW w:w="9923" w:type="dxa"/>
            <w:gridSpan w:val="3"/>
            <w:shd w:val="clear" w:color="auto" w:fill="auto"/>
          </w:tcPr>
          <w:p w:rsidR="00786E9F" w:rsidRPr="00094683" w:rsidRDefault="00786E9F" w:rsidP="003A4CE8">
            <w:pPr>
              <w:spacing w:before="0"/>
              <w:jc w:val="left"/>
              <w:rPr>
                <w:sz w:val="24"/>
                <w:szCs w:val="24"/>
              </w:rPr>
            </w:pPr>
          </w:p>
        </w:tc>
      </w:tr>
      <w:tr w:rsidR="00786E9F" w:rsidRPr="00094683" w:rsidTr="00621E6C">
        <w:tblPrEx>
          <w:jc w:val="left"/>
        </w:tblPrEx>
        <w:tc>
          <w:tcPr>
            <w:tcW w:w="9923" w:type="dxa"/>
            <w:gridSpan w:val="3"/>
            <w:shd w:val="clear" w:color="auto" w:fill="auto"/>
          </w:tcPr>
          <w:p w:rsidR="00786E9F" w:rsidRPr="00094683" w:rsidRDefault="00786E9F" w:rsidP="003A4CE8">
            <w:pPr>
              <w:spacing w:before="0"/>
              <w:jc w:val="left"/>
              <w:rPr>
                <w:sz w:val="24"/>
                <w:szCs w:val="24"/>
              </w:rPr>
            </w:pPr>
          </w:p>
        </w:tc>
      </w:tr>
      <w:tr w:rsidR="00786E9F" w:rsidRPr="00094683" w:rsidTr="00621E6C">
        <w:tblPrEx>
          <w:jc w:val="left"/>
        </w:tblPrEx>
        <w:tc>
          <w:tcPr>
            <w:tcW w:w="1418" w:type="dxa"/>
            <w:shd w:val="clear" w:color="auto" w:fill="auto"/>
          </w:tcPr>
          <w:p w:rsidR="00786E9F" w:rsidRPr="00094683" w:rsidRDefault="00786E9F" w:rsidP="003A4CE8">
            <w:pPr>
              <w:spacing w:before="0"/>
              <w:jc w:val="left"/>
              <w:rPr>
                <w:sz w:val="24"/>
                <w:szCs w:val="24"/>
                <w:lang w:val="en-GB"/>
              </w:rPr>
            </w:pPr>
            <w:r w:rsidRPr="00094683">
              <w:rPr>
                <w:sz w:val="24"/>
                <w:szCs w:val="24"/>
              </w:rPr>
              <w:t>Asunto:</w:t>
            </w:r>
          </w:p>
        </w:tc>
        <w:tc>
          <w:tcPr>
            <w:tcW w:w="8505" w:type="dxa"/>
            <w:gridSpan w:val="2"/>
            <w:vMerge w:val="restart"/>
            <w:shd w:val="clear" w:color="auto" w:fill="auto"/>
          </w:tcPr>
          <w:p w:rsidR="00786E9F" w:rsidRPr="00094683" w:rsidRDefault="00786E9F" w:rsidP="00F67A40">
            <w:pPr>
              <w:tabs>
                <w:tab w:val="clear" w:pos="794"/>
                <w:tab w:val="clear" w:pos="1588"/>
                <w:tab w:val="clear" w:pos="1985"/>
                <w:tab w:val="left" w:pos="454"/>
                <w:tab w:val="left" w:pos="1418"/>
              </w:tabs>
              <w:spacing w:before="120"/>
              <w:ind w:left="459" w:hanging="459"/>
              <w:rPr>
                <w:b/>
                <w:bCs/>
                <w:sz w:val="24"/>
                <w:szCs w:val="24"/>
              </w:rPr>
            </w:pPr>
            <w:r w:rsidRPr="00094683">
              <w:rPr>
                <w:b/>
                <w:sz w:val="24"/>
                <w:szCs w:val="24"/>
              </w:rPr>
              <w:t xml:space="preserve">Comisión de Estudio </w:t>
            </w:r>
            <w:r w:rsidR="00F67A40">
              <w:rPr>
                <w:b/>
                <w:sz w:val="24"/>
                <w:szCs w:val="24"/>
              </w:rPr>
              <w:t xml:space="preserve">4 </w:t>
            </w:r>
            <w:r w:rsidRPr="00094683">
              <w:rPr>
                <w:b/>
                <w:sz w:val="24"/>
                <w:szCs w:val="24"/>
              </w:rPr>
              <w:t>de Radiocomunicaciones</w:t>
            </w:r>
            <w:bookmarkStart w:id="5" w:name="OLE_LINK1"/>
            <w:bookmarkStart w:id="6" w:name="OLE_LINK2"/>
            <w:r w:rsidR="00094683">
              <w:rPr>
                <w:b/>
                <w:sz w:val="24"/>
                <w:szCs w:val="24"/>
              </w:rPr>
              <w:t xml:space="preserve"> (</w:t>
            </w:r>
            <w:r w:rsidR="00F67A40" w:rsidRPr="00F67A40">
              <w:rPr>
                <w:b/>
                <w:sz w:val="24"/>
                <w:szCs w:val="24"/>
                <w:lang w:val="es-ES"/>
              </w:rPr>
              <w:t>Servicios por satélite</w:t>
            </w:r>
            <w:r w:rsidR="00094683" w:rsidRPr="00F67A40">
              <w:rPr>
                <w:b/>
                <w:sz w:val="24"/>
                <w:szCs w:val="24"/>
              </w:rPr>
              <w:t>)</w:t>
            </w:r>
          </w:p>
          <w:p w:rsidR="00786E9F" w:rsidRPr="00F67A40" w:rsidRDefault="00786E9F" w:rsidP="00F67A40">
            <w:pPr>
              <w:tabs>
                <w:tab w:val="clear" w:pos="794"/>
                <w:tab w:val="clear" w:pos="1588"/>
                <w:tab w:val="clear" w:pos="1985"/>
                <w:tab w:val="left" w:pos="454"/>
                <w:tab w:val="left" w:pos="1418"/>
              </w:tabs>
              <w:spacing w:before="120" w:after="120"/>
              <w:ind w:left="459" w:hanging="459"/>
              <w:jc w:val="left"/>
              <w:rPr>
                <w:b/>
                <w:sz w:val="24"/>
                <w:szCs w:val="24"/>
              </w:rPr>
            </w:pPr>
            <w:r w:rsidRPr="00094683">
              <w:rPr>
                <w:b/>
                <w:sz w:val="24"/>
                <w:szCs w:val="24"/>
              </w:rPr>
              <w:t>–</w:t>
            </w:r>
            <w:r w:rsidRPr="00094683">
              <w:rPr>
                <w:bCs/>
                <w:sz w:val="24"/>
                <w:szCs w:val="24"/>
              </w:rPr>
              <w:tab/>
            </w:r>
            <w:r w:rsidRPr="00094683">
              <w:rPr>
                <w:b/>
                <w:bCs/>
                <w:sz w:val="24"/>
                <w:szCs w:val="24"/>
              </w:rPr>
              <w:t xml:space="preserve">Propuesta de aprobación de </w:t>
            </w:r>
            <w:r w:rsidR="00F67A40">
              <w:rPr>
                <w:b/>
                <w:bCs/>
                <w:sz w:val="24"/>
                <w:szCs w:val="24"/>
              </w:rPr>
              <w:t>5</w:t>
            </w:r>
            <w:r w:rsidRPr="00094683">
              <w:rPr>
                <w:b/>
                <w:bCs/>
                <w:sz w:val="24"/>
                <w:szCs w:val="24"/>
              </w:rPr>
              <w:t xml:space="preserve"> </w:t>
            </w:r>
            <w:r w:rsidRPr="00094683">
              <w:rPr>
                <w:b/>
                <w:sz w:val="24"/>
                <w:szCs w:val="24"/>
              </w:rPr>
              <w:t>proyectos de Recomendaciones UIT-R revisadas</w:t>
            </w:r>
            <w:bookmarkEnd w:id="5"/>
            <w:bookmarkEnd w:id="6"/>
          </w:p>
        </w:tc>
      </w:tr>
      <w:tr w:rsidR="00786E9F" w:rsidRPr="00094683" w:rsidTr="00621E6C">
        <w:tblPrEx>
          <w:jc w:val="left"/>
        </w:tblPrEx>
        <w:tc>
          <w:tcPr>
            <w:tcW w:w="1418" w:type="dxa"/>
            <w:shd w:val="clear" w:color="auto" w:fill="auto"/>
          </w:tcPr>
          <w:p w:rsidR="00786E9F" w:rsidRPr="00094683" w:rsidRDefault="00786E9F" w:rsidP="003A4CE8">
            <w:pPr>
              <w:spacing w:before="0"/>
              <w:jc w:val="left"/>
              <w:rPr>
                <w:b/>
                <w:bCs/>
                <w:sz w:val="24"/>
                <w:szCs w:val="24"/>
              </w:rPr>
            </w:pPr>
          </w:p>
        </w:tc>
        <w:tc>
          <w:tcPr>
            <w:tcW w:w="8505" w:type="dxa"/>
            <w:gridSpan w:val="2"/>
            <w:vMerge/>
            <w:shd w:val="clear" w:color="auto" w:fill="auto"/>
          </w:tcPr>
          <w:p w:rsidR="00786E9F" w:rsidRPr="00094683" w:rsidRDefault="00786E9F" w:rsidP="003A4CE8">
            <w:pPr>
              <w:spacing w:before="0"/>
              <w:rPr>
                <w:b/>
                <w:bCs/>
                <w:sz w:val="24"/>
                <w:szCs w:val="24"/>
              </w:rPr>
            </w:pPr>
          </w:p>
        </w:tc>
      </w:tr>
      <w:tr w:rsidR="00786E9F" w:rsidRPr="00094683" w:rsidTr="00621E6C">
        <w:tblPrEx>
          <w:jc w:val="left"/>
        </w:tblPrEx>
        <w:tc>
          <w:tcPr>
            <w:tcW w:w="1418" w:type="dxa"/>
            <w:shd w:val="clear" w:color="auto" w:fill="auto"/>
          </w:tcPr>
          <w:p w:rsidR="00786E9F" w:rsidRPr="00094683" w:rsidRDefault="00786E9F" w:rsidP="003A4CE8">
            <w:pPr>
              <w:spacing w:before="0"/>
              <w:jc w:val="left"/>
              <w:rPr>
                <w:b/>
                <w:bCs/>
                <w:sz w:val="24"/>
                <w:szCs w:val="24"/>
              </w:rPr>
            </w:pPr>
          </w:p>
        </w:tc>
        <w:tc>
          <w:tcPr>
            <w:tcW w:w="8505" w:type="dxa"/>
            <w:gridSpan w:val="2"/>
            <w:vMerge/>
            <w:shd w:val="clear" w:color="auto" w:fill="auto"/>
          </w:tcPr>
          <w:p w:rsidR="00786E9F" w:rsidRPr="00094683" w:rsidRDefault="00786E9F" w:rsidP="003A4CE8">
            <w:pPr>
              <w:spacing w:before="0"/>
              <w:rPr>
                <w:b/>
                <w:bCs/>
                <w:sz w:val="24"/>
                <w:szCs w:val="24"/>
              </w:rPr>
            </w:pPr>
          </w:p>
        </w:tc>
      </w:tr>
      <w:tr w:rsidR="00786E9F" w:rsidRPr="00786E9F" w:rsidTr="00621E6C">
        <w:tblPrEx>
          <w:jc w:val="left"/>
        </w:tblPrEx>
        <w:tc>
          <w:tcPr>
            <w:tcW w:w="9923" w:type="dxa"/>
            <w:gridSpan w:val="3"/>
            <w:shd w:val="clear" w:color="auto" w:fill="auto"/>
          </w:tcPr>
          <w:p w:rsidR="00786E9F" w:rsidRPr="00392DFD" w:rsidRDefault="00786E9F" w:rsidP="00786E9F">
            <w:pPr>
              <w:spacing w:before="0" w:line="240" w:lineRule="auto"/>
              <w:ind w:left="794" w:hanging="794"/>
              <w:rPr>
                <w:b/>
                <w:bCs/>
              </w:rPr>
            </w:pPr>
          </w:p>
        </w:tc>
      </w:tr>
      <w:tr w:rsidR="00786E9F" w:rsidRPr="00786E9F" w:rsidTr="00621E6C">
        <w:tblPrEx>
          <w:jc w:val="left"/>
        </w:tblPrEx>
        <w:tc>
          <w:tcPr>
            <w:tcW w:w="9923" w:type="dxa"/>
            <w:gridSpan w:val="3"/>
            <w:shd w:val="clear" w:color="auto" w:fill="auto"/>
          </w:tcPr>
          <w:p w:rsidR="00786E9F" w:rsidRPr="00392DFD" w:rsidRDefault="00786E9F" w:rsidP="00786E9F">
            <w:pPr>
              <w:spacing w:before="0" w:line="240" w:lineRule="auto"/>
              <w:rPr>
                <w:b/>
                <w:bCs/>
              </w:rPr>
            </w:pPr>
          </w:p>
        </w:tc>
      </w:tr>
    </w:tbl>
    <w:p w:rsidR="007E0705" w:rsidRPr="00C71C8D" w:rsidRDefault="007E0705" w:rsidP="008051AF">
      <w:pPr>
        <w:spacing w:before="240"/>
        <w:rPr>
          <w:sz w:val="24"/>
          <w:szCs w:val="24"/>
        </w:rPr>
      </w:pPr>
      <w:r w:rsidRPr="00C71C8D">
        <w:rPr>
          <w:sz w:val="24"/>
          <w:szCs w:val="24"/>
        </w:rPr>
        <w:t xml:space="preserve">En la reunión de la Comisión de Estudio </w:t>
      </w:r>
      <w:r w:rsidR="00F67A40">
        <w:rPr>
          <w:sz w:val="24"/>
          <w:szCs w:val="24"/>
        </w:rPr>
        <w:t>4</w:t>
      </w:r>
      <w:r w:rsidRPr="00C71C8D">
        <w:rPr>
          <w:sz w:val="24"/>
          <w:szCs w:val="24"/>
        </w:rPr>
        <w:t xml:space="preserve"> de Radiocomunicaciones </w:t>
      </w:r>
      <w:r w:rsidR="00F67A40">
        <w:rPr>
          <w:sz w:val="24"/>
          <w:szCs w:val="24"/>
        </w:rPr>
        <w:t xml:space="preserve">celebrada </w:t>
      </w:r>
      <w:r w:rsidRPr="00C71C8D">
        <w:rPr>
          <w:sz w:val="24"/>
          <w:szCs w:val="24"/>
        </w:rPr>
        <w:t xml:space="preserve">el </w:t>
      </w:r>
      <w:r w:rsidR="00F67A40">
        <w:rPr>
          <w:sz w:val="24"/>
          <w:szCs w:val="24"/>
        </w:rPr>
        <w:t>5 de julio</w:t>
      </w:r>
      <w:r w:rsidRPr="00C71C8D">
        <w:rPr>
          <w:sz w:val="24"/>
          <w:szCs w:val="24"/>
        </w:rPr>
        <w:t xml:space="preserve"> de 201</w:t>
      </w:r>
      <w:r w:rsidR="00F67A40">
        <w:rPr>
          <w:sz w:val="24"/>
          <w:szCs w:val="24"/>
        </w:rPr>
        <w:t>9</w:t>
      </w:r>
      <w:r w:rsidRPr="00C71C8D">
        <w:rPr>
          <w:sz w:val="24"/>
          <w:szCs w:val="24"/>
        </w:rPr>
        <w:t xml:space="preserve">, la Comisión de Estudio adoptó </w:t>
      </w:r>
      <w:r w:rsidR="00F67A40">
        <w:rPr>
          <w:sz w:val="24"/>
          <w:szCs w:val="24"/>
        </w:rPr>
        <w:t xml:space="preserve">los </w:t>
      </w:r>
      <w:r w:rsidRPr="00C71C8D">
        <w:rPr>
          <w:sz w:val="24"/>
          <w:szCs w:val="24"/>
        </w:rPr>
        <w:t xml:space="preserve">textos de </w:t>
      </w:r>
      <w:r w:rsidR="00F67A40">
        <w:rPr>
          <w:sz w:val="24"/>
          <w:szCs w:val="24"/>
        </w:rPr>
        <w:t>5</w:t>
      </w:r>
      <w:r w:rsidRPr="00C71C8D">
        <w:rPr>
          <w:sz w:val="24"/>
          <w:szCs w:val="24"/>
        </w:rPr>
        <w:t xml:space="preserve"> proyectos de Recomendaciones </w:t>
      </w:r>
      <w:r w:rsidR="005430D3">
        <w:rPr>
          <w:sz w:val="24"/>
          <w:szCs w:val="24"/>
        </w:rPr>
        <w:t xml:space="preserve">UIT-R </w:t>
      </w:r>
      <w:r w:rsidRPr="00C71C8D">
        <w:rPr>
          <w:sz w:val="24"/>
          <w:szCs w:val="24"/>
        </w:rPr>
        <w:t xml:space="preserve">revisadas y acordó aplicar el procedimiento de la Resolución UIT-R 1-7 (véase el § A2.6.2.3) para la aprobación de Recomendaciones por consulta. Los títulos y resúmenes </w:t>
      </w:r>
      <w:r w:rsidR="00F67A40">
        <w:rPr>
          <w:sz w:val="24"/>
          <w:szCs w:val="24"/>
        </w:rPr>
        <w:t>d</w:t>
      </w:r>
      <w:r w:rsidRPr="00C71C8D">
        <w:rPr>
          <w:sz w:val="24"/>
          <w:szCs w:val="24"/>
        </w:rPr>
        <w:t>e los proyectos de Recomendaciones figuran en el Anexo a la presente Carta. Todo Estado Miembro que objete la aprobación de un proyecto de Recomendación debe informar al Director y al Presidente de la Comisión de Estudio de los motivos de dicha objeción.</w:t>
      </w:r>
    </w:p>
    <w:p w:rsidR="007E0705" w:rsidRPr="00C71C8D" w:rsidRDefault="007E0705" w:rsidP="00F67A40">
      <w:pPr>
        <w:rPr>
          <w:sz w:val="24"/>
          <w:szCs w:val="24"/>
        </w:rPr>
      </w:pPr>
      <w:r w:rsidRPr="00C71C8D">
        <w:rPr>
          <w:sz w:val="24"/>
          <w:szCs w:val="24"/>
        </w:rPr>
        <w:t>Con respecto a las disposiciones del § A2.6.2.3 de la Resolución UIT-R 1-7, se solicita a los Estados Miembros que informen a la Secretaría (</w:t>
      </w:r>
      <w:hyperlink r:id="rId8" w:history="1">
        <w:r w:rsidRPr="00C71C8D">
          <w:rPr>
            <w:color w:val="0000FF"/>
            <w:sz w:val="24"/>
            <w:szCs w:val="24"/>
            <w:u w:val="single"/>
          </w:rPr>
          <w:t>brsgd@itu.int</w:t>
        </w:r>
      </w:hyperlink>
      <w:r w:rsidRPr="00C71C8D">
        <w:rPr>
          <w:sz w:val="24"/>
          <w:szCs w:val="24"/>
        </w:rPr>
        <w:t xml:space="preserve">) antes del </w:t>
      </w:r>
      <w:r w:rsidR="00F67A40">
        <w:rPr>
          <w:sz w:val="24"/>
          <w:szCs w:val="24"/>
          <w:u w:val="single"/>
        </w:rPr>
        <w:t>17 de septiembre</w:t>
      </w:r>
      <w:r w:rsidRPr="00C71C8D">
        <w:rPr>
          <w:sz w:val="24"/>
          <w:szCs w:val="24"/>
          <w:u w:val="single"/>
        </w:rPr>
        <w:t xml:space="preserve"> de 201</w:t>
      </w:r>
      <w:r w:rsidR="00F67A40">
        <w:rPr>
          <w:sz w:val="24"/>
          <w:szCs w:val="24"/>
          <w:u w:val="single"/>
        </w:rPr>
        <w:t>9</w:t>
      </w:r>
      <w:r w:rsidRPr="00C71C8D">
        <w:rPr>
          <w:sz w:val="24"/>
          <w:szCs w:val="24"/>
        </w:rPr>
        <w:t xml:space="preserve"> si aprueban o no la propuesta anterior.</w:t>
      </w:r>
    </w:p>
    <w:p w:rsidR="007E0705" w:rsidRPr="00C71C8D" w:rsidRDefault="007E0705" w:rsidP="007E0705">
      <w:pPr>
        <w:rPr>
          <w:sz w:val="24"/>
          <w:szCs w:val="24"/>
        </w:rPr>
      </w:pPr>
      <w:r w:rsidRPr="00C71C8D">
        <w:rPr>
          <w:sz w:val="24"/>
          <w:szCs w:val="24"/>
        </w:rPr>
        <w:t>Tras la fecha límite mencionada, los resultados de esta consulta se comunicarán mediante Circular Administrativa y las Recomendaciones aprobadas se publicarán tan pronto como sea posible (véase</w:t>
      </w:r>
      <w:r w:rsidR="008051AF">
        <w:rPr>
          <w:sz w:val="24"/>
          <w:szCs w:val="24"/>
        </w:rPr>
        <w:t> </w:t>
      </w:r>
      <w:hyperlink r:id="rId9" w:history="1">
        <w:r w:rsidRPr="00C71C8D">
          <w:rPr>
            <w:color w:val="0000FF"/>
            <w:sz w:val="24"/>
            <w:szCs w:val="24"/>
            <w:u w:val="single"/>
          </w:rPr>
          <w:t>http://www.itu.int/pub/R-REC</w:t>
        </w:r>
      </w:hyperlink>
      <w:r w:rsidRPr="00C71C8D">
        <w:rPr>
          <w:sz w:val="24"/>
          <w:szCs w:val="24"/>
        </w:rPr>
        <w:t>).</w:t>
      </w:r>
    </w:p>
    <w:p w:rsidR="007E0705" w:rsidRPr="00C71C8D" w:rsidRDefault="007E0705" w:rsidP="007E0705">
      <w:pPr>
        <w:tabs>
          <w:tab w:val="clear" w:pos="794"/>
          <w:tab w:val="clear" w:pos="1191"/>
          <w:tab w:val="clear" w:pos="1588"/>
          <w:tab w:val="clear" w:pos="1985"/>
        </w:tabs>
        <w:overflowPunct/>
        <w:autoSpaceDE/>
        <w:autoSpaceDN/>
        <w:adjustRightInd/>
        <w:spacing w:before="0"/>
        <w:textAlignment w:val="auto"/>
        <w:rPr>
          <w:sz w:val="24"/>
          <w:szCs w:val="24"/>
        </w:rPr>
      </w:pPr>
      <w:r w:rsidRPr="00C71C8D">
        <w:rPr>
          <w:sz w:val="24"/>
          <w:szCs w:val="24"/>
        </w:rPr>
        <w:br w:type="page"/>
      </w:r>
    </w:p>
    <w:p w:rsidR="007E0705" w:rsidRPr="00C71C8D" w:rsidRDefault="007E0705" w:rsidP="00D85CFE">
      <w:pPr>
        <w:rPr>
          <w:sz w:val="24"/>
          <w:szCs w:val="24"/>
        </w:rPr>
      </w:pPr>
      <w:r w:rsidRPr="00C71C8D">
        <w:rPr>
          <w:sz w:val="24"/>
          <w:szCs w:val="24"/>
        </w:rPr>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UIT-T/UIT-R/ISO/CEI puede consultarse en </w:t>
      </w:r>
      <w:hyperlink r:id="rId10" w:history="1">
        <w:r w:rsidR="00D85CFE" w:rsidRPr="00C71C8D">
          <w:rPr>
            <w:rStyle w:val="Hyperlink"/>
            <w:rFonts w:cs="Calibri"/>
            <w:sz w:val="24"/>
            <w:szCs w:val="24"/>
          </w:rPr>
          <w:t>http://www.itu.int/en/ITU-T/ipr/Pages/policy.aspx</w:t>
        </w:r>
      </w:hyperlink>
      <w:r w:rsidRPr="00C71C8D">
        <w:rPr>
          <w:sz w:val="24"/>
          <w:szCs w:val="24"/>
        </w:rPr>
        <w:t>.</w:t>
      </w:r>
    </w:p>
    <w:p w:rsidR="007E0705" w:rsidRPr="00C71C8D" w:rsidRDefault="00CF62B6" w:rsidP="00F67A40">
      <w:pPr>
        <w:spacing w:before="1920"/>
        <w:jc w:val="left"/>
        <w:rPr>
          <w:sz w:val="24"/>
          <w:szCs w:val="24"/>
        </w:rPr>
      </w:pPr>
      <w:r>
        <w:rPr>
          <w:sz w:val="24"/>
          <w:szCs w:val="24"/>
        </w:rPr>
        <w:t>Mario Maniewicz</w:t>
      </w:r>
      <w:r w:rsidR="00D85CFE" w:rsidRPr="00C71C8D">
        <w:rPr>
          <w:sz w:val="24"/>
          <w:szCs w:val="24"/>
        </w:rPr>
        <w:br/>
      </w:r>
      <w:r w:rsidR="007E0705" w:rsidRPr="00C71C8D">
        <w:rPr>
          <w:sz w:val="24"/>
          <w:szCs w:val="24"/>
        </w:rPr>
        <w:t>Director</w:t>
      </w:r>
    </w:p>
    <w:p w:rsidR="007E0705" w:rsidRPr="00C71C8D" w:rsidRDefault="007E0705" w:rsidP="00F67A40">
      <w:pPr>
        <w:spacing w:before="1560"/>
        <w:rPr>
          <w:sz w:val="24"/>
          <w:szCs w:val="24"/>
        </w:rPr>
      </w:pPr>
      <w:r w:rsidRPr="00C71C8D">
        <w:rPr>
          <w:b/>
          <w:bCs/>
          <w:sz w:val="24"/>
          <w:szCs w:val="24"/>
        </w:rPr>
        <w:t>Anexo:</w:t>
      </w:r>
      <w:r w:rsidR="00786E9F" w:rsidRPr="00C71C8D">
        <w:rPr>
          <w:sz w:val="24"/>
          <w:szCs w:val="24"/>
        </w:rPr>
        <w:tab/>
      </w:r>
      <w:r w:rsidR="00F67A40">
        <w:rPr>
          <w:sz w:val="24"/>
          <w:szCs w:val="24"/>
        </w:rPr>
        <w:tab/>
      </w:r>
      <w:r w:rsidRPr="00C71C8D">
        <w:rPr>
          <w:sz w:val="24"/>
          <w:szCs w:val="24"/>
        </w:rPr>
        <w:t xml:space="preserve">Títulos y resúmenes </w:t>
      </w:r>
      <w:r w:rsidR="00FD63D4" w:rsidRPr="00C71C8D">
        <w:rPr>
          <w:sz w:val="24"/>
          <w:szCs w:val="24"/>
        </w:rPr>
        <w:t>d</w:t>
      </w:r>
      <w:r w:rsidRPr="00C71C8D">
        <w:rPr>
          <w:sz w:val="24"/>
          <w:szCs w:val="24"/>
        </w:rPr>
        <w:t>e los proyectos de Recomendaciones</w:t>
      </w:r>
    </w:p>
    <w:p w:rsidR="00F67A40" w:rsidRPr="00DA429A" w:rsidRDefault="007E0705" w:rsidP="00DA429A">
      <w:pPr>
        <w:spacing w:before="1560"/>
        <w:rPr>
          <w:sz w:val="24"/>
          <w:szCs w:val="24"/>
        </w:rPr>
      </w:pPr>
      <w:r w:rsidRPr="00DA429A">
        <w:rPr>
          <w:b/>
          <w:bCs/>
          <w:sz w:val="24"/>
          <w:szCs w:val="24"/>
        </w:rPr>
        <w:t>Documentos:</w:t>
      </w:r>
      <w:r w:rsidRPr="00DA429A">
        <w:rPr>
          <w:sz w:val="24"/>
          <w:szCs w:val="24"/>
        </w:rPr>
        <w:t xml:space="preserve"> </w:t>
      </w:r>
      <w:r w:rsidR="00F67A40" w:rsidRPr="00DA429A">
        <w:rPr>
          <w:sz w:val="24"/>
          <w:szCs w:val="24"/>
        </w:rPr>
        <w:tab/>
      </w:r>
      <w:r w:rsidRPr="00DA429A">
        <w:rPr>
          <w:sz w:val="24"/>
          <w:szCs w:val="24"/>
        </w:rPr>
        <w:t xml:space="preserve">Documentos </w:t>
      </w:r>
      <w:r w:rsidR="00F67A40" w:rsidRPr="00DA429A">
        <w:rPr>
          <w:sz w:val="24"/>
          <w:szCs w:val="24"/>
        </w:rPr>
        <w:t xml:space="preserve">4/52(Rev.1), 4/53(Rev.1), 4/54(Rev.1), 4/55(Rev.1) </w:t>
      </w:r>
      <w:r w:rsidR="00DA429A" w:rsidRPr="00DA429A">
        <w:rPr>
          <w:sz w:val="24"/>
          <w:szCs w:val="24"/>
        </w:rPr>
        <w:t>y</w:t>
      </w:r>
      <w:r w:rsidR="00F67A40" w:rsidRPr="00DA429A">
        <w:rPr>
          <w:sz w:val="24"/>
          <w:szCs w:val="24"/>
        </w:rPr>
        <w:t xml:space="preserve"> 4/56(Rev.1)</w:t>
      </w:r>
    </w:p>
    <w:p w:rsidR="007E0705" w:rsidRPr="00C71C8D" w:rsidRDefault="007E0705" w:rsidP="00E90F6F">
      <w:pPr>
        <w:jc w:val="left"/>
      </w:pPr>
      <w:r w:rsidRPr="00DA429A">
        <w:rPr>
          <w:sz w:val="24"/>
          <w:szCs w:val="24"/>
        </w:rPr>
        <w:t>Estos documentos están disponibles en formato electrónico en la dirección:</w:t>
      </w:r>
      <w:r w:rsidR="00E90F6F" w:rsidRPr="00DA429A">
        <w:rPr>
          <w:sz w:val="24"/>
          <w:szCs w:val="24"/>
        </w:rPr>
        <w:br/>
      </w:r>
      <w:hyperlink r:id="rId11" w:history="1">
        <w:r w:rsidR="00C42DD7" w:rsidRPr="00333604">
          <w:rPr>
            <w:rStyle w:val="Hyperlink"/>
            <w:rFonts w:cs="Calibri"/>
            <w:sz w:val="24"/>
            <w:szCs w:val="24"/>
          </w:rPr>
          <w:t>http://www.itu.int/md/R15-SG04-C/en</w:t>
        </w:r>
      </w:hyperlink>
      <w:r w:rsidR="00C42DD7">
        <w:t xml:space="preserve"> </w:t>
      </w:r>
    </w:p>
    <w:p w:rsidR="007E0705" w:rsidRPr="000266B0" w:rsidRDefault="007E0705" w:rsidP="00F67A40">
      <w:pPr>
        <w:tabs>
          <w:tab w:val="left" w:pos="284"/>
          <w:tab w:val="left" w:pos="568"/>
        </w:tabs>
        <w:spacing w:before="3400"/>
        <w:rPr>
          <w:b/>
          <w:bCs/>
          <w:sz w:val="18"/>
          <w:szCs w:val="18"/>
        </w:rPr>
      </w:pPr>
      <w:r w:rsidRPr="000266B0">
        <w:rPr>
          <w:b/>
          <w:bCs/>
          <w:sz w:val="18"/>
          <w:szCs w:val="18"/>
        </w:rPr>
        <w:t>Distribución:</w:t>
      </w:r>
    </w:p>
    <w:p w:rsidR="007E0705" w:rsidRPr="000266B0" w:rsidRDefault="007E0705" w:rsidP="00F67A40">
      <w:pPr>
        <w:tabs>
          <w:tab w:val="left" w:pos="567"/>
          <w:tab w:val="left" w:pos="6237"/>
        </w:tabs>
        <w:spacing w:before="0" w:line="240" w:lineRule="auto"/>
        <w:ind w:left="567" w:hanging="567"/>
        <w:rPr>
          <w:sz w:val="18"/>
          <w:szCs w:val="18"/>
        </w:rPr>
      </w:pPr>
      <w:r w:rsidRPr="000266B0">
        <w:rPr>
          <w:sz w:val="18"/>
          <w:szCs w:val="18"/>
        </w:rPr>
        <w:t>–</w:t>
      </w:r>
      <w:r w:rsidRPr="000266B0">
        <w:rPr>
          <w:sz w:val="18"/>
          <w:szCs w:val="18"/>
        </w:rPr>
        <w:tab/>
        <w:t xml:space="preserve">Administraciones de los Estados </w:t>
      </w:r>
      <w:r w:rsidR="008C2623">
        <w:rPr>
          <w:sz w:val="18"/>
          <w:szCs w:val="18"/>
        </w:rPr>
        <w:t xml:space="preserve">Miembros de la UIT y </w:t>
      </w:r>
      <w:r w:rsidRPr="000266B0">
        <w:rPr>
          <w:sz w:val="18"/>
          <w:szCs w:val="18"/>
        </w:rPr>
        <w:t xml:space="preserve">Miembros del Sector de Radiocomunicaciones que participan en los trabajos de la Comisión de Estudio </w:t>
      </w:r>
      <w:r w:rsidR="00F67A40">
        <w:rPr>
          <w:sz w:val="18"/>
          <w:szCs w:val="18"/>
        </w:rPr>
        <w:t xml:space="preserve">4 </w:t>
      </w:r>
      <w:r w:rsidRPr="000266B0">
        <w:rPr>
          <w:sz w:val="18"/>
          <w:szCs w:val="18"/>
        </w:rPr>
        <w:t xml:space="preserve">de Radiocomunicaciones </w:t>
      </w:r>
    </w:p>
    <w:p w:rsidR="007E0705" w:rsidRPr="000266B0" w:rsidRDefault="007E0705" w:rsidP="00F67A40">
      <w:pPr>
        <w:tabs>
          <w:tab w:val="left" w:pos="567"/>
          <w:tab w:val="left" w:pos="6237"/>
        </w:tabs>
        <w:spacing w:before="0" w:line="240" w:lineRule="auto"/>
        <w:rPr>
          <w:sz w:val="18"/>
          <w:szCs w:val="18"/>
        </w:rPr>
      </w:pPr>
      <w:r w:rsidRPr="000266B0">
        <w:rPr>
          <w:sz w:val="18"/>
          <w:szCs w:val="18"/>
        </w:rPr>
        <w:t>–</w:t>
      </w:r>
      <w:r w:rsidRPr="000266B0">
        <w:rPr>
          <w:sz w:val="18"/>
          <w:szCs w:val="18"/>
        </w:rPr>
        <w:tab/>
        <w:t xml:space="preserve">Asociados del UIT-R que participan en los trabajos de la Comisión de Estudio </w:t>
      </w:r>
      <w:r w:rsidR="00F67A40">
        <w:rPr>
          <w:sz w:val="18"/>
          <w:szCs w:val="18"/>
        </w:rPr>
        <w:t>4</w:t>
      </w:r>
      <w:r w:rsidRPr="000266B0">
        <w:rPr>
          <w:sz w:val="18"/>
          <w:szCs w:val="18"/>
        </w:rPr>
        <w:t xml:space="preserve"> de Radiocomunicaciones </w:t>
      </w:r>
    </w:p>
    <w:p w:rsidR="007E0705" w:rsidRPr="000266B0" w:rsidRDefault="007E0705" w:rsidP="00400AF2">
      <w:pPr>
        <w:tabs>
          <w:tab w:val="left" w:pos="567"/>
          <w:tab w:val="left" w:pos="6237"/>
        </w:tabs>
        <w:spacing w:before="0" w:line="240" w:lineRule="auto"/>
        <w:rPr>
          <w:sz w:val="18"/>
          <w:szCs w:val="18"/>
        </w:rPr>
      </w:pPr>
      <w:r w:rsidRPr="000266B0">
        <w:rPr>
          <w:sz w:val="18"/>
          <w:szCs w:val="18"/>
        </w:rPr>
        <w:t>–</w:t>
      </w:r>
      <w:r w:rsidRPr="000266B0">
        <w:rPr>
          <w:sz w:val="18"/>
          <w:szCs w:val="18"/>
        </w:rPr>
        <w:tab/>
      </w:r>
      <w:r>
        <w:rPr>
          <w:sz w:val="18"/>
          <w:szCs w:val="18"/>
        </w:rPr>
        <w:t>Instituciones Académicas de la UIT</w:t>
      </w:r>
      <w:r w:rsidRPr="000266B0">
        <w:rPr>
          <w:sz w:val="18"/>
          <w:szCs w:val="18"/>
        </w:rPr>
        <w:t xml:space="preserve"> </w:t>
      </w:r>
    </w:p>
    <w:p w:rsidR="007E0705" w:rsidRPr="000266B0" w:rsidRDefault="007E0705" w:rsidP="00FD63D4">
      <w:pPr>
        <w:tabs>
          <w:tab w:val="left" w:pos="567"/>
          <w:tab w:val="left" w:pos="6237"/>
        </w:tabs>
        <w:spacing w:before="0" w:line="240" w:lineRule="auto"/>
        <w:ind w:left="567" w:hanging="567"/>
        <w:rPr>
          <w:sz w:val="18"/>
          <w:szCs w:val="18"/>
        </w:rPr>
      </w:pPr>
      <w:r w:rsidRPr="000266B0">
        <w:rPr>
          <w:sz w:val="18"/>
          <w:szCs w:val="18"/>
        </w:rPr>
        <w:t>–</w:t>
      </w:r>
      <w:r w:rsidRPr="000266B0">
        <w:rPr>
          <w:sz w:val="18"/>
          <w:szCs w:val="18"/>
        </w:rPr>
        <w:tab/>
        <w:t xml:space="preserve">Presidente y Vicepresidentes de las Comisiones de Estudio de Radiocomunicaciones </w:t>
      </w:r>
    </w:p>
    <w:p w:rsidR="007E0705" w:rsidRPr="000266B0" w:rsidRDefault="007E0705" w:rsidP="00400AF2">
      <w:pPr>
        <w:tabs>
          <w:tab w:val="left" w:pos="567"/>
          <w:tab w:val="left" w:pos="6237"/>
        </w:tabs>
        <w:spacing w:before="0" w:line="240" w:lineRule="auto"/>
        <w:rPr>
          <w:sz w:val="18"/>
          <w:szCs w:val="18"/>
        </w:rPr>
      </w:pPr>
      <w:r w:rsidRPr="000266B0">
        <w:rPr>
          <w:sz w:val="18"/>
          <w:szCs w:val="18"/>
        </w:rPr>
        <w:t>–</w:t>
      </w:r>
      <w:r w:rsidRPr="000266B0">
        <w:rPr>
          <w:sz w:val="18"/>
          <w:szCs w:val="18"/>
        </w:rPr>
        <w:tab/>
        <w:t xml:space="preserve">Presidente y Vicepresidentes de la Reunión Preparatoria de la Conferencia </w:t>
      </w:r>
    </w:p>
    <w:p w:rsidR="007E0705" w:rsidRPr="000266B0" w:rsidRDefault="007E0705" w:rsidP="00400AF2">
      <w:pPr>
        <w:tabs>
          <w:tab w:val="left" w:pos="567"/>
          <w:tab w:val="left" w:pos="6237"/>
        </w:tabs>
        <w:spacing w:before="0" w:line="240" w:lineRule="auto"/>
        <w:rPr>
          <w:sz w:val="18"/>
          <w:szCs w:val="18"/>
        </w:rPr>
      </w:pPr>
      <w:r w:rsidRPr="000266B0">
        <w:rPr>
          <w:sz w:val="18"/>
          <w:szCs w:val="18"/>
        </w:rPr>
        <w:t>–</w:t>
      </w:r>
      <w:r w:rsidRPr="000266B0">
        <w:rPr>
          <w:sz w:val="18"/>
          <w:szCs w:val="18"/>
        </w:rPr>
        <w:tab/>
        <w:t xml:space="preserve">Miembros de la Junta del Reglamento de Radiocomunicaciones </w:t>
      </w:r>
    </w:p>
    <w:p w:rsidR="00C42DD7" w:rsidRDefault="007E0705" w:rsidP="00400AF2">
      <w:pPr>
        <w:tabs>
          <w:tab w:val="left" w:pos="567"/>
          <w:tab w:val="left" w:pos="6237"/>
        </w:tabs>
        <w:overflowPunct/>
        <w:autoSpaceDE/>
        <w:autoSpaceDN/>
        <w:adjustRightInd/>
        <w:spacing w:before="0" w:line="240" w:lineRule="auto"/>
        <w:ind w:left="567" w:hanging="567"/>
        <w:textAlignment w:val="auto"/>
        <w:rPr>
          <w:sz w:val="18"/>
          <w:szCs w:val="18"/>
        </w:rPr>
      </w:pPr>
      <w:r w:rsidRPr="000266B0">
        <w:rPr>
          <w:sz w:val="18"/>
          <w:szCs w:val="18"/>
        </w:rPr>
        <w:t>–</w:t>
      </w:r>
      <w:r w:rsidRPr="000266B0">
        <w:rPr>
          <w:sz w:val="18"/>
          <w:szCs w:val="18"/>
        </w:rPr>
        <w:tab/>
        <w:t>Secretario General de la UIT, Director de la Oficina de Normalización de las Telecomunicaciones, Director de la Oficina de Desarrollo</w:t>
      </w:r>
      <w:r w:rsidR="00400AF2">
        <w:rPr>
          <w:sz w:val="18"/>
          <w:szCs w:val="18"/>
        </w:rPr>
        <w:t xml:space="preserve"> de Telecomunicaciones</w:t>
      </w:r>
    </w:p>
    <w:p w:rsidR="00C42DD7" w:rsidRDefault="00C42DD7">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p w:rsidR="003C3C9C" w:rsidRPr="009C0624" w:rsidRDefault="003C3C9C" w:rsidP="003C3C9C">
      <w:pPr>
        <w:pStyle w:val="AnnexNotitle0"/>
        <w:rPr>
          <w:rFonts w:asciiTheme="minorHAnsi" w:hAnsiTheme="minorHAnsi"/>
        </w:rPr>
      </w:pPr>
      <w:r w:rsidRPr="009C0624">
        <w:rPr>
          <w:rFonts w:asciiTheme="minorHAnsi" w:hAnsiTheme="minorHAnsi"/>
        </w:rPr>
        <w:lastRenderedPageBreak/>
        <w:t>Anexo</w:t>
      </w:r>
      <w:r w:rsidRPr="009C0624">
        <w:rPr>
          <w:rFonts w:asciiTheme="minorHAnsi" w:hAnsiTheme="minorHAnsi"/>
        </w:rPr>
        <w:br/>
      </w:r>
      <w:r w:rsidRPr="009C0624">
        <w:rPr>
          <w:rFonts w:asciiTheme="minorHAnsi" w:hAnsiTheme="minorHAnsi"/>
        </w:rPr>
        <w:br/>
        <w:t>Títulos y resúmenes de los proyectos de Recomendaciones</w:t>
      </w:r>
      <w:r w:rsidRPr="009C0624">
        <w:rPr>
          <w:rFonts w:asciiTheme="minorHAnsi" w:hAnsiTheme="minorHAnsi"/>
        </w:rPr>
        <w:br/>
        <w:t>adoptados por la Comisión de Estudio 4 de Radiocomunicaciones</w:t>
      </w:r>
    </w:p>
    <w:p w:rsidR="003C3C9C" w:rsidRPr="00DA429A" w:rsidRDefault="003C3C9C" w:rsidP="003C3C9C">
      <w:pPr>
        <w:tabs>
          <w:tab w:val="clear" w:pos="794"/>
          <w:tab w:val="clear" w:pos="1191"/>
          <w:tab w:val="clear" w:pos="1588"/>
          <w:tab w:val="clear" w:pos="1985"/>
          <w:tab w:val="right" w:pos="9639"/>
        </w:tabs>
        <w:spacing w:before="600"/>
        <w:rPr>
          <w:rFonts w:asciiTheme="minorHAnsi" w:hAnsiTheme="minorHAnsi" w:cstheme="minorHAnsi"/>
          <w:sz w:val="24"/>
          <w:szCs w:val="24"/>
          <w:lang w:val="es-ES"/>
        </w:rPr>
      </w:pPr>
      <w:r w:rsidRPr="00DA429A">
        <w:rPr>
          <w:sz w:val="24"/>
          <w:szCs w:val="24"/>
          <w:u w:val="single"/>
        </w:rPr>
        <w:t>Proyecto de revisión de la Recomendación UIT-R M.1901-1</w:t>
      </w:r>
      <w:r w:rsidRPr="00DA429A">
        <w:rPr>
          <w:sz w:val="24"/>
          <w:szCs w:val="24"/>
        </w:rPr>
        <w:t xml:space="preserve"> </w:t>
      </w:r>
      <w:r w:rsidRPr="00DA429A">
        <w:rPr>
          <w:rFonts w:asciiTheme="minorHAnsi" w:hAnsiTheme="minorHAnsi" w:cstheme="minorHAnsi"/>
          <w:sz w:val="24"/>
          <w:szCs w:val="24"/>
          <w:lang w:val="es-ES"/>
        </w:rPr>
        <w:tab/>
        <w:t>Doc. 4/52(Rev.1)</w:t>
      </w:r>
    </w:p>
    <w:p w:rsidR="003C3C9C" w:rsidRPr="009C0624" w:rsidRDefault="003C3C9C" w:rsidP="003C3C9C">
      <w:pPr>
        <w:pStyle w:val="Rectitle"/>
      </w:pPr>
      <w:r w:rsidRPr="009C0624">
        <w:t>Directrices sobre Recomendaciones del UIT</w:t>
      </w:r>
      <w:r w:rsidRPr="009C0624">
        <w:noBreakHyphen/>
        <w:t>R relativas a sistemas y redes del servicio de radionavegación por satélite que funcionan en las bandas de frecuencias 1 164</w:t>
      </w:r>
      <w:r w:rsidRPr="009C0624">
        <w:noBreakHyphen/>
        <w:t>1 215 MHz, 1 215</w:t>
      </w:r>
      <w:r w:rsidRPr="009C0624">
        <w:noBreakHyphen/>
        <w:t>1 300 MHz, 1 559</w:t>
      </w:r>
      <w:r w:rsidRPr="009C0624">
        <w:noBreakHyphen/>
        <w:t xml:space="preserve">1 610 MHz, </w:t>
      </w:r>
      <w:r w:rsidRPr="009C0624">
        <w:br/>
        <w:t>5 000</w:t>
      </w:r>
      <w:r w:rsidRPr="009C0624">
        <w:noBreakHyphen/>
        <w:t>5 010 MHz y 5 010</w:t>
      </w:r>
      <w:r w:rsidRPr="009C0624">
        <w:noBreakHyphen/>
        <w:t>5 030 MHz</w:t>
      </w:r>
    </w:p>
    <w:p w:rsidR="003C3C9C" w:rsidRPr="00DA429A" w:rsidRDefault="003C3C9C" w:rsidP="003C3C9C">
      <w:pPr>
        <w:tabs>
          <w:tab w:val="clear" w:pos="794"/>
          <w:tab w:val="clear" w:pos="1191"/>
          <w:tab w:val="clear" w:pos="1588"/>
          <w:tab w:val="clear" w:pos="1985"/>
          <w:tab w:val="left" w:pos="1134"/>
          <w:tab w:val="left" w:pos="1871"/>
          <w:tab w:val="left" w:pos="2268"/>
        </w:tabs>
        <w:spacing w:before="240" w:line="240" w:lineRule="auto"/>
        <w:rPr>
          <w:rFonts w:asciiTheme="minorHAnsi" w:eastAsia="MS Mincho" w:hAnsiTheme="minorHAnsi" w:cstheme="minorHAnsi"/>
          <w:sz w:val="24"/>
          <w:szCs w:val="24"/>
        </w:rPr>
      </w:pPr>
      <w:r w:rsidRPr="00DA429A">
        <w:rPr>
          <w:rFonts w:asciiTheme="minorHAnsi" w:eastAsia="MS Mincho" w:hAnsiTheme="minorHAnsi" w:cstheme="minorHAnsi"/>
          <w:sz w:val="24"/>
          <w:szCs w:val="24"/>
        </w:rPr>
        <w:t xml:space="preserve">Esta revisión consiste en: </w:t>
      </w:r>
      <w:r w:rsidRPr="00DA429A">
        <w:rPr>
          <w:rFonts w:asciiTheme="minorHAnsi" w:eastAsia="MS Mincho" w:hAnsiTheme="minorHAnsi" w:cstheme="minorHAnsi"/>
          <w:sz w:val="24"/>
          <w:szCs w:val="24"/>
          <w:lang w:eastAsia="ja-JP"/>
        </w:rPr>
        <w:t xml:space="preserve">1) una modificación menor en el </w:t>
      </w:r>
      <w:r w:rsidRPr="00DA429A">
        <w:rPr>
          <w:rFonts w:asciiTheme="minorHAnsi" w:eastAsia="MS Mincho" w:hAnsiTheme="minorHAnsi" w:cstheme="minorHAnsi"/>
          <w:i/>
          <w:sz w:val="24"/>
          <w:szCs w:val="24"/>
          <w:lang w:eastAsia="ja-JP"/>
        </w:rPr>
        <w:t>reconociendo f)</w:t>
      </w:r>
      <w:r w:rsidRPr="00DA429A">
        <w:rPr>
          <w:rFonts w:asciiTheme="minorHAnsi" w:eastAsia="MS Mincho" w:hAnsiTheme="minorHAnsi" w:cstheme="minorHAnsi"/>
          <w:sz w:val="24"/>
          <w:szCs w:val="24"/>
          <w:lang w:eastAsia="ja-JP"/>
        </w:rPr>
        <w:t>; 2</w:t>
      </w:r>
      <w:r w:rsidRPr="00DA429A">
        <w:rPr>
          <w:rFonts w:asciiTheme="minorHAnsi" w:eastAsia="MS Mincho" w:hAnsiTheme="minorHAnsi" w:cstheme="minorHAnsi"/>
          <w:sz w:val="24"/>
          <w:szCs w:val="24"/>
        </w:rPr>
        <w:t>) actualizaciones del Cuadro 3 y sus notas, incluida la eliminación de una nota</w:t>
      </w:r>
      <w:r w:rsidR="00DA429A">
        <w:rPr>
          <w:rFonts w:asciiTheme="minorHAnsi" w:eastAsia="MS Mincho" w:hAnsiTheme="minorHAnsi" w:cstheme="minorHAnsi"/>
          <w:sz w:val="24"/>
          <w:szCs w:val="24"/>
        </w:rPr>
        <w:t>;</w:t>
      </w:r>
      <w:r w:rsidRPr="00DA429A">
        <w:rPr>
          <w:rFonts w:asciiTheme="minorHAnsi" w:eastAsia="MS Mincho" w:hAnsiTheme="minorHAnsi" w:cstheme="minorHAnsi"/>
          <w:sz w:val="24"/>
          <w:szCs w:val="24"/>
        </w:rPr>
        <w:t xml:space="preserve"> y 3) incorporación de dos notas nuevas sobre la evaluación de la interferencia de fuentes de impulsos.</w:t>
      </w:r>
    </w:p>
    <w:p w:rsidR="003C3C9C" w:rsidRPr="00DA429A" w:rsidRDefault="003C3C9C" w:rsidP="00C9573C">
      <w:pPr>
        <w:tabs>
          <w:tab w:val="clear" w:pos="794"/>
          <w:tab w:val="clear" w:pos="1191"/>
          <w:tab w:val="clear" w:pos="1588"/>
          <w:tab w:val="clear" w:pos="1985"/>
          <w:tab w:val="right" w:pos="9639"/>
        </w:tabs>
        <w:spacing w:before="480"/>
        <w:jc w:val="left"/>
        <w:rPr>
          <w:sz w:val="24"/>
          <w:szCs w:val="24"/>
        </w:rPr>
      </w:pPr>
      <w:r w:rsidRPr="00DA429A">
        <w:rPr>
          <w:sz w:val="24"/>
          <w:szCs w:val="24"/>
          <w:u w:val="single"/>
        </w:rPr>
        <w:t>Proyecto de revisión de la Recomendación UIT-R M.1902-0</w:t>
      </w:r>
      <w:r w:rsidRPr="00DA429A">
        <w:rPr>
          <w:sz w:val="24"/>
          <w:szCs w:val="24"/>
        </w:rPr>
        <w:tab/>
        <w:t>Doc. 4/53(Rev.1)</w:t>
      </w:r>
    </w:p>
    <w:p w:rsidR="003C3C9C" w:rsidRPr="009C0624" w:rsidRDefault="003C3C9C" w:rsidP="003C3C9C">
      <w:pPr>
        <w:pStyle w:val="Rectitle"/>
      </w:pPr>
      <w:r w:rsidRPr="009C0624">
        <w:t xml:space="preserve">Características y criterios de protección de las estaciones terrenas receptoras </w:t>
      </w:r>
      <w:r w:rsidRPr="009C0624">
        <w:br/>
        <w:t xml:space="preserve">del servicio de radionavegación por satélite (espacio-Tierra) que funcionan </w:t>
      </w:r>
      <w:r w:rsidRPr="009C0624">
        <w:br/>
        <w:t>en la banda 1 215</w:t>
      </w:r>
      <w:r w:rsidRPr="009C0624">
        <w:noBreakHyphen/>
        <w:t>1 300 MHz</w:t>
      </w:r>
    </w:p>
    <w:p w:rsidR="003C3C9C" w:rsidRPr="00DA429A" w:rsidRDefault="003C3C9C" w:rsidP="003C3C9C">
      <w:pPr>
        <w:spacing w:before="240" w:line="240" w:lineRule="auto"/>
        <w:rPr>
          <w:spacing w:val="-2"/>
          <w:sz w:val="24"/>
          <w:szCs w:val="24"/>
        </w:rPr>
      </w:pPr>
      <w:r w:rsidRPr="00DA429A">
        <w:rPr>
          <w:spacing w:val="-2"/>
          <w:sz w:val="24"/>
          <w:szCs w:val="24"/>
        </w:rPr>
        <w:t xml:space="preserve">Esta revisión incluye actualizaciones de la información del GLONASS para presentar los detalles más recientes del sistema, incluidas las nuevas señales CDMA. También se proponen actualizaciones de la información de las características y los criterios de protección de las estaciones terrenas receptoras del servicio de radionavegación por satélite (SRNS) que funcionan en la banda 1 215-1 300 MHz, teniendo en cuenta la información actualizada del sistemas GLONASS. Se ha realizado también alguna modificación de la nota 1 </w:t>
      </w:r>
      <w:r w:rsidR="00DA429A">
        <w:rPr>
          <w:spacing w:val="-2"/>
          <w:sz w:val="24"/>
          <w:szCs w:val="24"/>
        </w:rPr>
        <w:t xml:space="preserve">a pie de página </w:t>
      </w:r>
      <w:r w:rsidRPr="00DA429A">
        <w:rPr>
          <w:spacing w:val="-2"/>
          <w:sz w:val="24"/>
          <w:szCs w:val="24"/>
        </w:rPr>
        <w:t>que define CDMA y FDMA, así como una aclaración sobre lo que significa el término «interferencia impulsiva» en el Anexo 1. También en el Anexo 1, se han realizado algunas modificaciones del Cuadro 1-1 y sus notas asociadas.</w:t>
      </w:r>
    </w:p>
    <w:p w:rsidR="00C9573C" w:rsidRDefault="00C9573C">
      <w:pPr>
        <w:tabs>
          <w:tab w:val="clear" w:pos="794"/>
          <w:tab w:val="clear" w:pos="1191"/>
          <w:tab w:val="clear" w:pos="1588"/>
          <w:tab w:val="clear" w:pos="1985"/>
        </w:tabs>
        <w:overflowPunct/>
        <w:autoSpaceDE/>
        <w:autoSpaceDN/>
        <w:adjustRightInd/>
        <w:spacing w:before="0" w:line="240" w:lineRule="auto"/>
        <w:jc w:val="left"/>
        <w:textAlignment w:val="auto"/>
        <w:rPr>
          <w:u w:val="single"/>
        </w:rPr>
      </w:pPr>
      <w:r>
        <w:rPr>
          <w:u w:val="single"/>
        </w:rPr>
        <w:br w:type="page"/>
      </w:r>
    </w:p>
    <w:p w:rsidR="003C3C9C" w:rsidRPr="00DA429A" w:rsidRDefault="003C3C9C" w:rsidP="00C9573C">
      <w:pPr>
        <w:tabs>
          <w:tab w:val="clear" w:pos="794"/>
          <w:tab w:val="clear" w:pos="1191"/>
          <w:tab w:val="clear" w:pos="1588"/>
          <w:tab w:val="clear" w:pos="1985"/>
          <w:tab w:val="right" w:pos="9639"/>
        </w:tabs>
        <w:spacing w:before="480"/>
        <w:jc w:val="left"/>
        <w:rPr>
          <w:sz w:val="24"/>
          <w:szCs w:val="24"/>
        </w:rPr>
      </w:pPr>
      <w:r w:rsidRPr="00DA429A">
        <w:rPr>
          <w:sz w:val="24"/>
          <w:szCs w:val="24"/>
          <w:u w:val="single"/>
        </w:rPr>
        <w:lastRenderedPageBreak/>
        <w:t>Proyecto de revisión de la Recomendación UIT-R M.1903-0</w:t>
      </w:r>
      <w:r w:rsidRPr="00DA429A">
        <w:rPr>
          <w:sz w:val="24"/>
          <w:szCs w:val="24"/>
        </w:rPr>
        <w:tab/>
        <w:t>Doc. 4/54(Rev.1)</w:t>
      </w:r>
    </w:p>
    <w:p w:rsidR="003C3C9C" w:rsidRPr="009C0624" w:rsidRDefault="003C3C9C" w:rsidP="003C3C9C">
      <w:pPr>
        <w:pStyle w:val="Rectitle"/>
      </w:pPr>
      <w:r w:rsidRPr="009C0624">
        <w:t xml:space="preserve">Características y criterios de protección de las estaciones terrenas receptoras </w:t>
      </w:r>
      <w:r w:rsidRPr="009C0624">
        <w:br/>
        <w:t xml:space="preserve">del servicio de radionavegación por satélite (espacio-Tierra) y de los </w:t>
      </w:r>
      <w:r w:rsidRPr="009C0624">
        <w:br/>
        <w:t xml:space="preserve">receptores del servicio de radionavegación aeronáutica que funcionan </w:t>
      </w:r>
      <w:r w:rsidRPr="009C0624">
        <w:br/>
        <w:t>en la banda 1 559</w:t>
      </w:r>
      <w:r w:rsidRPr="009C0624">
        <w:noBreakHyphen/>
        <w:t>1 610 MHz</w:t>
      </w:r>
    </w:p>
    <w:p w:rsidR="003C3C9C" w:rsidRPr="00DA429A" w:rsidRDefault="003C3C9C" w:rsidP="003C3C9C">
      <w:pPr>
        <w:spacing w:before="240" w:line="240" w:lineRule="auto"/>
        <w:rPr>
          <w:sz w:val="24"/>
          <w:szCs w:val="24"/>
        </w:rPr>
      </w:pPr>
      <w:r w:rsidRPr="00DA429A">
        <w:rPr>
          <w:sz w:val="24"/>
          <w:szCs w:val="24"/>
        </w:rPr>
        <w:t xml:space="preserve">Esta revisión incluye actualizaciones de la información del GLONASS para presentar los detalles más recientes del sistema, incluidas las nuevas señales CDMA. También se proponen actualizaciones de la información de las características y los criterios de protección de las estaciones terrenas receptoras del servicio de radionavegación por satélite (SRNS) </w:t>
      </w:r>
      <w:r w:rsidR="00DA429A">
        <w:rPr>
          <w:sz w:val="24"/>
          <w:szCs w:val="24"/>
        </w:rPr>
        <w:t>que funcionan en la banda 1 559</w:t>
      </w:r>
      <w:r w:rsidR="00DA429A">
        <w:rPr>
          <w:sz w:val="24"/>
          <w:szCs w:val="24"/>
        </w:rPr>
        <w:noBreakHyphen/>
      </w:r>
      <w:r w:rsidRPr="00DA429A">
        <w:rPr>
          <w:sz w:val="24"/>
          <w:szCs w:val="24"/>
        </w:rPr>
        <w:t xml:space="preserve">1 610 MHz, teniendo en cuenta la información actualizada </w:t>
      </w:r>
      <w:r w:rsidR="00444B88" w:rsidRPr="00DA429A">
        <w:rPr>
          <w:sz w:val="24"/>
          <w:szCs w:val="24"/>
        </w:rPr>
        <w:t>del sistema</w:t>
      </w:r>
      <w:r w:rsidRPr="00DA429A">
        <w:rPr>
          <w:sz w:val="24"/>
          <w:szCs w:val="24"/>
        </w:rPr>
        <w:t xml:space="preserve"> GLONASS.</w:t>
      </w:r>
    </w:p>
    <w:p w:rsidR="003C3C9C" w:rsidRPr="00DA429A" w:rsidRDefault="003C3C9C" w:rsidP="00DA429A">
      <w:pPr>
        <w:keepLines/>
        <w:tabs>
          <w:tab w:val="clear" w:pos="794"/>
          <w:tab w:val="clear" w:pos="1191"/>
          <w:tab w:val="clear" w:pos="1588"/>
          <w:tab w:val="clear" w:pos="1985"/>
          <w:tab w:val="left" w:pos="1134"/>
          <w:tab w:val="left" w:pos="1871"/>
          <w:tab w:val="left" w:pos="2268"/>
        </w:tabs>
        <w:spacing w:before="120" w:line="240" w:lineRule="auto"/>
        <w:rPr>
          <w:rFonts w:asciiTheme="minorHAnsi" w:eastAsia="MS Mincho" w:hAnsiTheme="minorHAnsi" w:cstheme="minorHAnsi"/>
          <w:sz w:val="24"/>
        </w:rPr>
      </w:pPr>
      <w:bookmarkStart w:id="7" w:name="_Hlk488265232"/>
      <w:r w:rsidRPr="00DA429A">
        <w:rPr>
          <w:rFonts w:asciiTheme="minorHAnsi" w:eastAsia="MS Mincho" w:hAnsiTheme="minorHAnsi" w:cstheme="minorHAnsi"/>
          <w:sz w:val="24"/>
        </w:rPr>
        <w:t>Esta revisión también incluye la sustitución de la nota 1</w:t>
      </w:r>
      <w:r w:rsidR="00DA429A" w:rsidRPr="00DA429A">
        <w:rPr>
          <w:rFonts w:asciiTheme="minorHAnsi" w:eastAsia="MS Mincho" w:hAnsiTheme="minorHAnsi" w:cstheme="minorHAnsi"/>
          <w:sz w:val="24"/>
        </w:rPr>
        <w:t xml:space="preserve"> a pie de página </w:t>
      </w:r>
      <w:r w:rsidRPr="00DA429A">
        <w:rPr>
          <w:rFonts w:asciiTheme="minorHAnsi" w:eastAsia="MS Mincho" w:hAnsiTheme="minorHAnsi" w:cstheme="minorHAnsi"/>
          <w:sz w:val="24"/>
        </w:rPr>
        <w:t>del título sobre los transmisores terrenales en el SRNA con una referencia a la nueva nota 3 de la Recomendación</w:t>
      </w:r>
      <w:r w:rsidRPr="00DA429A">
        <w:rPr>
          <w:rFonts w:asciiTheme="minorHAnsi" w:hAnsiTheme="minorHAnsi" w:cstheme="minorHAnsi"/>
          <w:sz w:val="24"/>
          <w:szCs w:val="28"/>
        </w:rPr>
        <w:t xml:space="preserve">. Además, la CMR-15 eliminó los números </w:t>
      </w:r>
      <w:r w:rsidRPr="00DA429A">
        <w:rPr>
          <w:rFonts w:asciiTheme="minorHAnsi" w:hAnsiTheme="minorHAnsi" w:cstheme="minorHAnsi"/>
          <w:b/>
          <w:bCs/>
          <w:sz w:val="24"/>
        </w:rPr>
        <w:t>5.362B</w:t>
      </w:r>
      <w:r w:rsidRPr="00DA429A">
        <w:rPr>
          <w:rFonts w:asciiTheme="minorHAnsi" w:hAnsiTheme="minorHAnsi" w:cstheme="minorHAnsi"/>
          <w:sz w:val="24"/>
          <w:szCs w:val="28"/>
        </w:rPr>
        <w:t xml:space="preserve"> y </w:t>
      </w:r>
      <w:r w:rsidRPr="00DA429A">
        <w:rPr>
          <w:rFonts w:asciiTheme="minorHAnsi" w:hAnsiTheme="minorHAnsi" w:cstheme="minorHAnsi"/>
          <w:b/>
          <w:bCs/>
          <w:sz w:val="24"/>
        </w:rPr>
        <w:t>5.362C</w:t>
      </w:r>
      <w:r w:rsidRPr="00DA429A">
        <w:rPr>
          <w:rFonts w:asciiTheme="minorHAnsi" w:hAnsiTheme="minorHAnsi" w:cstheme="minorHAnsi"/>
          <w:sz w:val="24"/>
        </w:rPr>
        <w:t xml:space="preserve"> del RR</w:t>
      </w:r>
      <w:r w:rsidRPr="00DA429A">
        <w:rPr>
          <w:rFonts w:asciiTheme="minorHAnsi" w:hAnsiTheme="minorHAnsi" w:cstheme="minorHAnsi"/>
          <w:sz w:val="24"/>
          <w:szCs w:val="28"/>
        </w:rPr>
        <w:t xml:space="preserve">, por lo tanto las referencias a estas antiguas disposiciones en los </w:t>
      </w:r>
      <w:r w:rsidRPr="00DA429A">
        <w:rPr>
          <w:rFonts w:asciiTheme="minorHAnsi" w:hAnsiTheme="minorHAnsi" w:cstheme="minorHAnsi"/>
          <w:i/>
          <w:iCs/>
          <w:sz w:val="24"/>
          <w:szCs w:val="28"/>
        </w:rPr>
        <w:t>reconociendo</w:t>
      </w:r>
      <w:r w:rsidRPr="00DA429A">
        <w:rPr>
          <w:rFonts w:asciiTheme="minorHAnsi" w:hAnsiTheme="minorHAnsi" w:cstheme="minorHAnsi"/>
          <w:sz w:val="24"/>
          <w:szCs w:val="28"/>
        </w:rPr>
        <w:t xml:space="preserve"> </w:t>
      </w:r>
      <w:r w:rsidRPr="00DA429A">
        <w:rPr>
          <w:rFonts w:asciiTheme="minorHAnsi" w:hAnsiTheme="minorHAnsi" w:cstheme="minorHAnsi"/>
          <w:i/>
          <w:iCs/>
          <w:sz w:val="24"/>
          <w:szCs w:val="28"/>
        </w:rPr>
        <w:t>e)</w:t>
      </w:r>
      <w:r w:rsidRPr="00DA429A">
        <w:rPr>
          <w:rFonts w:asciiTheme="minorHAnsi" w:hAnsiTheme="minorHAnsi" w:cstheme="minorHAnsi"/>
          <w:sz w:val="24"/>
          <w:szCs w:val="28"/>
        </w:rPr>
        <w:t xml:space="preserve"> y </w:t>
      </w:r>
      <w:r w:rsidRPr="00DA429A">
        <w:rPr>
          <w:rFonts w:asciiTheme="minorHAnsi" w:hAnsiTheme="minorHAnsi" w:cstheme="minorHAnsi"/>
          <w:i/>
          <w:iCs/>
          <w:sz w:val="24"/>
          <w:szCs w:val="28"/>
        </w:rPr>
        <w:t>f)</w:t>
      </w:r>
      <w:r w:rsidRPr="00DA429A">
        <w:rPr>
          <w:rFonts w:asciiTheme="minorHAnsi" w:hAnsiTheme="minorHAnsi" w:cstheme="minorHAnsi"/>
          <w:sz w:val="24"/>
          <w:szCs w:val="28"/>
        </w:rPr>
        <w:t xml:space="preserve"> ya no son válidas y se suprimen.</w:t>
      </w:r>
      <w:bookmarkStart w:id="8" w:name="_Hlk492460957"/>
      <w:r w:rsidRPr="00DA429A">
        <w:rPr>
          <w:rFonts w:asciiTheme="minorHAnsi" w:eastAsia="MS Mincho" w:hAnsiTheme="minorHAnsi" w:cstheme="minorHAnsi"/>
          <w:sz w:val="24"/>
        </w:rPr>
        <w:t xml:space="preserve"> </w:t>
      </w:r>
      <w:bookmarkStart w:id="9" w:name="_Hlk503977460"/>
      <w:r w:rsidRPr="00DA429A">
        <w:rPr>
          <w:rFonts w:asciiTheme="minorHAnsi" w:eastAsia="MS Mincho" w:hAnsiTheme="minorHAnsi" w:cstheme="minorHAnsi"/>
          <w:sz w:val="24"/>
        </w:rPr>
        <w:t>También se han realizado algunas modificaciones de las notas a pie de página que definen CDMA y FDMA así como una aclaración de lo que significa «interferencia impulsiva» en el Anexo 2. También en el Anexo</w:t>
      </w:r>
      <w:r w:rsidR="00DA429A">
        <w:rPr>
          <w:rFonts w:asciiTheme="minorHAnsi" w:eastAsia="MS Mincho" w:hAnsiTheme="minorHAnsi" w:cstheme="minorHAnsi"/>
          <w:sz w:val="24"/>
        </w:rPr>
        <w:t> </w:t>
      </w:r>
      <w:r w:rsidRPr="00DA429A">
        <w:rPr>
          <w:rFonts w:asciiTheme="minorHAnsi" w:eastAsia="MS Mincho" w:hAnsiTheme="minorHAnsi" w:cstheme="minorHAnsi"/>
          <w:sz w:val="24"/>
        </w:rPr>
        <w:t>2, se han realizado algunas modificaciones de los títulos de la Figura 1 y del Cuadro 1, así como del Cuadro 2 y sus notas asociadas. Se ha sustituido la Figura 2.</w:t>
      </w:r>
      <w:bookmarkEnd w:id="8"/>
      <w:bookmarkEnd w:id="9"/>
    </w:p>
    <w:bookmarkEnd w:id="7"/>
    <w:p w:rsidR="003C3C9C" w:rsidRPr="00DA429A" w:rsidRDefault="003C3C9C" w:rsidP="00C9573C">
      <w:pPr>
        <w:tabs>
          <w:tab w:val="clear" w:pos="794"/>
          <w:tab w:val="clear" w:pos="1191"/>
          <w:tab w:val="clear" w:pos="1588"/>
          <w:tab w:val="clear" w:pos="1985"/>
          <w:tab w:val="right" w:pos="9639"/>
        </w:tabs>
        <w:spacing w:before="480"/>
        <w:jc w:val="left"/>
        <w:rPr>
          <w:sz w:val="24"/>
          <w:szCs w:val="24"/>
        </w:rPr>
      </w:pPr>
      <w:r w:rsidRPr="00DA429A">
        <w:rPr>
          <w:sz w:val="24"/>
          <w:szCs w:val="24"/>
          <w:u w:val="single"/>
        </w:rPr>
        <w:t>Proyecto de revisión de la Recomendación UIT-R M.1904-0</w:t>
      </w:r>
      <w:r w:rsidRPr="00DA429A">
        <w:rPr>
          <w:sz w:val="24"/>
          <w:szCs w:val="24"/>
        </w:rPr>
        <w:tab/>
        <w:t>Doc. 4/55(Rev.1)</w:t>
      </w:r>
    </w:p>
    <w:p w:rsidR="003C3C9C" w:rsidRPr="009C0624" w:rsidRDefault="003C3C9C" w:rsidP="003C3C9C">
      <w:pPr>
        <w:pStyle w:val="Rectitle"/>
      </w:pPr>
      <w:r w:rsidRPr="009C0624">
        <w:t>Características, requisitos de calidad de funcionamiento y criterios de protección de las estaciones receptoras del servicio de radionavegación por satélite (espacio-espacio) que funcionan en las bandas de frecuencias 1 164</w:t>
      </w:r>
      <w:r w:rsidRPr="009C0624">
        <w:noBreakHyphen/>
        <w:t>1 215 MHz, 1 215</w:t>
      </w:r>
      <w:r w:rsidRPr="009C0624">
        <w:noBreakHyphen/>
        <w:t>1 300 MHz y 1 559</w:t>
      </w:r>
      <w:r w:rsidRPr="009C0624">
        <w:noBreakHyphen/>
        <w:t>1 610 MHz</w:t>
      </w:r>
    </w:p>
    <w:p w:rsidR="003C3C9C" w:rsidRPr="00DA429A" w:rsidRDefault="003C3C9C" w:rsidP="003C3C9C">
      <w:pPr>
        <w:spacing w:before="240" w:line="240" w:lineRule="auto"/>
        <w:rPr>
          <w:spacing w:val="-2"/>
          <w:sz w:val="24"/>
          <w:szCs w:val="24"/>
        </w:rPr>
      </w:pPr>
      <w:r w:rsidRPr="00DA429A">
        <w:rPr>
          <w:spacing w:val="-2"/>
          <w:sz w:val="24"/>
          <w:szCs w:val="24"/>
        </w:rPr>
        <w:t xml:space="preserve">Esta revisión incluye actualizaciones de la información del GLONASS para presentar los detalles más recientes del sistema, incluidas las nuevas señales CDMA. También se proponen actualizaciones de la información de las características, los </w:t>
      </w:r>
      <w:r w:rsidRPr="00DA429A">
        <w:rPr>
          <w:sz w:val="24"/>
          <w:szCs w:val="24"/>
        </w:rPr>
        <w:t>requisitos de calidad de funcionamiento y</w:t>
      </w:r>
      <w:r w:rsidRPr="00DA429A">
        <w:rPr>
          <w:spacing w:val="-2"/>
          <w:sz w:val="24"/>
          <w:szCs w:val="24"/>
        </w:rPr>
        <w:t xml:space="preserve"> los criterios de protección de las estaciones receptoras a bordo de vehículos espaciales del servicio de radionavegación por satélite (SRNS), teniendo en cuenta la información actualizada del sistema GLONASS. Las únicas actualizaciones adicionales propuestas se centran en los Cuadros y las notas asociadas de los Anexos 1, 2 y 3.</w:t>
      </w:r>
    </w:p>
    <w:p w:rsidR="00C9573C" w:rsidRDefault="00C9573C">
      <w:pPr>
        <w:tabs>
          <w:tab w:val="clear" w:pos="794"/>
          <w:tab w:val="clear" w:pos="1191"/>
          <w:tab w:val="clear" w:pos="1588"/>
          <w:tab w:val="clear" w:pos="1985"/>
        </w:tabs>
        <w:overflowPunct/>
        <w:autoSpaceDE/>
        <w:autoSpaceDN/>
        <w:adjustRightInd/>
        <w:spacing w:before="0" w:line="240" w:lineRule="auto"/>
        <w:jc w:val="left"/>
        <w:textAlignment w:val="auto"/>
        <w:rPr>
          <w:u w:val="single"/>
        </w:rPr>
      </w:pPr>
      <w:r>
        <w:rPr>
          <w:u w:val="single"/>
        </w:rPr>
        <w:br w:type="page"/>
      </w:r>
    </w:p>
    <w:p w:rsidR="003C3C9C" w:rsidRPr="00230AB2" w:rsidRDefault="003C3C9C" w:rsidP="00C9573C">
      <w:pPr>
        <w:tabs>
          <w:tab w:val="clear" w:pos="794"/>
          <w:tab w:val="clear" w:pos="1191"/>
          <w:tab w:val="clear" w:pos="1588"/>
          <w:tab w:val="clear" w:pos="1985"/>
          <w:tab w:val="right" w:pos="9639"/>
        </w:tabs>
        <w:spacing w:before="480"/>
        <w:jc w:val="left"/>
        <w:rPr>
          <w:sz w:val="24"/>
          <w:szCs w:val="24"/>
        </w:rPr>
      </w:pPr>
      <w:r w:rsidRPr="00230AB2">
        <w:rPr>
          <w:sz w:val="24"/>
          <w:szCs w:val="24"/>
          <w:u w:val="single"/>
        </w:rPr>
        <w:lastRenderedPageBreak/>
        <w:t>Proyecto de revisión de la Recomendación UIT-R M.1905-0</w:t>
      </w:r>
      <w:r w:rsidRPr="00230AB2">
        <w:rPr>
          <w:sz w:val="24"/>
          <w:szCs w:val="24"/>
        </w:rPr>
        <w:tab/>
        <w:t>Doc. 4/56(Rev.1)</w:t>
      </w:r>
    </w:p>
    <w:p w:rsidR="003C3C9C" w:rsidRPr="009C0624" w:rsidRDefault="003C3C9C" w:rsidP="003C3C9C">
      <w:pPr>
        <w:pStyle w:val="Rectitle"/>
      </w:pPr>
      <w:r w:rsidRPr="009C0624">
        <w:t xml:space="preserve">Características y criterios de protección de las estaciones terrenas receptoras del servicio de radionavegación por satélite (espacio-Tierra) que funcionan </w:t>
      </w:r>
      <w:r w:rsidRPr="009C0624">
        <w:br/>
        <w:t>en la banda 1 164</w:t>
      </w:r>
      <w:r w:rsidRPr="009C0624">
        <w:noBreakHyphen/>
        <w:t xml:space="preserve">1 215 MHz </w:t>
      </w:r>
    </w:p>
    <w:p w:rsidR="003C3C9C" w:rsidRPr="00230AB2" w:rsidRDefault="003C3C9C" w:rsidP="00320A13">
      <w:pPr>
        <w:spacing w:before="240" w:line="240" w:lineRule="auto"/>
        <w:rPr>
          <w:rFonts w:eastAsia="MS Mincho"/>
          <w:sz w:val="24"/>
          <w:szCs w:val="24"/>
        </w:rPr>
      </w:pPr>
      <w:r w:rsidRPr="00230AB2">
        <w:rPr>
          <w:rFonts w:eastAsia="MS Mincho"/>
          <w:sz w:val="24"/>
          <w:szCs w:val="24"/>
        </w:rPr>
        <w:t xml:space="preserve">Esta revisión incluye actualizaciones de la información del GLONASS para presentar los detalles más recientes del sistema, incluidas las nuevas señales CDMA. También se proponen actualizaciones de la información de las características y los criterios de protección de las estaciones terrenas receptoras del servicio de radionavegación por satélite (SRNS) </w:t>
      </w:r>
      <w:r w:rsidR="00230AB2">
        <w:rPr>
          <w:rFonts w:eastAsia="MS Mincho"/>
          <w:sz w:val="24"/>
          <w:szCs w:val="24"/>
        </w:rPr>
        <w:t>que funcionan en la banda 1 164</w:t>
      </w:r>
      <w:r w:rsidR="00230AB2">
        <w:rPr>
          <w:rFonts w:eastAsia="MS Mincho"/>
          <w:sz w:val="24"/>
          <w:szCs w:val="24"/>
        </w:rPr>
        <w:noBreakHyphen/>
      </w:r>
      <w:r w:rsidRPr="00230AB2">
        <w:rPr>
          <w:rFonts w:eastAsia="MS Mincho"/>
          <w:sz w:val="24"/>
          <w:szCs w:val="24"/>
        </w:rPr>
        <w:t>1 215 MHz, teniendo en cuenta la información actualizada del sistema GLONASS. También se han realizado modificaciones para clarificar el texto del Anexo 2, incluido el Cuadro 2-1 y sus notas asociadas.</w:t>
      </w:r>
    </w:p>
    <w:p w:rsidR="003C3C9C" w:rsidRPr="009C0624" w:rsidRDefault="003C3C9C" w:rsidP="003C3C9C">
      <w:pPr>
        <w:spacing w:before="240" w:line="240" w:lineRule="auto"/>
        <w:rPr>
          <w:rFonts w:eastAsia="MS Mincho"/>
          <w:szCs w:val="24"/>
        </w:rPr>
      </w:pPr>
      <w:bookmarkStart w:id="10" w:name="_GoBack"/>
      <w:bookmarkEnd w:id="10"/>
    </w:p>
    <w:p w:rsidR="003C3C9C" w:rsidRPr="009C0624" w:rsidRDefault="003C3C9C" w:rsidP="003C3C9C">
      <w:pPr>
        <w:jc w:val="center"/>
      </w:pPr>
      <w:r w:rsidRPr="009C0624">
        <w:t>______________</w:t>
      </w:r>
    </w:p>
    <w:sectPr w:rsidR="003C3C9C" w:rsidRPr="009C0624" w:rsidSect="00235A29">
      <w:headerReference w:type="even" r:id="rId12"/>
      <w:headerReference w:type="default" r:id="rId13"/>
      <w:headerReference w:type="first" r:id="rId14"/>
      <w:footerReference w:type="first" r:id="rId15"/>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705" w:rsidRDefault="007E0705">
      <w:r>
        <w:separator/>
      </w:r>
    </w:p>
  </w:endnote>
  <w:endnote w:type="continuationSeparator" w:id="0">
    <w:p w:rsidR="007E0705" w:rsidRDefault="007E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6AD" w:rsidRPr="00F66AB5" w:rsidRDefault="005776AD" w:rsidP="005776AD">
    <w:pPr>
      <w:pStyle w:val="FirstFooter"/>
      <w:spacing w:line="240" w:lineRule="auto"/>
      <w:ind w:left="-397" w:right="-397"/>
      <w:jc w:val="center"/>
      <w:rPr>
        <w:sz w:val="18"/>
        <w:szCs w:val="18"/>
      </w:rPr>
    </w:pPr>
    <w:r w:rsidRPr="00F66AB5">
      <w:rPr>
        <w:sz w:val="18"/>
        <w:szCs w:val="18"/>
      </w:rPr>
      <w:t xml:space="preserve">Unión Internacional de Telecomunicaciones • Place des </w:t>
    </w:r>
    <w:proofErr w:type="spellStart"/>
    <w:r w:rsidRPr="00F66AB5">
      <w:rPr>
        <w:sz w:val="18"/>
        <w:szCs w:val="18"/>
      </w:rPr>
      <w:t>Nations</w:t>
    </w:r>
    <w:proofErr w:type="spellEnd"/>
    <w:r w:rsidRPr="00F66AB5">
      <w:rPr>
        <w:sz w:val="18"/>
        <w:szCs w:val="18"/>
      </w:rPr>
      <w:t xml:space="preserve"> • CH</w:t>
    </w:r>
    <w:r w:rsidRPr="00F66AB5">
      <w:rPr>
        <w:sz w:val="18"/>
        <w:szCs w:val="18"/>
      </w:rPr>
      <w:noBreakHyphen/>
      <w:t>1211 Ginebra 20 • Suiza</w:t>
    </w:r>
    <w:r w:rsidRPr="00F66AB5">
      <w:rPr>
        <w:sz w:val="18"/>
        <w:szCs w:val="18"/>
      </w:rPr>
      <w:br/>
      <w:t xml:space="preserve">Tel: +41 22 730 5111 • Fax: +41 22 733 7256 • Correo-e: </w:t>
    </w:r>
    <w:hyperlink r:id="rId1" w:history="1">
      <w:r w:rsidRPr="00F66AB5">
        <w:rPr>
          <w:rStyle w:val="Hyperlink"/>
          <w:sz w:val="18"/>
          <w:szCs w:val="18"/>
        </w:rPr>
        <w:t>itumail@itu.int</w:t>
      </w:r>
    </w:hyperlink>
    <w:r w:rsidRPr="00F66AB5">
      <w:rPr>
        <w:sz w:val="18"/>
        <w:szCs w:val="18"/>
      </w:rPr>
      <w:t xml:space="preserve"> • </w:t>
    </w:r>
    <w:hyperlink r:id="rId2" w:history="1">
      <w:r w:rsidRPr="00F66AB5">
        <w:rPr>
          <w:rStyle w:val="Hyperlink"/>
          <w:sz w:val="18"/>
          <w:szCs w:val="18"/>
        </w:rPr>
        <w:t>www.itu.int</w:t>
      </w:r>
    </w:hyperlink>
    <w:r w:rsidRPr="00F66AB5">
      <w:rPr>
        <w:sz w:val="18"/>
        <w:szCs w:val="18"/>
      </w:rPr>
      <w:t xml:space="preserve"> </w:t>
    </w:r>
    <w:r w:rsidR="009B0DB7" w:rsidRPr="00F66AB5">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705" w:rsidRDefault="007E0705">
      <w:r>
        <w:t>____________________</w:t>
      </w:r>
    </w:p>
  </w:footnote>
  <w:footnote w:type="continuationSeparator" w:id="0">
    <w:p w:rsidR="007E0705" w:rsidRDefault="007E0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D85CFE" w:rsidRDefault="00D15CFA" w:rsidP="00D85CFE">
    <w:pPr>
      <w:pStyle w:val="Header"/>
      <w:jc w:val="center"/>
      <w:rPr>
        <w:sz w:val="18"/>
        <w:szCs w:val="18"/>
      </w:rPr>
    </w:pPr>
    <w:r w:rsidRPr="00D85CFE">
      <w:rPr>
        <w:sz w:val="18"/>
        <w:szCs w:val="18"/>
      </w:rPr>
      <w:t xml:space="preserve">- </w:t>
    </w:r>
    <w:r w:rsidR="00026CF8" w:rsidRPr="00D85CFE">
      <w:rPr>
        <w:rStyle w:val="PageNumber"/>
        <w:rFonts w:cs="Calibri"/>
        <w:sz w:val="18"/>
        <w:szCs w:val="18"/>
      </w:rPr>
      <w:fldChar w:fldCharType="begin"/>
    </w:r>
    <w:r w:rsidR="00026CF8" w:rsidRPr="00D85CFE">
      <w:rPr>
        <w:rStyle w:val="PageNumber"/>
        <w:rFonts w:cs="Calibri"/>
        <w:sz w:val="18"/>
        <w:szCs w:val="18"/>
      </w:rPr>
      <w:instrText xml:space="preserve"> PAGE </w:instrText>
    </w:r>
    <w:r w:rsidR="00026CF8" w:rsidRPr="00D85CFE">
      <w:rPr>
        <w:rStyle w:val="PageNumber"/>
        <w:rFonts w:cs="Calibri"/>
        <w:sz w:val="18"/>
        <w:szCs w:val="18"/>
      </w:rPr>
      <w:fldChar w:fldCharType="separate"/>
    </w:r>
    <w:r w:rsidR="00320A13">
      <w:rPr>
        <w:rStyle w:val="PageNumber"/>
        <w:rFonts w:cs="Calibri"/>
        <w:noProof/>
        <w:sz w:val="18"/>
        <w:szCs w:val="18"/>
      </w:rPr>
      <w:t>4</w:t>
    </w:r>
    <w:r w:rsidR="00026CF8" w:rsidRPr="00D85CFE">
      <w:rPr>
        <w:rStyle w:val="PageNumber"/>
        <w:rFonts w:cs="Calibri"/>
        <w:sz w:val="18"/>
        <w:szCs w:val="18"/>
      </w:rPr>
      <w:fldChar w:fldCharType="end"/>
    </w:r>
    <w:r w:rsidRPr="00D85CFE">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52" w:rsidRPr="00D85CFE" w:rsidRDefault="00F31C52" w:rsidP="00D85CFE">
    <w:pPr>
      <w:pStyle w:val="Header"/>
      <w:jc w:val="center"/>
      <w:rPr>
        <w:sz w:val="18"/>
        <w:szCs w:val="18"/>
      </w:rPr>
    </w:pPr>
    <w:r w:rsidRPr="00D85CFE">
      <w:rPr>
        <w:sz w:val="18"/>
        <w:szCs w:val="18"/>
      </w:rPr>
      <w:t xml:space="preserve">- </w:t>
    </w:r>
    <w:r w:rsidRPr="00D85CFE">
      <w:rPr>
        <w:rStyle w:val="PageNumber"/>
        <w:rFonts w:cs="Calibri"/>
        <w:sz w:val="18"/>
        <w:szCs w:val="18"/>
      </w:rPr>
      <w:fldChar w:fldCharType="begin"/>
    </w:r>
    <w:r w:rsidRPr="00D85CFE">
      <w:rPr>
        <w:rStyle w:val="PageNumber"/>
        <w:rFonts w:cs="Calibri"/>
        <w:sz w:val="18"/>
        <w:szCs w:val="18"/>
      </w:rPr>
      <w:instrText xml:space="preserve"> PAGE </w:instrText>
    </w:r>
    <w:r w:rsidRPr="00D85CFE">
      <w:rPr>
        <w:rStyle w:val="PageNumber"/>
        <w:rFonts w:cs="Calibri"/>
        <w:sz w:val="18"/>
        <w:szCs w:val="18"/>
      </w:rPr>
      <w:fldChar w:fldCharType="separate"/>
    </w:r>
    <w:r w:rsidR="00320A13">
      <w:rPr>
        <w:rStyle w:val="PageNumber"/>
        <w:rFonts w:cs="Calibri"/>
        <w:noProof/>
        <w:sz w:val="18"/>
        <w:szCs w:val="18"/>
      </w:rPr>
      <w:t>3</w:t>
    </w:r>
    <w:r w:rsidRPr="00D85CFE">
      <w:rPr>
        <w:rStyle w:val="PageNumber"/>
        <w:rFonts w:cs="Calibri"/>
        <w:sz w:val="18"/>
        <w:szCs w:val="18"/>
      </w:rPr>
      <w:fldChar w:fldCharType="end"/>
    </w:r>
    <w:r w:rsidRPr="00D85CFE">
      <w:rPr>
        <w:rStyle w:val="PageNumber"/>
        <w:rFonts w:cs="Calibr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F67A40" w:rsidTr="0061668A">
      <w:tc>
        <w:tcPr>
          <w:tcW w:w="4800" w:type="dxa"/>
          <w:noWrap/>
          <w:tcMar>
            <w:left w:w="0" w:type="dxa"/>
          </w:tcMar>
        </w:tcPr>
        <w:p w:rsidR="00F67A40" w:rsidRDefault="00F67A40" w:rsidP="000F7DC1">
          <w:pPr>
            <w:pStyle w:val="Header"/>
            <w:spacing w:before="120" w:line="360" w:lineRule="auto"/>
          </w:pPr>
          <w:r w:rsidRPr="008E52B1">
            <w:rPr>
              <w:noProof/>
              <w:color w:val="3399FF"/>
              <w:lang w:val="en-GB" w:eastAsia="zh-CN"/>
            </w:rPr>
            <w:drawing>
              <wp:inline distT="0" distB="0" distL="0" distR="0" wp14:anchorId="279962D4" wp14:editId="427122C0">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F67A40" w:rsidRDefault="00F67A40" w:rsidP="000F7DC1">
          <w:pPr>
            <w:pStyle w:val="Header"/>
            <w:spacing w:before="240" w:line="360" w:lineRule="auto"/>
            <w:jc w:val="right"/>
          </w:pPr>
          <w:r>
            <w:rPr>
              <w:noProof/>
              <w:lang w:val="en-GB" w:eastAsia="zh-CN"/>
            </w:rPr>
            <w:drawing>
              <wp:inline distT="0" distB="0" distL="0" distR="0" wp14:anchorId="094F0163" wp14:editId="36F4DA14">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350BBA" w:rsidRPr="00F67A40" w:rsidRDefault="00350BBA" w:rsidP="00350BBA">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E0705"/>
    <w:rsid w:val="00010E30"/>
    <w:rsid w:val="00026CF8"/>
    <w:rsid w:val="00031E64"/>
    <w:rsid w:val="00040DF5"/>
    <w:rsid w:val="00054534"/>
    <w:rsid w:val="00070258"/>
    <w:rsid w:val="00072B9B"/>
    <w:rsid w:val="00072E16"/>
    <w:rsid w:val="0007323C"/>
    <w:rsid w:val="00086D03"/>
    <w:rsid w:val="00094683"/>
    <w:rsid w:val="000A7051"/>
    <w:rsid w:val="000B2A41"/>
    <w:rsid w:val="000C03C7"/>
    <w:rsid w:val="000D786F"/>
    <w:rsid w:val="000E3DEE"/>
    <w:rsid w:val="000E5E18"/>
    <w:rsid w:val="00103C76"/>
    <w:rsid w:val="00105660"/>
    <w:rsid w:val="0011265F"/>
    <w:rsid w:val="00145AA2"/>
    <w:rsid w:val="0016308F"/>
    <w:rsid w:val="00196710"/>
    <w:rsid w:val="00197324"/>
    <w:rsid w:val="001B1CE8"/>
    <w:rsid w:val="001D7070"/>
    <w:rsid w:val="001F5A49"/>
    <w:rsid w:val="00200936"/>
    <w:rsid w:val="00201097"/>
    <w:rsid w:val="00201B6E"/>
    <w:rsid w:val="002240B2"/>
    <w:rsid w:val="00230AB2"/>
    <w:rsid w:val="00235A29"/>
    <w:rsid w:val="002861E6"/>
    <w:rsid w:val="002A2700"/>
    <w:rsid w:val="002D3428"/>
    <w:rsid w:val="002D6688"/>
    <w:rsid w:val="002F0890"/>
    <w:rsid w:val="00320A13"/>
    <w:rsid w:val="003370B8"/>
    <w:rsid w:val="00337394"/>
    <w:rsid w:val="00350BBA"/>
    <w:rsid w:val="003519FA"/>
    <w:rsid w:val="003666FF"/>
    <w:rsid w:val="003741EE"/>
    <w:rsid w:val="003A4DB5"/>
    <w:rsid w:val="003B2BDA"/>
    <w:rsid w:val="003B55EC"/>
    <w:rsid w:val="003C3C9C"/>
    <w:rsid w:val="003C4471"/>
    <w:rsid w:val="003E504F"/>
    <w:rsid w:val="00400AF2"/>
    <w:rsid w:val="00405EAD"/>
    <w:rsid w:val="004326DB"/>
    <w:rsid w:val="0043682E"/>
    <w:rsid w:val="00437A87"/>
    <w:rsid w:val="00444B88"/>
    <w:rsid w:val="004815EB"/>
    <w:rsid w:val="00496920"/>
    <w:rsid w:val="004B7C9A"/>
    <w:rsid w:val="004E0DC4"/>
    <w:rsid w:val="004E0FB5"/>
    <w:rsid w:val="004E43BB"/>
    <w:rsid w:val="004F178E"/>
    <w:rsid w:val="004F6466"/>
    <w:rsid w:val="00505309"/>
    <w:rsid w:val="0050789B"/>
    <w:rsid w:val="00515771"/>
    <w:rsid w:val="00542A47"/>
    <w:rsid w:val="005430D3"/>
    <w:rsid w:val="00543DF8"/>
    <w:rsid w:val="00546101"/>
    <w:rsid w:val="00553DD7"/>
    <w:rsid w:val="0057469A"/>
    <w:rsid w:val="005776AD"/>
    <w:rsid w:val="00580814"/>
    <w:rsid w:val="005A03A3"/>
    <w:rsid w:val="005B214C"/>
    <w:rsid w:val="00602D53"/>
    <w:rsid w:val="00621E6C"/>
    <w:rsid w:val="00650346"/>
    <w:rsid w:val="00651777"/>
    <w:rsid w:val="0067458B"/>
    <w:rsid w:val="00674F4F"/>
    <w:rsid w:val="006B0590"/>
    <w:rsid w:val="006B49DA"/>
    <w:rsid w:val="006C18EB"/>
    <w:rsid w:val="00700636"/>
    <w:rsid w:val="00707216"/>
    <w:rsid w:val="007234B1"/>
    <w:rsid w:val="00730B9A"/>
    <w:rsid w:val="00783681"/>
    <w:rsid w:val="00786E9F"/>
    <w:rsid w:val="007921A7"/>
    <w:rsid w:val="007A5C27"/>
    <w:rsid w:val="007B3DB1"/>
    <w:rsid w:val="007D183E"/>
    <w:rsid w:val="007E0705"/>
    <w:rsid w:val="007E304D"/>
    <w:rsid w:val="007E3F13"/>
    <w:rsid w:val="007E480E"/>
    <w:rsid w:val="00800012"/>
    <w:rsid w:val="008051AF"/>
    <w:rsid w:val="00813653"/>
    <w:rsid w:val="0081513E"/>
    <w:rsid w:val="00823210"/>
    <w:rsid w:val="00843445"/>
    <w:rsid w:val="00847D46"/>
    <w:rsid w:val="00854131"/>
    <w:rsid w:val="0085652D"/>
    <w:rsid w:val="0087694B"/>
    <w:rsid w:val="008C2623"/>
    <w:rsid w:val="008F4F21"/>
    <w:rsid w:val="00904D4A"/>
    <w:rsid w:val="009151BA"/>
    <w:rsid w:val="009277BC"/>
    <w:rsid w:val="00927D57"/>
    <w:rsid w:val="00941D23"/>
    <w:rsid w:val="0095010C"/>
    <w:rsid w:val="009623A4"/>
    <w:rsid w:val="00963D9D"/>
    <w:rsid w:val="00976AAD"/>
    <w:rsid w:val="00981B54"/>
    <w:rsid w:val="009842C3"/>
    <w:rsid w:val="009A6BB6"/>
    <w:rsid w:val="009B0DB7"/>
    <w:rsid w:val="009B3F43"/>
    <w:rsid w:val="009C161F"/>
    <w:rsid w:val="009E4AEC"/>
    <w:rsid w:val="009E5BD8"/>
    <w:rsid w:val="009E681E"/>
    <w:rsid w:val="00A34D6F"/>
    <w:rsid w:val="00A41F91"/>
    <w:rsid w:val="00A9168B"/>
    <w:rsid w:val="00A963DF"/>
    <w:rsid w:val="00AC3896"/>
    <w:rsid w:val="00AE6CFA"/>
    <w:rsid w:val="00AF3325"/>
    <w:rsid w:val="00B34CF9"/>
    <w:rsid w:val="00B67004"/>
    <w:rsid w:val="00B90C45"/>
    <w:rsid w:val="00B933BE"/>
    <w:rsid w:val="00BB4069"/>
    <w:rsid w:val="00BD7E5E"/>
    <w:rsid w:val="00BE6574"/>
    <w:rsid w:val="00C0495F"/>
    <w:rsid w:val="00C17C22"/>
    <w:rsid w:val="00C42DD7"/>
    <w:rsid w:val="00C57E2C"/>
    <w:rsid w:val="00C608B7"/>
    <w:rsid w:val="00C66F24"/>
    <w:rsid w:val="00C71C8D"/>
    <w:rsid w:val="00C764BA"/>
    <w:rsid w:val="00C9291E"/>
    <w:rsid w:val="00C9573C"/>
    <w:rsid w:val="00CA3F44"/>
    <w:rsid w:val="00CA4E58"/>
    <w:rsid w:val="00CB3771"/>
    <w:rsid w:val="00CB5153"/>
    <w:rsid w:val="00CC0DA0"/>
    <w:rsid w:val="00CF62B6"/>
    <w:rsid w:val="00CF6752"/>
    <w:rsid w:val="00D10BA0"/>
    <w:rsid w:val="00D15CFA"/>
    <w:rsid w:val="00D2339B"/>
    <w:rsid w:val="00D24EB5"/>
    <w:rsid w:val="00D41571"/>
    <w:rsid w:val="00D416A0"/>
    <w:rsid w:val="00D47672"/>
    <w:rsid w:val="00D509E3"/>
    <w:rsid w:val="00D5123C"/>
    <w:rsid w:val="00D51C9E"/>
    <w:rsid w:val="00D55560"/>
    <w:rsid w:val="00D61C5A"/>
    <w:rsid w:val="00D85CFE"/>
    <w:rsid w:val="00DA429A"/>
    <w:rsid w:val="00DB3A18"/>
    <w:rsid w:val="00DC003B"/>
    <w:rsid w:val="00DE66A5"/>
    <w:rsid w:val="00DF2B50"/>
    <w:rsid w:val="00E003F5"/>
    <w:rsid w:val="00E04C86"/>
    <w:rsid w:val="00E20F30"/>
    <w:rsid w:val="00E27BBA"/>
    <w:rsid w:val="00E34CD1"/>
    <w:rsid w:val="00E35E8F"/>
    <w:rsid w:val="00E438E8"/>
    <w:rsid w:val="00E520E2"/>
    <w:rsid w:val="00E64254"/>
    <w:rsid w:val="00E7474D"/>
    <w:rsid w:val="00E77ED9"/>
    <w:rsid w:val="00E90F6F"/>
    <w:rsid w:val="00EA15B3"/>
    <w:rsid w:val="00EB2358"/>
    <w:rsid w:val="00EB3EB8"/>
    <w:rsid w:val="00F31C52"/>
    <w:rsid w:val="00F42C8C"/>
    <w:rsid w:val="00F468C5"/>
    <w:rsid w:val="00F51F3E"/>
    <w:rsid w:val="00F52F39"/>
    <w:rsid w:val="00F55EAB"/>
    <w:rsid w:val="00F61C15"/>
    <w:rsid w:val="00F67A40"/>
    <w:rsid w:val="00F914DD"/>
    <w:rsid w:val="00F938C0"/>
    <w:rsid w:val="00FA2358"/>
    <w:rsid w:val="00FB2592"/>
    <w:rsid w:val="00FB2810"/>
    <w:rsid w:val="00FC2947"/>
    <w:rsid w:val="00FD63D4"/>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efaultImageDpi w14:val="0"/>
  <w15:docId w15:val="{0D5415CF-5AC5-47AF-BEE2-86D8092B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uiPriority w:val="99"/>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table" w:styleId="TableGrid">
    <w:name w:val="Table Grid"/>
    <w:basedOn w:val="TableNormal"/>
    <w:rsid w:val="00A9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7E0705"/>
    <w:pPr>
      <w:keepNext/>
      <w:keepLines/>
      <w:spacing w:before="480" w:line="240" w:lineRule="auto"/>
      <w:jc w:val="center"/>
    </w:pPr>
    <w:rPr>
      <w:rFonts w:ascii="Times New Roman" w:hAnsi="Times New Roman" w:cs="Times New Roman"/>
      <w:b/>
      <w:sz w:val="28"/>
      <w:szCs w:val="20"/>
    </w:rPr>
  </w:style>
  <w:style w:type="character" w:customStyle="1" w:styleId="TabletextChar">
    <w:name w:val="Table_text Char"/>
    <w:link w:val="Tabletext"/>
    <w:uiPriority w:val="99"/>
    <w:locked/>
    <w:rsid w:val="007E0705"/>
    <w:rPr>
      <w:szCs w:val="22"/>
      <w:lang w:val="es-ES_tradnl" w:eastAsia="en-US"/>
    </w:rPr>
  </w:style>
  <w:style w:type="character" w:customStyle="1" w:styleId="TableheadChar">
    <w:name w:val="Table_head Char"/>
    <w:basedOn w:val="DefaultParagraphFont"/>
    <w:link w:val="Tablehead"/>
    <w:uiPriority w:val="99"/>
    <w:locked/>
    <w:rsid w:val="007E0705"/>
    <w:rPr>
      <w:b/>
      <w:szCs w:val="22"/>
      <w:lang w:val="es-ES_tradnl" w:eastAsia="en-US"/>
    </w:rPr>
  </w:style>
  <w:style w:type="paragraph" w:customStyle="1" w:styleId="Reasons">
    <w:name w:val="Reasons"/>
    <w:basedOn w:val="Normal"/>
    <w:qFormat/>
    <w:rsid w:val="007E070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styleId="ListParagraph">
    <w:name w:val="List Paragraph"/>
    <w:basedOn w:val="Normal"/>
    <w:uiPriority w:val="34"/>
    <w:qFormat/>
    <w:rsid w:val="005776AD"/>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4-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B9394-C7D5-4AB0-8705-6D193989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 correspondence.dotx</Template>
  <TotalTime>41</TotalTime>
  <Pages>5</Pages>
  <Words>1216</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dc:creator>
  <cp:lastModifiedBy>Limousin, Catherine</cp:lastModifiedBy>
  <cp:revision>9</cp:revision>
  <cp:lastPrinted>2010-01-19T09:33:00Z</cp:lastPrinted>
  <dcterms:created xsi:type="dcterms:W3CDTF">2019-07-10T13:31:00Z</dcterms:created>
  <dcterms:modified xsi:type="dcterms:W3CDTF">2019-07-16T14:11:00Z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