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341A1E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F866F4" w14:textId="77777777"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2E925D6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017270B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45A8C480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ED94CE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07273E9" w14:textId="7E159D32"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811D91">
              <w:rPr>
                <w:b/>
                <w:bCs/>
                <w:szCs w:val="24"/>
                <w:lang w:val="fr-CH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14:paraId="11D579A7" w14:textId="40FA0690" w:rsidR="00E53DCE" w:rsidRPr="00334544" w:rsidRDefault="009C6A12" w:rsidP="004D2F55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FB26F0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11D91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11D91">
              <w:rPr>
                <w:szCs w:val="24"/>
                <w:lang w:eastAsia="zh-CN"/>
              </w:rPr>
              <w:t>2</w:t>
            </w:r>
            <w:r w:rsidR="004D2F55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3A9344C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872B41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DB8B2D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C1D943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C08284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B09661" w14:textId="656A86AF"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FB26F0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0E85BF4A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5AACF58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FD7CE4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40825B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54B09C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69CCA45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BBD89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CC32BBA" w14:textId="362C66C2" w:rsidR="00245A95" w:rsidRPr="00245A95" w:rsidRDefault="00245A95" w:rsidP="00245A9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FB26F0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1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134A7F" w:rsidRPr="001C205C">
              <w:rPr>
                <w:b/>
                <w:bCs/>
                <w:szCs w:val="24"/>
                <w:lang w:eastAsia="zh-CN"/>
              </w:rPr>
              <w:t>频谱管理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14:paraId="05C3E109" w14:textId="3AA02CC2" w:rsidR="00E53DCE" w:rsidRPr="00FB26F0" w:rsidRDefault="00245A95" w:rsidP="00C31E5F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93" w:hanging="493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</w:t>
            </w:r>
            <w:bookmarkStart w:id="0" w:name="_GoBack"/>
            <w:bookmarkEnd w:id="0"/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信函方式通过</w:t>
            </w:r>
            <w:r w:rsidR="00FB26F0" w:rsidRPr="00B90878">
              <w:rPr>
                <w:rFonts w:asciiTheme="minorHAnsi" w:hAnsiTheme="minorHAnsi" w:cstheme="majorBidi"/>
                <w:b/>
                <w:bCs/>
                <w:lang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FB26F0" w:rsidRPr="00B90878">
              <w:rPr>
                <w:rFonts w:asciiTheme="minorHAnsi" w:hAnsiTheme="minorHAnsi" w:cstheme="majorBidi"/>
                <w:b/>
                <w:bCs/>
                <w:lang w:eastAsia="zh-CN" w:bidi="ar-EG"/>
              </w:rPr>
              <w:t>3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B90878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</w:tc>
      </w:tr>
      <w:tr w:rsidR="00E53DCE" w:rsidRPr="00334544" w14:paraId="085D95C1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808952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4EDC1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6DA2CF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946C03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A48D32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FD0162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C658A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B41C6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EDD644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755E322D" w14:textId="339FC648" w:rsidR="00253BF1" w:rsidRPr="00253BF1" w:rsidRDefault="00253BF1" w:rsidP="00253BF1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FB26F0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134A7F">
        <w:rPr>
          <w:rFonts w:asciiTheme="minorHAnsi" w:hAnsiTheme="minorHAnsi"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FB26F0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FB26F0">
        <w:rPr>
          <w:rFonts w:asciiTheme="minorHAnsi" w:hAnsiTheme="minorHAnsi" w:cstheme="majorBidi"/>
          <w:lang w:eastAsia="zh-CN"/>
        </w:rPr>
        <w:t>6</w:t>
      </w:r>
      <w:r w:rsidRPr="00253BF1">
        <w:rPr>
          <w:rFonts w:asciiTheme="minorHAnsi" w:hAnsiTheme="minorHAnsi" w:cstheme="majorBidi"/>
          <w:lang w:eastAsia="zh-CN"/>
        </w:rPr>
        <w:t>月</w:t>
      </w:r>
      <w:r w:rsidR="00FB26F0">
        <w:rPr>
          <w:rFonts w:asciiTheme="minorHAnsi" w:hAnsiTheme="minorHAnsi" w:cstheme="majorBidi"/>
          <w:lang w:eastAsia="zh-CN"/>
        </w:rPr>
        <w:t>21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 w:rsidR="00FB26F0"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FB26F0">
        <w:rPr>
          <w:rFonts w:asciiTheme="minorHAnsi" w:hAnsiTheme="minorHAnsi" w:cstheme="majorBidi"/>
          <w:lang w:eastAsia="zh-CN"/>
        </w:rPr>
        <w:t>906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134A7F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份新建议书草案和</w:t>
      </w:r>
      <w:r w:rsidR="00134A7F"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B90878">
        <w:rPr>
          <w:rFonts w:asciiTheme="minorHAnsi" w:hAnsiTheme="minorHAnsi" w:cstheme="majorBidi"/>
          <w:lang w:eastAsia="zh-CN" w:bidi="ar-EG"/>
        </w:rPr>
        <w:t>（</w:t>
      </w:r>
      <w:r w:rsidRPr="00B90878">
        <w:rPr>
          <w:rFonts w:asciiTheme="minorHAnsi" w:hAnsiTheme="minorHAnsi" w:cstheme="majorBidi"/>
          <w:lang w:eastAsia="zh-CN" w:bidi="ar-EG"/>
        </w:rPr>
        <w:t>PSAA</w:t>
      </w:r>
      <w:r w:rsidRPr="00B90878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14:paraId="39B7CE67" w14:textId="3B3877B4" w:rsidR="00253BF1" w:rsidRPr="00253BF1" w:rsidRDefault="00253BF1" w:rsidP="00253BF1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FB26F0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FB26F0"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月</w:t>
      </w:r>
      <w:r w:rsidR="00FB26F0">
        <w:rPr>
          <w:rFonts w:asciiTheme="minorHAnsi" w:hAnsiTheme="minorHAnsi" w:cstheme="majorBidi"/>
          <w:lang w:eastAsia="zh-CN"/>
        </w:rPr>
        <w:t>21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14:paraId="5B76082D" w14:textId="11F5B139" w:rsidR="00253BF1" w:rsidRDefault="00253BF1" w:rsidP="00253BF1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1" w:name="StartTyping_E"/>
      <w:bookmarkEnd w:id="1"/>
    </w:p>
    <w:p w14:paraId="121443EF" w14:textId="7EF52C2C" w:rsidR="00253BF1" w:rsidRDefault="00253BF1" w:rsidP="00CF12CE">
      <w:pPr>
        <w:spacing w:before="144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FB26F0">
        <w:rPr>
          <w:rFonts w:ascii="SimSun" w:hAnsi="SimSun" w:hint="eastAsia"/>
          <w:szCs w:val="24"/>
          <w:lang w:eastAsia="zh-CN"/>
        </w:rPr>
        <w:t>马里奥</w:t>
      </w:r>
      <w:r w:rsidR="00FB26F0">
        <w:rPr>
          <w:szCs w:val="24"/>
          <w:lang w:eastAsia="zh-CN"/>
        </w:rPr>
        <w:t>·</w:t>
      </w:r>
      <w:r w:rsidR="00FB26F0">
        <w:rPr>
          <w:rFonts w:ascii="SimSun" w:hAnsi="SimSun" w:hint="eastAsia"/>
          <w:szCs w:val="24"/>
          <w:lang w:eastAsia="zh-CN"/>
        </w:rPr>
        <w:t>马尼维奇</w:t>
      </w:r>
    </w:p>
    <w:p w14:paraId="5414861E" w14:textId="39DA73F5" w:rsidR="00253BF1" w:rsidRDefault="00253BF1" w:rsidP="00CF12CE">
      <w:pPr>
        <w:spacing w:before="360"/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FB26F0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14:paraId="326A0F81" w14:textId="77777777" w:rsidR="00253BF1" w:rsidRPr="00115C83" w:rsidRDefault="00253BF1" w:rsidP="00F56B97">
      <w:pPr>
        <w:pStyle w:val="enumlev1"/>
        <w:spacing w:before="480"/>
        <w:rPr>
          <w:rFonts w:eastAsia="SimSun"/>
          <w:sz w:val="18"/>
          <w:szCs w:val="18"/>
          <w:lang w:eastAsia="zh-CN"/>
        </w:rPr>
      </w:pPr>
      <w:r w:rsidRPr="00F56B97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14:paraId="29E1A334" w14:textId="5991F8C6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FB26F0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503EC57A" w14:textId="6D472F9C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FB26F0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132AAD05" w14:textId="77777777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673C482B" w14:textId="040957E2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687AEC"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14:paraId="0EA99209" w14:textId="77777777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14:paraId="1A5412C7" w14:textId="77777777"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14:paraId="266115EA" w14:textId="77777777"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14:paraId="75927FA1" w14:textId="3679A946" w:rsidR="00253BF1" w:rsidRPr="00253BF1" w:rsidRDefault="00253BF1" w:rsidP="00253BF1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14:paraId="78F73B9A" w14:textId="199C93BA" w:rsidR="00134A7F" w:rsidRDefault="00134A7F" w:rsidP="00134A7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DB1344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/>
          <w:szCs w:val="24"/>
          <w:u w:val="single"/>
          <w:lang w:eastAsia="zh-CN"/>
        </w:rPr>
        <w:t>2129-0</w:t>
      </w:r>
      <w:r w:rsidRPr="00ED6723">
        <w:rPr>
          <w:u w:val="single"/>
          <w:lang w:eastAsia="zh-CN"/>
        </w:rPr>
        <w:t>建议书</w:t>
      </w:r>
      <w:r w:rsidRPr="00DB1344">
        <w:rPr>
          <w:rFonts w:asciiTheme="minorHAnsi" w:hAnsiTheme="minorHAnsi" w:cstheme="minorHAnsi"/>
          <w:szCs w:val="24"/>
          <w:lang w:eastAsia="zh-CN"/>
        </w:rPr>
        <w:tab/>
        <w:t>1/216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3FB67C2E" w14:textId="4020A1CF" w:rsidR="00134A7F" w:rsidRPr="00A15609" w:rsidRDefault="00134A7F" w:rsidP="00134A7F">
      <w:pPr>
        <w:pStyle w:val="Reptitle"/>
        <w:rPr>
          <w:color w:val="800000"/>
          <w:sz w:val="22"/>
          <w:szCs w:val="24"/>
          <w:highlight w:val="cyan"/>
          <w:lang w:eastAsia="zh-CN"/>
        </w:rPr>
      </w:pPr>
      <w:r w:rsidRPr="008E4156">
        <w:rPr>
          <w:rFonts w:hint="eastAsia"/>
          <w:bCs/>
          <w:szCs w:val="28"/>
          <w:lang w:eastAsia="zh-CN"/>
        </w:rPr>
        <w:t>移动便携设备</w:t>
      </w:r>
      <w:r>
        <w:rPr>
          <w:rFonts w:hint="eastAsia"/>
          <w:bCs/>
          <w:szCs w:val="28"/>
          <w:lang w:eastAsia="zh-CN"/>
        </w:rPr>
        <w:t>的</w:t>
      </w:r>
      <w:r w:rsidRPr="00457CF3">
        <w:rPr>
          <w:rFonts w:hint="eastAsia"/>
          <w:bCs/>
          <w:szCs w:val="28"/>
          <w:lang w:eastAsia="zh-CN"/>
        </w:rPr>
        <w:t>非波</w:t>
      </w:r>
      <w:r w:rsidRPr="00457CF3">
        <w:rPr>
          <w:bCs/>
          <w:szCs w:val="28"/>
          <w:lang w:eastAsia="zh-CN"/>
        </w:rPr>
        <w:t>束</w:t>
      </w:r>
      <w:r w:rsidRPr="00457CF3">
        <w:rPr>
          <w:rFonts w:hint="eastAsia"/>
          <w:bCs/>
          <w:szCs w:val="28"/>
          <w:lang w:eastAsia="zh-CN"/>
        </w:rPr>
        <w:t>无线</w:t>
      </w:r>
      <w:r>
        <w:rPr>
          <w:rFonts w:hint="eastAsia"/>
          <w:bCs/>
          <w:szCs w:val="28"/>
          <w:lang w:eastAsia="zh-CN"/>
        </w:rPr>
        <w:t>供</w:t>
      </w:r>
      <w:r w:rsidRPr="00457CF3">
        <w:rPr>
          <w:rFonts w:hint="eastAsia"/>
          <w:bCs/>
          <w:szCs w:val="28"/>
          <w:lang w:eastAsia="zh-CN"/>
        </w:rPr>
        <w:t>电系统的操作</w:t>
      </w:r>
      <w:r w:rsidRPr="00457CF3">
        <w:rPr>
          <w:bCs/>
          <w:szCs w:val="28"/>
          <w:lang w:eastAsia="zh-CN"/>
        </w:rPr>
        <w:t>频率</w:t>
      </w:r>
      <w:r w:rsidRPr="00457CF3">
        <w:rPr>
          <w:rFonts w:hint="eastAsia"/>
          <w:bCs/>
          <w:szCs w:val="28"/>
          <w:lang w:eastAsia="zh-CN"/>
        </w:rPr>
        <w:t>范围</w:t>
      </w:r>
      <w:r w:rsidR="00687AEC">
        <w:rPr>
          <w:rFonts w:hint="eastAsia"/>
          <w:bCs/>
          <w:szCs w:val="28"/>
          <w:lang w:eastAsia="zh-CN"/>
        </w:rPr>
        <w:t>指导</w:t>
      </w:r>
    </w:p>
    <w:p w14:paraId="22BFDB9F" w14:textId="55F77A8A" w:rsidR="00134A7F" w:rsidRPr="008D077B" w:rsidRDefault="00134A7F" w:rsidP="00134A7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 SM.1268-5</w:t>
      </w:r>
      <w:r w:rsidRPr="00ED6723">
        <w:rPr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1/206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35592C44" w14:textId="77777777" w:rsidR="00134A7F" w:rsidRPr="00522A73" w:rsidRDefault="00134A7F" w:rsidP="00134A7F">
      <w:pPr>
        <w:pStyle w:val="Reptitle"/>
        <w:rPr>
          <w:color w:val="800000"/>
          <w:sz w:val="22"/>
          <w:highlight w:val="yellow"/>
          <w:lang w:eastAsia="zh-CN"/>
        </w:rPr>
      </w:pPr>
      <w:r>
        <w:rPr>
          <w:rFonts w:hint="eastAsia"/>
          <w:lang w:eastAsia="zh-CN"/>
        </w:rPr>
        <w:t>监测站测量调频（</w:t>
      </w:r>
      <w:r>
        <w:rPr>
          <w:lang w:eastAsia="zh-CN"/>
        </w:rPr>
        <w:t>FM</w:t>
      </w:r>
      <w:r>
        <w:rPr>
          <w:rFonts w:hint="eastAsia"/>
          <w:lang w:eastAsia="zh-CN"/>
        </w:rPr>
        <w:t>）广播发射最大频偏的方法</w:t>
      </w:r>
    </w:p>
    <w:p w14:paraId="74356E67" w14:textId="2F101B58" w:rsidR="00134A7F" w:rsidRPr="008D077B" w:rsidRDefault="00134A7F" w:rsidP="00134A7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 SM.1054-1</w:t>
      </w:r>
      <w:r w:rsidRPr="00ED6723">
        <w:rPr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208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40D95822" w14:textId="77777777" w:rsidR="00134A7F" w:rsidRPr="00522A73" w:rsidRDefault="00134A7F" w:rsidP="00134A7F">
      <w:pPr>
        <w:pStyle w:val="Reptitle"/>
        <w:rPr>
          <w:rStyle w:val="RectitleChar"/>
          <w:b/>
          <w:bCs/>
          <w:color w:val="800000"/>
          <w:szCs w:val="24"/>
          <w:highlight w:val="yellow"/>
          <w:lang w:eastAsia="zh-CN"/>
        </w:rPr>
      </w:pPr>
      <w:r w:rsidRPr="008B42AF">
        <w:rPr>
          <w:rFonts w:hint="eastAsia"/>
          <w:lang w:eastAsia="zh-CN"/>
        </w:rPr>
        <w:t>监测站对宇航器无线电发射的监测</w:t>
      </w:r>
      <w:r w:rsidRPr="00522A73">
        <w:rPr>
          <w:color w:val="800000"/>
          <w:sz w:val="22"/>
          <w:lang w:eastAsia="zh-CN"/>
        </w:rPr>
        <w:t xml:space="preserve"> </w:t>
      </w:r>
    </w:p>
    <w:p w14:paraId="27A9F503" w14:textId="14807C9B" w:rsidR="00134A7F" w:rsidRPr="008D077B" w:rsidRDefault="00134A7F" w:rsidP="00134A7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>ITU-R</w:t>
      </w:r>
      <w:r>
        <w:rPr>
          <w:rFonts w:asciiTheme="minorHAnsi" w:hAnsiTheme="minorHAnsi" w:cstheme="minorHAnsi"/>
          <w:szCs w:val="24"/>
          <w:u w:val="single"/>
          <w:lang w:eastAsia="zh-CN"/>
        </w:rPr>
        <w:t xml:space="preserve"> SM.1875-3</w:t>
      </w:r>
      <w:r w:rsidRPr="00ED6723">
        <w:rPr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1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212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14:paraId="3E294038" w14:textId="77777777" w:rsidR="00134A7F" w:rsidRPr="00A859B6" w:rsidRDefault="00134A7F" w:rsidP="00134A7F">
      <w:pPr>
        <w:pStyle w:val="Reptitle"/>
        <w:rPr>
          <w:rStyle w:val="RectitleChar"/>
          <w:b/>
          <w:bCs/>
          <w:color w:val="800000"/>
          <w:szCs w:val="24"/>
          <w:highlight w:val="yellow"/>
          <w:lang w:eastAsia="zh-CN"/>
        </w:rPr>
      </w:pPr>
      <w:bookmarkStart w:id="2" w:name="OLE_LINK3"/>
      <w:bookmarkStart w:id="3" w:name="OLE_LINK4"/>
      <w:r w:rsidRPr="00F45904">
        <w:rPr>
          <w:lang w:val="en-GB" w:eastAsia="zh-CN"/>
        </w:rPr>
        <w:t>DVB-T</w:t>
      </w:r>
      <w:r w:rsidRPr="00F45904">
        <w:rPr>
          <w:rFonts w:hint="eastAsia"/>
          <w:lang w:val="en-GB" w:eastAsia="zh-CN"/>
        </w:rPr>
        <w:t>覆盖测量和规划标准的验证</w:t>
      </w:r>
      <w:bookmarkEnd w:id="2"/>
      <w:bookmarkEnd w:id="3"/>
    </w:p>
    <w:p w14:paraId="637E0E76" w14:textId="4BA12846" w:rsidR="00134A7F" w:rsidRDefault="00134A7F" w:rsidP="00411C49">
      <w:pPr>
        <w:pStyle w:val="Reasons"/>
        <w:rPr>
          <w:lang w:eastAsia="zh-CN"/>
        </w:rPr>
      </w:pPr>
    </w:p>
    <w:p w14:paraId="0092EC16" w14:textId="77777777" w:rsidR="00134A7F" w:rsidRDefault="00134A7F" w:rsidP="00411C49">
      <w:pPr>
        <w:pStyle w:val="Reasons"/>
        <w:rPr>
          <w:lang w:eastAsia="zh-CN"/>
        </w:rPr>
      </w:pPr>
    </w:p>
    <w:p w14:paraId="1243A7C0" w14:textId="13867F1E" w:rsidR="00AF051D" w:rsidRPr="00134A7F" w:rsidRDefault="00134A7F" w:rsidP="00134A7F">
      <w:pPr>
        <w:jc w:val="center"/>
      </w:pPr>
      <w:r>
        <w:t>______________</w:t>
      </w:r>
    </w:p>
    <w:sectPr w:rsidR="00AF051D" w:rsidRPr="00134A7F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2973" w14:textId="77777777" w:rsidR="003E1118" w:rsidRDefault="003E1118">
      <w:r>
        <w:separator/>
      </w:r>
    </w:p>
  </w:endnote>
  <w:endnote w:type="continuationSeparator" w:id="0">
    <w:p w14:paraId="3F89012E" w14:textId="77777777"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DFB0" w14:textId="1AC798D6" w:rsidR="00DA16E6" w:rsidRPr="00B90878" w:rsidRDefault="00B90878" w:rsidP="00B9087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sz w:val="18"/>
        <w:szCs w:val="18"/>
      </w:rPr>
      <w:t>International Telecommunication Union • Place des Nations • CH</w:t>
    </w:r>
    <w:r>
      <w:rPr>
        <w:sz w:val="18"/>
        <w:szCs w:val="18"/>
      </w:rPr>
      <w:noBreakHyphen/>
      <w:t xml:space="preserve">1211 Geneva 20 • Switzerland 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  <w:r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3CF" w14:textId="77777777" w:rsidR="003E1118" w:rsidRDefault="003E1118">
      <w:r>
        <w:t>____________________</w:t>
      </w:r>
    </w:p>
  </w:footnote>
  <w:footnote w:type="continuationSeparator" w:id="0">
    <w:p w14:paraId="1BD09C42" w14:textId="77777777"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0542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C815" w14:textId="62EBAF4F" w:rsidR="00E915AF" w:rsidRPr="00165B71" w:rsidRDefault="00165B71" w:rsidP="00B90878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C31E5F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B90878" w:rsidRPr="00B90878" w14:paraId="4267FC90" w14:textId="77777777" w:rsidTr="003E0FBB">
      <w:tc>
        <w:tcPr>
          <w:tcW w:w="4792" w:type="dxa"/>
          <w:tcMar>
            <w:left w:w="0" w:type="dxa"/>
          </w:tcMar>
        </w:tcPr>
        <w:p w14:paraId="66904154" w14:textId="77777777" w:rsidR="00B90878" w:rsidRPr="00B90878" w:rsidRDefault="00B90878" w:rsidP="00B90878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B90878">
            <w:rPr>
              <w:noProof/>
              <w:color w:val="3399FF"/>
              <w:lang w:val="en-GB" w:eastAsia="en-GB"/>
            </w:rPr>
            <w:drawing>
              <wp:inline distT="0" distB="0" distL="0" distR="0" wp14:anchorId="2A50FE80" wp14:editId="0040345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47271BF2" w14:textId="77777777" w:rsidR="00B90878" w:rsidRPr="00B90878" w:rsidRDefault="00B90878" w:rsidP="00B90878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B90878">
            <w:rPr>
              <w:noProof/>
              <w:lang w:val="en-GB" w:eastAsia="en-GB"/>
            </w:rPr>
            <w:drawing>
              <wp:inline distT="0" distB="0" distL="0" distR="0" wp14:anchorId="3A24BE27" wp14:editId="2E9FC22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A4E3C3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34A7F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2F5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0C8E"/>
    <w:rsid w:val="006829F3"/>
    <w:rsid w:val="00687AEC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D91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878"/>
    <w:rsid w:val="00B90C45"/>
    <w:rsid w:val="00B933BE"/>
    <w:rsid w:val="00BD6738"/>
    <w:rsid w:val="00BD7E5E"/>
    <w:rsid w:val="00BE63DB"/>
    <w:rsid w:val="00BE6574"/>
    <w:rsid w:val="00C07319"/>
    <w:rsid w:val="00C16FD2"/>
    <w:rsid w:val="00C31E5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248"/>
    <w:rsid w:val="00CE076A"/>
    <w:rsid w:val="00CE463D"/>
    <w:rsid w:val="00CF12C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56B97"/>
    <w:rsid w:val="00F6184F"/>
    <w:rsid w:val="00F8310E"/>
    <w:rsid w:val="00F914DD"/>
    <w:rsid w:val="00FA2358"/>
    <w:rsid w:val="00FB2592"/>
    <w:rsid w:val="00FB26F0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C7F2B5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134A7F"/>
    <w:pPr>
      <w:spacing w:before="240" w:after="480" w:line="240" w:lineRule="auto"/>
      <w:jc w:val="left"/>
    </w:pPr>
    <w:rPr>
      <w:rFonts w:asciiTheme="minorHAnsi" w:eastAsia="Times New Roman" w:hAnsiTheme="minorHAnsi" w:cstheme="minorHAnsi"/>
    </w:rPr>
  </w:style>
  <w:style w:type="paragraph" w:customStyle="1" w:styleId="Reasons">
    <w:name w:val="Reasons"/>
    <w:basedOn w:val="Normal"/>
    <w:qFormat/>
    <w:rsid w:val="00134A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B908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0057-A1EB-4BB6-A41E-9D1AFF64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Soto Romero, Alicia</cp:lastModifiedBy>
  <cp:revision>7</cp:revision>
  <cp:lastPrinted>2019-08-26T08:01:00Z</cp:lastPrinted>
  <dcterms:created xsi:type="dcterms:W3CDTF">2019-08-22T09:16:00Z</dcterms:created>
  <dcterms:modified xsi:type="dcterms:W3CDTF">2019-08-26T12:27:00Z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