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5E01920A" w14:textId="77777777" w:rsidTr="00153E23">
        <w:tc>
          <w:tcPr>
            <w:tcW w:w="5000" w:type="pct"/>
            <w:gridSpan w:val="3"/>
            <w:shd w:val="clear" w:color="auto" w:fill="auto"/>
          </w:tcPr>
          <w:p w14:paraId="4A5B387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89101DF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297C64A2" w14:textId="77777777" w:rsidTr="00153E23">
        <w:tc>
          <w:tcPr>
            <w:tcW w:w="2707" w:type="pct"/>
            <w:gridSpan w:val="2"/>
            <w:shd w:val="clear" w:color="auto" w:fill="auto"/>
          </w:tcPr>
          <w:p w14:paraId="7D4C7527" w14:textId="2B1A34B3" w:rsidR="000F7BBE" w:rsidRPr="000F7BBE" w:rsidRDefault="006E78E2" w:rsidP="00D53B40">
            <w:pPr>
              <w:spacing w:before="80" w:line="300" w:lineRule="exact"/>
              <w:jc w:val="left"/>
              <w:rPr>
                <w:position w:val="2"/>
                <w:lang w:bidi="ar-EG"/>
              </w:rPr>
            </w:pPr>
            <w:r w:rsidRPr="006E78E2">
              <w:rPr>
                <w:rFonts w:hint="cs"/>
                <w:position w:val="2"/>
                <w:rtl/>
                <w:lang w:bidi="ar-AE"/>
              </w:rPr>
              <w:t xml:space="preserve">التصويب </w:t>
            </w:r>
            <w:r w:rsidRPr="006E78E2">
              <w:rPr>
                <w:position w:val="2"/>
                <w:lang w:bidi="ar-AE"/>
              </w:rPr>
              <w:t>1</w:t>
            </w:r>
            <w:r w:rsidRPr="006E78E2">
              <w:rPr>
                <w:position w:val="2"/>
                <w:rtl/>
                <w:lang w:bidi="ar-EG"/>
              </w:rPr>
              <w:br/>
            </w:r>
            <w:r w:rsidRPr="006E78E2">
              <w:rPr>
                <w:rFonts w:hint="cs"/>
                <w:position w:val="2"/>
                <w:rtl/>
                <w:lang w:bidi="ar-EG"/>
              </w:rPr>
              <w:t>ل</w:t>
            </w:r>
            <w:r w:rsidR="000F7BBE" w:rsidRPr="006E78E2">
              <w:rPr>
                <w:rFonts w:hint="cs"/>
                <w:position w:val="2"/>
                <w:rtl/>
                <w:lang w:bidi="ar-AE"/>
              </w:rPr>
              <w:t>لرسالة الإدارية المعممة</w:t>
            </w:r>
          </w:p>
          <w:p w14:paraId="79374C1B" w14:textId="22DF425F" w:rsidR="000F7BBE" w:rsidRPr="000F7BBE" w:rsidRDefault="000F7BBE" w:rsidP="00D53B40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6E78E2">
              <w:rPr>
                <w:b/>
                <w:bCs/>
                <w:position w:val="2"/>
                <w:lang w:bidi="ar-EG"/>
              </w:rPr>
              <w:t>943</w:t>
            </w:r>
          </w:p>
        </w:tc>
        <w:tc>
          <w:tcPr>
            <w:tcW w:w="2293" w:type="pct"/>
            <w:shd w:val="clear" w:color="auto" w:fill="auto"/>
          </w:tcPr>
          <w:p w14:paraId="596F9A39" w14:textId="3EBDA087" w:rsidR="000F7BBE" w:rsidRPr="000F7BBE" w:rsidRDefault="00506E38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>14</w:t>
            </w:r>
            <w:r w:rsidR="006E78E2">
              <w:rPr>
                <w:rFonts w:hint="cs"/>
                <w:position w:val="2"/>
                <w:rtl/>
                <w:lang w:val="fr-FR" w:bidi="ar-EG"/>
              </w:rPr>
              <w:t xml:space="preserve"> أبريل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7E83A03D" w14:textId="77777777" w:rsidTr="00153E23">
        <w:tc>
          <w:tcPr>
            <w:tcW w:w="5000" w:type="pct"/>
            <w:gridSpan w:val="3"/>
            <w:shd w:val="clear" w:color="auto" w:fill="auto"/>
          </w:tcPr>
          <w:p w14:paraId="242D723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1B47745E" w14:textId="77777777" w:rsidTr="00153E23">
        <w:tc>
          <w:tcPr>
            <w:tcW w:w="5000" w:type="pct"/>
            <w:gridSpan w:val="3"/>
            <w:shd w:val="clear" w:color="auto" w:fill="auto"/>
          </w:tcPr>
          <w:p w14:paraId="1AA73275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94258F5" w14:textId="77777777" w:rsidTr="00153E23">
        <w:tc>
          <w:tcPr>
            <w:tcW w:w="5000" w:type="pct"/>
            <w:gridSpan w:val="3"/>
            <w:shd w:val="clear" w:color="auto" w:fill="auto"/>
          </w:tcPr>
          <w:p w14:paraId="1F480707" w14:textId="2AD54225" w:rsidR="000F7BBE" w:rsidRPr="000F7BBE" w:rsidRDefault="006E78E2" w:rsidP="006E78E2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D53B40">
              <w:rPr>
                <w:b/>
                <w:bCs/>
                <w:w w:val="120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D53B40">
              <w:rPr>
                <w:rFonts w:hint="cs"/>
                <w:b/>
                <w:bCs/>
                <w:w w:val="120"/>
                <w:position w:val="2"/>
                <w:rtl/>
              </w:rPr>
              <w:t xml:space="preserve"> و</w:t>
            </w:r>
            <w:r w:rsidRPr="00D53B40">
              <w:rPr>
                <w:b/>
                <w:bCs/>
                <w:w w:val="120"/>
                <w:position w:val="2"/>
                <w:rtl/>
              </w:rPr>
              <w:t>المنتسبين إليه</w:t>
            </w:r>
            <w:r w:rsidRPr="006E78E2">
              <w:rPr>
                <w:b/>
                <w:bCs/>
                <w:w w:val="115"/>
                <w:position w:val="2"/>
                <w:rtl/>
              </w:rPr>
              <w:br/>
            </w:r>
            <w:r w:rsidRPr="006E78E2">
              <w:rPr>
                <w:b/>
                <w:bCs/>
                <w:w w:val="115"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Pr="006E78E2">
              <w:rPr>
                <w:b/>
                <w:bCs/>
                <w:w w:val="115"/>
                <w:position w:val="2"/>
                <w:lang w:val="en-GB"/>
              </w:rPr>
              <w:t>1</w:t>
            </w:r>
            <w:r w:rsidRPr="006E78E2">
              <w:rPr>
                <w:b/>
                <w:bCs/>
                <w:w w:val="115"/>
                <w:position w:val="2"/>
                <w:rtl/>
                <w:lang w:bidi="ar-EG"/>
              </w:rPr>
              <w:t xml:space="preserve"> للاتصالات الراديوية</w:t>
            </w:r>
            <w:r w:rsidRPr="006E78E2">
              <w:rPr>
                <w:rFonts w:hint="cs"/>
                <w:b/>
                <w:bCs/>
                <w:w w:val="115"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5D281476" w14:textId="77777777" w:rsidTr="00153E23">
        <w:tc>
          <w:tcPr>
            <w:tcW w:w="5000" w:type="pct"/>
            <w:gridSpan w:val="3"/>
            <w:shd w:val="clear" w:color="auto" w:fill="auto"/>
          </w:tcPr>
          <w:p w14:paraId="715B786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7A1EB49" w14:textId="77777777" w:rsidTr="00153E23">
        <w:tc>
          <w:tcPr>
            <w:tcW w:w="5000" w:type="pct"/>
            <w:gridSpan w:val="3"/>
            <w:shd w:val="clear" w:color="auto" w:fill="auto"/>
          </w:tcPr>
          <w:p w14:paraId="65A5E07C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506E38" w14:paraId="52C91E9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9CC1B20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BAA63F1" w14:textId="74E8B527" w:rsidR="000F7BBE" w:rsidRPr="000F7BBE" w:rsidRDefault="006E78E2" w:rsidP="00A370A7">
            <w:pPr>
              <w:tabs>
                <w:tab w:val="clear" w:pos="794"/>
              </w:tabs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E78E2">
              <w:rPr>
                <w:rFonts w:hint="cs"/>
                <w:b/>
                <w:bCs/>
                <w:position w:val="2"/>
                <w:rtl/>
                <w:lang w:bidi="ar-EG"/>
              </w:rPr>
              <w:t>اجتماع لجنة</w:t>
            </w:r>
            <w:r w:rsidRPr="006E78E2">
              <w:rPr>
                <w:b/>
                <w:bCs/>
                <w:position w:val="2"/>
                <w:rtl/>
                <w:lang w:bidi="ar-EG"/>
              </w:rPr>
              <w:t xml:space="preserve"> الدراسات </w:t>
            </w:r>
            <w:r w:rsidRPr="00506E38">
              <w:rPr>
                <w:b/>
                <w:bCs/>
                <w:position w:val="2"/>
                <w:lang w:val="fr-FR" w:bidi="ar-EG"/>
              </w:rPr>
              <w:t>1</w:t>
            </w:r>
            <w:r w:rsidRPr="006E78E2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6E78E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(إدارة الطيف)،</w:t>
            </w:r>
            <w:r w:rsidR="00D53B40">
              <w:rPr>
                <w:b/>
                <w:bCs/>
                <w:position w:val="2"/>
                <w:rtl/>
                <w:lang w:bidi="ar-EG"/>
              </w:rPr>
              <w:br/>
            </w:r>
            <w:r w:rsidRPr="006E78E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جنيف، </w:t>
            </w:r>
            <w:r w:rsidRPr="00506E38">
              <w:rPr>
                <w:b/>
                <w:bCs/>
                <w:position w:val="2"/>
                <w:lang w:val="fr-FR" w:bidi="ar-EG"/>
              </w:rPr>
              <w:t>8</w:t>
            </w:r>
            <w:r w:rsidRPr="006E78E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يونيو </w:t>
            </w:r>
            <w:r w:rsidRPr="00506E38">
              <w:rPr>
                <w:b/>
                <w:bCs/>
                <w:position w:val="2"/>
                <w:lang w:val="fr-FR" w:bidi="ar-EG"/>
              </w:rPr>
              <w:t>2020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، </w:t>
            </w:r>
            <w:r w:rsidR="00A370A7">
              <w:rPr>
                <w:rFonts w:hint="cs"/>
                <w:b/>
                <w:bCs/>
                <w:position w:val="2"/>
                <w:rtl/>
              </w:rPr>
              <w:t>تأجل إلى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506E38">
              <w:rPr>
                <w:b/>
                <w:bCs/>
                <w:position w:val="2"/>
                <w:lang w:val="fr-FR" w:bidi="ar-EG"/>
              </w:rPr>
              <w:t>3</w:t>
            </w:r>
            <w:r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ديسمبر 2020</w:t>
            </w:r>
          </w:p>
        </w:tc>
      </w:tr>
    </w:tbl>
    <w:p w14:paraId="08A690FF" w14:textId="7661622D" w:rsidR="0006468A" w:rsidRDefault="00A370A7" w:rsidP="00D53B40">
      <w:pPr>
        <w:spacing w:before="720"/>
        <w:rPr>
          <w:rtl/>
          <w:lang w:bidi="ar-EG"/>
        </w:rPr>
      </w:pPr>
      <w:r w:rsidRPr="00D53B40">
        <w:rPr>
          <w:rFonts w:hint="cs"/>
          <w:rtl/>
          <w:lang w:bidi="ar-EG"/>
        </w:rPr>
        <w:t>الغرض من هذا التصويب للرسالة الإدارية المعممة</w:t>
      </w:r>
      <w:r w:rsidR="00D53B40" w:rsidRPr="00D53B40">
        <w:rPr>
          <w:lang w:bidi="ar-EG"/>
        </w:rPr>
        <w:t>CACE/</w:t>
      </w:r>
      <w:proofErr w:type="gramStart"/>
      <w:r w:rsidR="0097758F">
        <w:rPr>
          <w:lang w:bidi="ar-EG"/>
        </w:rPr>
        <w:t>943</w:t>
      </w:r>
      <w:r w:rsidR="00D53B40" w:rsidRPr="00D53B40">
        <w:rPr>
          <w:lang w:bidi="ar-EG"/>
        </w:rPr>
        <w:t xml:space="preserve"> </w:t>
      </w:r>
      <w:r w:rsidR="00D53B40" w:rsidRPr="00D53B40">
        <w:rPr>
          <w:rFonts w:hint="cs"/>
          <w:rtl/>
          <w:lang w:bidi="ar-EG"/>
        </w:rPr>
        <w:t xml:space="preserve"> </w:t>
      </w:r>
      <w:r w:rsidRPr="00D53B40">
        <w:rPr>
          <w:rFonts w:hint="cs"/>
          <w:rtl/>
          <w:lang w:bidi="ar-EG"/>
        </w:rPr>
        <w:t>المؤرخة</w:t>
      </w:r>
      <w:proofErr w:type="gramEnd"/>
      <w:r w:rsidRPr="00D53B40">
        <w:rPr>
          <w:rFonts w:hint="cs"/>
          <w:rtl/>
          <w:lang w:bidi="ar-EG"/>
        </w:rPr>
        <w:t xml:space="preserve"> 7 فبراير 2020 إفادتكم بأن</w:t>
      </w:r>
      <w:r w:rsidR="005049C6" w:rsidRPr="00D53B40">
        <w:rPr>
          <w:rFonts w:hint="cs"/>
          <w:rtl/>
        </w:rPr>
        <w:t xml:space="preserve"> الظروف الاستثنائ</w:t>
      </w:r>
      <w:r w:rsidR="003F64F4" w:rsidRPr="00D53B40">
        <w:rPr>
          <w:rFonts w:hint="cs"/>
          <w:rtl/>
        </w:rPr>
        <w:t>ي</w:t>
      </w:r>
      <w:r w:rsidR="005049C6" w:rsidRPr="00D53B40">
        <w:rPr>
          <w:rFonts w:hint="cs"/>
          <w:rtl/>
        </w:rPr>
        <w:t xml:space="preserve">ة والشواغل العالمية المتنامية من جراء تفشي فيروس كورونا </w:t>
      </w:r>
      <w:r w:rsidR="00F95BCA">
        <w:t>(</w:t>
      </w:r>
      <w:hyperlink r:id="rId8" w:history="1">
        <w:r w:rsidR="00F95BCA" w:rsidRPr="00E131CE">
          <w:rPr>
            <w:rStyle w:val="Hyperlink"/>
          </w:rPr>
          <w:t>COVID-19</w:t>
        </w:r>
      </w:hyperlink>
      <w:r w:rsidR="00F95BCA">
        <w:t>)</w:t>
      </w:r>
      <w:r w:rsidR="005049C6" w:rsidRPr="00D53B40">
        <w:rPr>
          <w:rFonts w:hint="cs"/>
          <w:rtl/>
        </w:rPr>
        <w:t xml:space="preserve"> استدعت تأجيل اجتماع لجنة الدراسات 1 إلى يوم 3 ديسمبر 2020. وتأجلت أيضاً اجتماعات فرق العمل </w:t>
      </w:r>
      <w:r w:rsidR="00F95BCA">
        <w:t>1A</w:t>
      </w:r>
      <w:r w:rsidR="005049C6" w:rsidRPr="00D53B40">
        <w:rPr>
          <w:rFonts w:hint="cs"/>
          <w:rtl/>
        </w:rPr>
        <w:t xml:space="preserve"> و</w:t>
      </w:r>
      <w:r w:rsidR="00F95BCA">
        <w:t>1B</w:t>
      </w:r>
      <w:r w:rsidR="005049C6" w:rsidRPr="00D53B40">
        <w:rPr>
          <w:rFonts w:hint="cs"/>
          <w:rtl/>
        </w:rPr>
        <w:t xml:space="preserve"> و</w:t>
      </w:r>
      <w:r w:rsidR="00F95BCA">
        <w:t>1C</w:t>
      </w:r>
      <w:r w:rsidR="005049C6" w:rsidRPr="00D53B40">
        <w:rPr>
          <w:rFonts w:hint="cs"/>
          <w:rtl/>
        </w:rPr>
        <w:t xml:space="preserve">، وستُعقد </w:t>
      </w:r>
      <w:r w:rsidR="003F64F4" w:rsidRPr="00D53B40">
        <w:rPr>
          <w:rFonts w:hint="cs"/>
          <w:rtl/>
        </w:rPr>
        <w:t>في الفترة من</w:t>
      </w:r>
      <w:r w:rsidR="005049C6" w:rsidRPr="00D53B40">
        <w:rPr>
          <w:rFonts w:hint="cs"/>
          <w:rtl/>
        </w:rPr>
        <w:t xml:space="preserve"> 24 نوفمبر إلى</w:t>
      </w:r>
      <w:r w:rsidR="009165B4" w:rsidRPr="00D53B40">
        <w:rPr>
          <w:rFonts w:hint="cs"/>
          <w:rtl/>
        </w:rPr>
        <w:t xml:space="preserve"> 2 ديسمبر 2020</w:t>
      </w:r>
      <w:r w:rsidR="006E78E2" w:rsidRPr="00D53B40">
        <w:rPr>
          <w:rFonts w:hint="cs"/>
          <w:rtl/>
          <w:lang w:bidi="ar-EG"/>
        </w:rPr>
        <w:t xml:space="preserve"> (</w:t>
      </w:r>
      <w:r w:rsidR="009165B4" w:rsidRPr="00D53B40">
        <w:rPr>
          <w:rFonts w:hint="cs"/>
          <w:rtl/>
          <w:lang w:bidi="ar-EG"/>
        </w:rPr>
        <w:t>ا</w:t>
      </w:r>
      <w:r w:rsidR="006E78E2" w:rsidRPr="00D53B40">
        <w:rPr>
          <w:rFonts w:hint="cs"/>
          <w:rtl/>
          <w:lang w:bidi="ar-EG"/>
        </w:rPr>
        <w:t xml:space="preserve">نظر التصويب 1 للرسالة المعممة </w:t>
      </w:r>
      <w:hyperlink r:id="rId9" w:history="1">
        <w:r w:rsidR="006E78E2" w:rsidRPr="00D53B40">
          <w:rPr>
            <w:rStyle w:val="Hyperlink"/>
            <w:lang w:bidi="ar-EG"/>
          </w:rPr>
          <w:t>1/LCCE/105</w:t>
        </w:r>
      </w:hyperlink>
      <w:r w:rsidR="006E78E2" w:rsidRPr="00D53B40">
        <w:rPr>
          <w:rFonts w:hint="cs"/>
          <w:rtl/>
          <w:lang w:bidi="ar-EG"/>
        </w:rPr>
        <w:t xml:space="preserve">). </w:t>
      </w:r>
      <w:r w:rsidR="003F64F4" w:rsidRPr="00D53B40">
        <w:rPr>
          <w:rFonts w:hint="cs"/>
          <w:rtl/>
          <w:lang w:bidi="ar-EG"/>
        </w:rPr>
        <w:t xml:space="preserve">وقد </w:t>
      </w:r>
      <w:r w:rsidR="009165B4" w:rsidRPr="00D53B40">
        <w:rPr>
          <w:rFonts w:hint="cs"/>
          <w:rtl/>
          <w:lang w:bidi="ar-EG"/>
        </w:rPr>
        <w:t>ات</w:t>
      </w:r>
      <w:r w:rsidR="003B4076" w:rsidRPr="00D53B40">
        <w:rPr>
          <w:rFonts w:hint="cs"/>
          <w:rtl/>
          <w:lang w:bidi="ar-EG"/>
        </w:rPr>
        <w:t>ُ</w:t>
      </w:r>
      <w:r w:rsidR="009165B4" w:rsidRPr="00D53B40">
        <w:rPr>
          <w:rFonts w:hint="cs"/>
          <w:rtl/>
          <w:lang w:bidi="ar-EG"/>
        </w:rPr>
        <w:t>خذ</w:t>
      </w:r>
      <w:r w:rsidR="006E78E2" w:rsidRPr="00D53B40">
        <w:rPr>
          <w:rFonts w:hint="cs"/>
          <w:rtl/>
          <w:lang w:bidi="ar-EG"/>
        </w:rPr>
        <w:t xml:space="preserve"> قرار تأجيل الاجتماع</w:t>
      </w:r>
      <w:r w:rsidR="009165B4" w:rsidRPr="00D53B40">
        <w:rPr>
          <w:rFonts w:hint="cs"/>
          <w:rtl/>
          <w:lang w:bidi="ar-EG"/>
        </w:rPr>
        <w:t xml:space="preserve">ات لإعطاء </w:t>
      </w:r>
      <w:r w:rsidR="006E78E2" w:rsidRPr="00D53B40">
        <w:rPr>
          <w:rFonts w:hint="cs"/>
          <w:rtl/>
          <w:lang w:bidi="ar-EG"/>
        </w:rPr>
        <w:t xml:space="preserve">الأولوية لضرورة </w:t>
      </w:r>
      <w:r w:rsidR="009165B4" w:rsidRPr="00D53B40">
        <w:rPr>
          <w:rFonts w:hint="cs"/>
          <w:rtl/>
          <w:lang w:bidi="ar-EG"/>
        </w:rPr>
        <w:t>الحفاظ على</w:t>
      </w:r>
      <w:r w:rsidR="006E78E2" w:rsidRPr="00D53B40">
        <w:rPr>
          <w:rFonts w:hint="cs"/>
          <w:rtl/>
          <w:lang w:bidi="ar-EG"/>
        </w:rPr>
        <w:t xml:space="preserve"> صحة جميع المشاركين</w:t>
      </w:r>
      <w:r w:rsidR="009165B4" w:rsidRPr="00D53B40">
        <w:rPr>
          <w:rFonts w:hint="cs"/>
          <w:rtl/>
          <w:lang w:bidi="ar-EG"/>
        </w:rPr>
        <w:t xml:space="preserve"> وضمان سلامتهم</w:t>
      </w:r>
      <w:r w:rsidR="006E78E2" w:rsidRPr="00D53B40">
        <w:rPr>
          <w:rFonts w:hint="cs"/>
          <w:rtl/>
          <w:lang w:bidi="ar-EG"/>
        </w:rPr>
        <w:t xml:space="preserve"> وكفالة توفير مستويات المشاركة المناسبة.</w:t>
      </w:r>
    </w:p>
    <w:p w14:paraId="791544D3" w14:textId="35EEC4E9" w:rsidR="00F16820" w:rsidRDefault="009165B4" w:rsidP="006E78E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وستُرسل </w:t>
      </w:r>
      <w:r w:rsidR="00E24EB9">
        <w:rPr>
          <w:rFonts w:hint="cs"/>
          <w:rtl/>
          <w:lang w:bidi="ar-EG"/>
        </w:rPr>
        <w:t xml:space="preserve">قريباً </w:t>
      </w:r>
      <w:r>
        <w:rPr>
          <w:rFonts w:hint="cs"/>
          <w:rtl/>
          <w:lang w:bidi="ar-EG"/>
        </w:rPr>
        <w:t>رسالة إدارية</w:t>
      </w:r>
      <w:r w:rsidR="00E24EB9">
        <w:rPr>
          <w:rFonts w:hint="cs"/>
          <w:rtl/>
          <w:lang w:bidi="ar-EG"/>
        </w:rPr>
        <w:t xml:space="preserve"> معممة جديدة لتقديم المعلومات المعتادة بشأن هذا الاجتماع القادم للجنة الدراسات 1، بما في</w:t>
      </w:r>
      <w:r w:rsidR="00E70B92">
        <w:rPr>
          <w:rFonts w:hint="eastAsia"/>
          <w:rtl/>
          <w:lang w:bidi="ar-EG"/>
        </w:rPr>
        <w:t> </w:t>
      </w:r>
      <w:r w:rsidR="00E24EB9">
        <w:rPr>
          <w:rFonts w:hint="cs"/>
          <w:rtl/>
          <w:lang w:bidi="ar-EG"/>
        </w:rPr>
        <w:t>ذلك ضرورة التسجيل للتمكن من المشاركة. وستتوفر المشاركة عن بُعد،</w:t>
      </w:r>
      <w:r w:rsidR="00E24EB9">
        <w:rPr>
          <w:rFonts w:hint="cs"/>
          <w:rtl/>
        </w:rPr>
        <w:t xml:space="preserve"> وإذا اقتضي الأمر سيُعقد الاجتماع على نحو إلكتروني بالكامل (اجتماع افتراضي). وسوف تقدَّم معلومات محددة</w:t>
      </w:r>
      <w:r w:rsidR="00B54A6C">
        <w:rPr>
          <w:rFonts w:hint="cs"/>
          <w:rtl/>
        </w:rPr>
        <w:t xml:space="preserve"> بهذا الشأن في رسالة الدعوة التي تعلن عن الاجتماع وفي الموقع الإلكتروني كذلك.</w:t>
      </w:r>
    </w:p>
    <w:p w14:paraId="65F49C96" w14:textId="0172C5D3" w:rsidR="006A19D8" w:rsidRPr="001318ED" w:rsidRDefault="007E508D" w:rsidP="006A19D8">
      <w:pPr>
        <w:rPr>
          <w:rStyle w:val="Hyperlink"/>
          <w:bCs/>
          <w:color w:val="auto"/>
          <w:rtl/>
          <w:lang w:bidi="ar-EG"/>
        </w:rPr>
      </w:pPr>
      <w:r>
        <w:rPr>
          <w:rFonts w:hint="cs"/>
          <w:rtl/>
        </w:rPr>
        <w:t>و</w:t>
      </w:r>
      <w:r w:rsidR="006A19D8">
        <w:rPr>
          <w:rFonts w:hint="cs"/>
          <w:rtl/>
        </w:rPr>
        <w:t>يمكن</w:t>
      </w:r>
      <w:r>
        <w:rPr>
          <w:rFonts w:hint="cs"/>
          <w:rtl/>
        </w:rPr>
        <w:t xml:space="preserve"> في الوقت نفسه</w:t>
      </w:r>
      <w:r w:rsidR="006A19D8">
        <w:rPr>
          <w:rFonts w:hint="cs"/>
          <w:rtl/>
        </w:rPr>
        <w:t xml:space="preserve"> للمشاركين مواصلة</w:t>
      </w:r>
      <w:r w:rsidR="006E78E2" w:rsidRPr="006E78E2">
        <w:rPr>
          <w:rFonts w:hint="cs"/>
          <w:rtl/>
        </w:rPr>
        <w:t xml:space="preserve"> إرسال المساهمات بالبريد الإلكتروني إلى العنوان التالي:</w:t>
      </w:r>
      <w:r w:rsidR="006E78E2">
        <w:rPr>
          <w:rFonts w:hint="cs"/>
          <w:rtl/>
        </w:rPr>
        <w:t xml:space="preserve"> </w:t>
      </w:r>
      <w:hyperlink r:id="rId10" w:history="1">
        <w:r w:rsidR="006E78E2" w:rsidRPr="006E78E2">
          <w:rPr>
            <w:rStyle w:val="Hyperlink"/>
            <w:lang w:bidi="ar-EG"/>
          </w:rPr>
          <w:t>rsg1@itu.int</w:t>
        </w:r>
      </w:hyperlink>
      <w:r w:rsidR="006E78E2">
        <w:rPr>
          <w:rFonts w:hint="cs"/>
          <w:rtl/>
          <w:lang w:bidi="ar-EG"/>
        </w:rPr>
        <w:t xml:space="preserve">، </w:t>
      </w:r>
      <w:r w:rsidR="006A19D8">
        <w:rPr>
          <w:rFonts w:hint="cs"/>
          <w:rtl/>
        </w:rPr>
        <w:t>مع</w:t>
      </w:r>
      <w:r w:rsidR="006E78E2" w:rsidRPr="006E78E2">
        <w:rPr>
          <w:rFonts w:hint="cs"/>
          <w:rtl/>
        </w:rPr>
        <w:t xml:space="preserve"> إرسال نسخة إلى رئيس لجنة الدراسات</w:t>
      </w:r>
      <w:r w:rsidR="006E78E2" w:rsidRPr="006E78E2">
        <w:rPr>
          <w:rFonts w:hint="eastAsia"/>
          <w:rtl/>
        </w:rPr>
        <w:t> </w:t>
      </w:r>
      <w:r w:rsidR="006E78E2" w:rsidRPr="006E78E2">
        <w:rPr>
          <w:lang w:val="fr-FR" w:bidi="ar-EG"/>
        </w:rPr>
        <w:t>1</w:t>
      </w:r>
      <w:r w:rsidR="006E78E2" w:rsidRPr="006E78E2">
        <w:rPr>
          <w:rFonts w:hint="cs"/>
          <w:rtl/>
        </w:rPr>
        <w:t xml:space="preserve"> ونوابه. وترد العناوين ذات الصلة في الموقع التالي:</w:t>
      </w:r>
      <w:r w:rsidR="006E78E2">
        <w:rPr>
          <w:rFonts w:hint="cs"/>
          <w:rtl/>
        </w:rPr>
        <w:t xml:space="preserve"> </w:t>
      </w:r>
      <w:hyperlink r:id="rId11" w:tooltip="click to update" w:history="1">
        <w:r w:rsidR="006E78E2" w:rsidRPr="006E78E2">
          <w:rPr>
            <w:rStyle w:val="Hyperlink"/>
            <w:bCs/>
            <w:lang w:bidi="ar-EG"/>
          </w:rPr>
          <w:t>http://www.itu.int/go/rsg1/ch</w:t>
        </w:r>
      </w:hyperlink>
      <w:r w:rsidR="001318ED" w:rsidRPr="001318ED">
        <w:rPr>
          <w:rStyle w:val="Hyperlink"/>
          <w:rFonts w:hint="cs"/>
          <w:bCs/>
          <w:color w:val="auto"/>
          <w:u w:val="none"/>
          <w:rtl/>
          <w:lang w:bidi="ar-EG"/>
        </w:rPr>
        <w:t>.</w:t>
      </w:r>
    </w:p>
    <w:p w14:paraId="5DD1BDAD" w14:textId="6FBF1D6F" w:rsidR="00F16820" w:rsidRPr="00F16820" w:rsidRDefault="00F16820" w:rsidP="006E78E2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F16820" w:rsidRPr="00F16820" w:rsidSect="006C3242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F1D9C" w14:textId="77777777" w:rsidR="006E78E2" w:rsidRDefault="006E78E2" w:rsidP="006C3242">
      <w:pPr>
        <w:spacing w:before="0" w:line="240" w:lineRule="auto"/>
      </w:pPr>
      <w:r>
        <w:separator/>
      </w:r>
    </w:p>
  </w:endnote>
  <w:endnote w:type="continuationSeparator" w:id="0">
    <w:p w14:paraId="4EE2DD67" w14:textId="77777777" w:rsidR="006E78E2" w:rsidRDefault="006E78E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37B33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E78E2">
      <w:rPr>
        <w:noProof/>
        <w:sz w:val="16"/>
        <w:szCs w:val="16"/>
        <w:lang w:val="fr-FR"/>
      </w:rPr>
      <w:t>Document21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5E84D" w14:textId="0045EB24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Switzerland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  <w:t xml:space="preserve">Tel: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• </w:t>
    </w:r>
    <w:hyperlink r:id="rId2" w:history="1">
      <w:proofErr w:type="spellStart"/>
      <w:r w:rsidR="00506E38" w:rsidRPr="0069174A">
        <w:rPr>
          <w:rStyle w:val="Hyperlink"/>
          <w:sz w:val="19"/>
          <w:szCs w:val="19"/>
          <w:lang w:val="fr-CH"/>
        </w:rPr>
        <w:t>www.itu.int</w:t>
      </w:r>
      <w:proofErr w:type="spellEnd"/>
    </w:hyperlink>
    <w:r w:rsidR="00506E38">
      <w:rPr>
        <w:rFonts w:ascii="Dubai" w:hAnsi="Dubai" w:cs="Dubai"/>
        <w:color w:val="5B9BD5" w:themeColor="accent1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710F7" w14:textId="77777777" w:rsidR="006E78E2" w:rsidRDefault="006E78E2" w:rsidP="006C3242">
      <w:pPr>
        <w:spacing w:before="0" w:line="240" w:lineRule="auto"/>
      </w:pPr>
      <w:r>
        <w:separator/>
      </w:r>
    </w:p>
  </w:footnote>
  <w:footnote w:type="continuationSeparator" w:id="0">
    <w:p w14:paraId="384C9718" w14:textId="77777777" w:rsidR="006E78E2" w:rsidRDefault="006E78E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0725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71593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3C32CDA8" wp14:editId="04087981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E2"/>
    <w:rsid w:val="0006468A"/>
    <w:rsid w:val="00090574"/>
    <w:rsid w:val="000C1C0E"/>
    <w:rsid w:val="000C548A"/>
    <w:rsid w:val="000F7BBE"/>
    <w:rsid w:val="001318ED"/>
    <w:rsid w:val="00150DB9"/>
    <w:rsid w:val="00192DD7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C2242"/>
    <w:rsid w:val="002E6541"/>
    <w:rsid w:val="00334924"/>
    <w:rsid w:val="003409BC"/>
    <w:rsid w:val="00340DBA"/>
    <w:rsid w:val="00357185"/>
    <w:rsid w:val="00383829"/>
    <w:rsid w:val="003B4076"/>
    <w:rsid w:val="003F4B29"/>
    <w:rsid w:val="003F64F4"/>
    <w:rsid w:val="0042686F"/>
    <w:rsid w:val="004317D8"/>
    <w:rsid w:val="00434183"/>
    <w:rsid w:val="00443869"/>
    <w:rsid w:val="00447F32"/>
    <w:rsid w:val="0049694C"/>
    <w:rsid w:val="004E11DC"/>
    <w:rsid w:val="005049C6"/>
    <w:rsid w:val="00506E38"/>
    <w:rsid w:val="00525DDD"/>
    <w:rsid w:val="005409AC"/>
    <w:rsid w:val="0055516A"/>
    <w:rsid w:val="0058491B"/>
    <w:rsid w:val="00592EA5"/>
    <w:rsid w:val="005A3170"/>
    <w:rsid w:val="006049BE"/>
    <w:rsid w:val="00677396"/>
    <w:rsid w:val="0069200F"/>
    <w:rsid w:val="006A19D8"/>
    <w:rsid w:val="006A65CB"/>
    <w:rsid w:val="006C3242"/>
    <w:rsid w:val="006C7CC0"/>
    <w:rsid w:val="006E78E2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E508D"/>
    <w:rsid w:val="007F0787"/>
    <w:rsid w:val="00810B7B"/>
    <w:rsid w:val="0082358A"/>
    <w:rsid w:val="008235CD"/>
    <w:rsid w:val="008247DE"/>
    <w:rsid w:val="00840B10"/>
    <w:rsid w:val="008513CB"/>
    <w:rsid w:val="00873048"/>
    <w:rsid w:val="008A7F84"/>
    <w:rsid w:val="009165B4"/>
    <w:rsid w:val="0091702E"/>
    <w:rsid w:val="00923B0C"/>
    <w:rsid w:val="0094021C"/>
    <w:rsid w:val="00952F86"/>
    <w:rsid w:val="0097758F"/>
    <w:rsid w:val="00982B28"/>
    <w:rsid w:val="009D313F"/>
    <w:rsid w:val="00A370A7"/>
    <w:rsid w:val="00A47A5A"/>
    <w:rsid w:val="00A6683B"/>
    <w:rsid w:val="00A97F94"/>
    <w:rsid w:val="00AA7EA2"/>
    <w:rsid w:val="00B03099"/>
    <w:rsid w:val="00B05BC8"/>
    <w:rsid w:val="00B20C86"/>
    <w:rsid w:val="00B54A6C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E403F"/>
    <w:rsid w:val="00CF27F5"/>
    <w:rsid w:val="00CF3FFD"/>
    <w:rsid w:val="00D10CCF"/>
    <w:rsid w:val="00D53B40"/>
    <w:rsid w:val="00D77D0F"/>
    <w:rsid w:val="00DA1CF0"/>
    <w:rsid w:val="00DC1E02"/>
    <w:rsid w:val="00DC24B4"/>
    <w:rsid w:val="00DC5FB0"/>
    <w:rsid w:val="00DF16DC"/>
    <w:rsid w:val="00E24EB9"/>
    <w:rsid w:val="00E45211"/>
    <w:rsid w:val="00E473C5"/>
    <w:rsid w:val="00E70B92"/>
    <w:rsid w:val="00E92863"/>
    <w:rsid w:val="00EB796D"/>
    <w:rsid w:val="00ED1B31"/>
    <w:rsid w:val="00F058DC"/>
    <w:rsid w:val="00F16820"/>
    <w:rsid w:val="00F24FC4"/>
    <w:rsid w:val="00F2676C"/>
    <w:rsid w:val="00F84366"/>
    <w:rsid w:val="00F85089"/>
    <w:rsid w:val="00F95BCA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E86D41"/>
  <w15:chartTrackingRefBased/>
  <w15:docId w15:val="{5D318616-C4B5-4526-8ACA-6453F191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1/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sg1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1-CIR-0105/en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C5AD7-FBDA-4CAE-AA17-57D62F9D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Fernandez Jimenez, Virginia</cp:lastModifiedBy>
  <cp:revision>10</cp:revision>
  <dcterms:created xsi:type="dcterms:W3CDTF">2020-04-09T14:46:00Z</dcterms:created>
  <dcterms:modified xsi:type="dcterms:W3CDTF">2020-04-14T06:23:00Z</dcterms:modified>
</cp:coreProperties>
</file>