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0A810FA" w14:textId="77777777" w:rsidTr="00153E23">
        <w:tc>
          <w:tcPr>
            <w:tcW w:w="5000" w:type="pct"/>
            <w:gridSpan w:val="3"/>
            <w:shd w:val="clear" w:color="auto" w:fill="auto"/>
          </w:tcPr>
          <w:p w14:paraId="6E74AE8C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D5929DF" w14:textId="77777777" w:rsidR="000F7BBE" w:rsidRPr="000F7BBE" w:rsidRDefault="000F7BBE" w:rsidP="000F7BBE">
            <w:pPr>
              <w:rPr>
                <w:b/>
                <w:bCs/>
                <w:lang w:bidi="ar-EG"/>
              </w:rPr>
            </w:pPr>
          </w:p>
        </w:tc>
      </w:tr>
      <w:tr w:rsidR="000F7BBE" w:rsidRPr="000F7BBE" w14:paraId="021DE12C" w14:textId="77777777" w:rsidTr="00153E23">
        <w:tc>
          <w:tcPr>
            <w:tcW w:w="2707" w:type="pct"/>
            <w:gridSpan w:val="2"/>
            <w:shd w:val="clear" w:color="auto" w:fill="auto"/>
          </w:tcPr>
          <w:p w14:paraId="3AA00CCE" w14:textId="58846D80" w:rsidR="000F7BBE" w:rsidRPr="000F7BBE" w:rsidRDefault="000F7BBE" w:rsidP="00CE0223">
            <w:pPr>
              <w:spacing w:before="80" w:line="300" w:lineRule="exact"/>
              <w:rPr>
                <w:position w:val="2"/>
                <w:lang w:bidi="ar-EG"/>
              </w:rPr>
            </w:pPr>
            <w:r w:rsidRPr="004C780E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9180757" w14:textId="099941FA" w:rsidR="000F7BBE" w:rsidRPr="000F7BBE" w:rsidRDefault="000F7BBE" w:rsidP="00CE0223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4C780E">
              <w:rPr>
                <w:b/>
                <w:bCs/>
                <w:position w:val="2"/>
                <w:lang w:bidi="ar-EG"/>
              </w:rPr>
              <w:t>981</w:t>
            </w:r>
          </w:p>
        </w:tc>
        <w:tc>
          <w:tcPr>
            <w:tcW w:w="2293" w:type="pct"/>
            <w:shd w:val="clear" w:color="auto" w:fill="auto"/>
          </w:tcPr>
          <w:p w14:paraId="19DE598B" w14:textId="224C2A43" w:rsidR="000F7BBE" w:rsidRPr="000F7BBE" w:rsidRDefault="004C780E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4C780E">
              <w:rPr>
                <w:position w:val="2"/>
                <w:lang w:val="fr-FR" w:bidi="ar-EG"/>
              </w:rPr>
              <w:t>11</w:t>
            </w:r>
            <w:r w:rsidR="00F16820" w:rsidRPr="004C780E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 xml:space="preserve">يونيو </w:t>
            </w:r>
            <w:r w:rsidR="00F16820">
              <w:rPr>
                <w:position w:val="2"/>
                <w:lang w:bidi="ar-EG"/>
              </w:rPr>
              <w:t>202</w:t>
            </w:r>
            <w:r w:rsidR="006515C3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65990B41" w14:textId="77777777" w:rsidTr="00153E23">
        <w:tc>
          <w:tcPr>
            <w:tcW w:w="5000" w:type="pct"/>
            <w:gridSpan w:val="3"/>
            <w:shd w:val="clear" w:color="auto" w:fill="auto"/>
          </w:tcPr>
          <w:p w14:paraId="4F5406E3" w14:textId="77777777" w:rsidR="000F7BBE" w:rsidRPr="000F7BBE" w:rsidRDefault="000F7BBE" w:rsidP="00EE6ACF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8DF79F2" w14:textId="77777777" w:rsidTr="00153E23">
        <w:tc>
          <w:tcPr>
            <w:tcW w:w="5000" w:type="pct"/>
            <w:gridSpan w:val="3"/>
            <w:shd w:val="clear" w:color="auto" w:fill="auto"/>
          </w:tcPr>
          <w:p w14:paraId="3B51B6D2" w14:textId="77777777" w:rsidR="000F7BBE" w:rsidRPr="000F7BBE" w:rsidRDefault="000F7BBE" w:rsidP="00EE6ACF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3EB32376" w14:textId="77777777" w:rsidTr="00153E23">
        <w:tc>
          <w:tcPr>
            <w:tcW w:w="5000" w:type="pct"/>
            <w:gridSpan w:val="3"/>
            <w:shd w:val="clear" w:color="auto" w:fill="auto"/>
          </w:tcPr>
          <w:p w14:paraId="405602B8" w14:textId="1C62BA56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4C780E">
              <w:rPr>
                <w:b/>
                <w:bCs/>
                <w:position w:val="2"/>
                <w:lang w:val="en-GB" w:bidi="ar-EG"/>
              </w:rPr>
              <w:t>1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5CA55FB" w14:textId="77777777" w:rsidTr="00153E23">
        <w:tc>
          <w:tcPr>
            <w:tcW w:w="5000" w:type="pct"/>
            <w:gridSpan w:val="3"/>
            <w:shd w:val="clear" w:color="auto" w:fill="auto"/>
          </w:tcPr>
          <w:p w14:paraId="79643ECE" w14:textId="77777777" w:rsidR="000F7BBE" w:rsidRPr="000F7BBE" w:rsidRDefault="000F7BBE" w:rsidP="00EE6ACF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5D88DF71" w14:textId="77777777" w:rsidTr="00153E23">
        <w:tc>
          <w:tcPr>
            <w:tcW w:w="5000" w:type="pct"/>
            <w:gridSpan w:val="3"/>
            <w:shd w:val="clear" w:color="auto" w:fill="auto"/>
          </w:tcPr>
          <w:p w14:paraId="0E513C74" w14:textId="77777777" w:rsidR="000F7BBE" w:rsidRPr="000F7BBE" w:rsidRDefault="000F7BBE" w:rsidP="00EE6ACF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3E9347F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6F0DFD2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1C75919" w14:textId="7FCAC451" w:rsidR="000F7BBE" w:rsidRPr="000F7BBE" w:rsidRDefault="000F7BBE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4C780E">
              <w:rPr>
                <w:b/>
                <w:bCs/>
                <w:position w:val="2"/>
                <w:lang w:bidi="ar-EG"/>
              </w:rPr>
              <w:t>1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r w:rsidR="001A12AE">
              <w:rPr>
                <w:rFonts w:hint="cs"/>
                <w:b/>
                <w:bCs/>
                <w:position w:val="2"/>
                <w:rtl/>
                <w:lang w:bidi="ar-EG"/>
              </w:rPr>
              <w:t>(إدارة الطيف)</w:t>
            </w:r>
          </w:p>
          <w:p w14:paraId="2262ACFE" w14:textId="16D0C4D9" w:rsidR="004C780E" w:rsidRPr="004C780E" w:rsidRDefault="004C780E" w:rsidP="00E15113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bidi="ar-EG"/>
              </w:rPr>
            </w:pPr>
            <w:r w:rsidRPr="00215AF9">
              <w:rPr>
                <w:rFonts w:hint="cs"/>
                <w:b/>
                <w:bCs/>
                <w:rtl/>
                <w:lang w:bidi="ar-EG"/>
              </w:rPr>
              <w:t>-</w:t>
            </w:r>
            <w:r w:rsidRPr="00215AF9">
              <w:rPr>
                <w:b/>
                <w:bCs/>
                <w:rtl/>
                <w:lang w:bidi="ar-EG"/>
              </w:rPr>
              <w:tab/>
            </w:r>
            <w:r w:rsidRPr="00215AF9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215AF9">
              <w:rPr>
                <w:b/>
                <w:bCs/>
                <w:rtl/>
                <w:lang w:bidi="ar-EG"/>
              </w:rPr>
              <w:t>اعتماد</w:t>
            </w:r>
            <w:r w:rsidRPr="00215AF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A12AE" w:rsidRPr="00215AF9">
              <w:rPr>
                <w:rFonts w:hint="cs"/>
                <w:b/>
                <w:bCs/>
                <w:rtl/>
                <w:lang w:bidi="ar-EG"/>
              </w:rPr>
              <w:t>مشروعي توصيتين جديدتين</w:t>
            </w:r>
            <w:r w:rsidRPr="00215AF9">
              <w:rPr>
                <w:rFonts w:hint="cs"/>
                <w:b/>
                <w:bCs/>
                <w:rtl/>
              </w:rPr>
              <w:t xml:space="preserve"> ومشروع مراجعة توصية لقطاع الاتصالات الراديوية</w:t>
            </w:r>
            <w:r w:rsidRPr="00215AF9">
              <w:rPr>
                <w:b/>
                <w:bCs/>
                <w:rtl/>
                <w:lang w:bidi="ar-EG"/>
              </w:rPr>
              <w:t xml:space="preserve"> والموافقة عليها في</w:t>
            </w:r>
            <w:r w:rsidRPr="00215AF9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215AF9">
              <w:rPr>
                <w:b/>
                <w:bCs/>
                <w:rtl/>
                <w:lang w:bidi="ar-EG"/>
              </w:rPr>
              <w:t>نفس الوقت</w:t>
            </w:r>
            <w:r w:rsidRPr="00215AF9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Pr="00215AF9">
              <w:rPr>
                <w:b/>
                <w:bCs/>
                <w:rtl/>
                <w:lang w:bidi="ar-EG"/>
              </w:rPr>
              <w:t xml:space="preserve"> وفقاً للفقرة</w:t>
            </w:r>
            <w:r w:rsidRPr="00215AF9">
              <w:rPr>
                <w:rFonts w:hint="cs"/>
                <w:b/>
                <w:bCs/>
                <w:rtl/>
                <w:lang w:bidi="ar-EG"/>
              </w:rPr>
              <w:t> </w:t>
            </w:r>
            <w:r w:rsidRPr="00215AF9">
              <w:rPr>
                <w:b/>
                <w:bCs/>
                <w:lang w:val="fr-FR" w:bidi="ar-SY"/>
              </w:rPr>
              <w:t>4.2.6.A2</w:t>
            </w:r>
            <w:r w:rsidRPr="00215AF9">
              <w:rPr>
                <w:b/>
                <w:bCs/>
                <w:rtl/>
                <w:lang w:bidi="ar-EG"/>
              </w:rPr>
              <w:t xml:space="preserve"> من القرار </w:t>
            </w:r>
            <w:r w:rsidRPr="00215AF9">
              <w:rPr>
                <w:b/>
                <w:bCs/>
                <w:lang w:val="fr-FR" w:bidi="ar-SY"/>
              </w:rPr>
              <w:t>ITU-R 1-8</w:t>
            </w:r>
            <w:r w:rsidRPr="00215AF9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215AF9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215AF9">
              <w:rPr>
                <w:b/>
                <w:bCs/>
                <w:rtl/>
                <w:lang w:bidi="ar-EG"/>
              </w:rPr>
              <w:t xml:space="preserve">نفس الوقت </w:t>
            </w:r>
            <w:r w:rsidRPr="00215AF9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215AF9">
              <w:rPr>
                <w:b/>
                <w:bCs/>
                <w:rtl/>
                <w:lang w:bidi="ar-EG"/>
              </w:rPr>
              <w:t>)</w:t>
            </w:r>
          </w:p>
        </w:tc>
      </w:tr>
    </w:tbl>
    <w:p w14:paraId="729F9400" w14:textId="77777777" w:rsidR="004C780E" w:rsidRPr="00FA56BA" w:rsidRDefault="004C780E" w:rsidP="009F6AF9">
      <w:pPr>
        <w:spacing w:before="360"/>
        <w:rPr>
          <w:rtl/>
          <w:lang w:bidi="ar-EG"/>
        </w:rPr>
      </w:pPr>
      <w:r w:rsidRPr="00FA56BA">
        <w:rPr>
          <w:rFonts w:hint="cs"/>
          <w:rtl/>
          <w:lang w:bidi="ar-EG"/>
        </w:rPr>
        <w:t>تحية طيبة وبعد،</w:t>
      </w:r>
    </w:p>
    <w:p w14:paraId="6EFDAA20" w14:textId="2B05882F" w:rsidR="004C780E" w:rsidRDefault="004C780E" w:rsidP="004C780E">
      <w:pPr>
        <w:rPr>
          <w:rtl/>
          <w:lang w:bidi="ar-EG"/>
        </w:rPr>
      </w:pPr>
      <w:r w:rsidRPr="00E071D0">
        <w:rPr>
          <w:rtl/>
          <w:lang w:bidi="ar-EG"/>
        </w:rPr>
        <w:t>قررت لجنة الدراسات</w:t>
      </w:r>
      <w:r w:rsidRPr="00E071D0">
        <w:rPr>
          <w:rFonts w:hint="cs"/>
          <w:rtl/>
          <w:lang w:bidi="ar-EG"/>
        </w:rPr>
        <w:t> </w:t>
      </w:r>
      <w:r>
        <w:rPr>
          <w:lang w:val="en-GB" w:bidi="ar-EG"/>
        </w:rPr>
        <w:t>1</w:t>
      </w:r>
      <w:r w:rsidRPr="00E071D0">
        <w:rPr>
          <w:rtl/>
          <w:lang w:bidi="ar-EG"/>
        </w:rPr>
        <w:t xml:space="preserve"> للاتصالات الراديوية في اجتماعها المنعقد </w:t>
      </w:r>
      <w:r w:rsidRPr="00E071D0">
        <w:rPr>
          <w:rFonts w:hint="cs"/>
          <w:rtl/>
          <w:lang w:bidi="ar-EG"/>
        </w:rPr>
        <w:t xml:space="preserve">في </w:t>
      </w:r>
      <w:r w:rsidRPr="004C780E">
        <w:rPr>
          <w:lang w:bidi="ar-EG"/>
        </w:rPr>
        <w:t>3</w:t>
      </w:r>
      <w:r w:rsidRPr="004C780E">
        <w:rPr>
          <w:rFonts w:hint="cs"/>
          <w:rtl/>
          <w:lang w:bidi="ar-EG"/>
        </w:rPr>
        <w:t xml:space="preserve"> يونيو </w:t>
      </w:r>
      <w:r w:rsidRPr="004C780E"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 w:rsidRPr="00E071D0">
        <w:rPr>
          <w:rtl/>
          <w:lang w:bidi="ar-EG"/>
        </w:rPr>
        <w:t xml:space="preserve">أن تلتمس اعتماد </w:t>
      </w:r>
      <w:r w:rsidR="00E15113">
        <w:rPr>
          <w:rFonts w:hint="cs"/>
          <w:rtl/>
          <w:lang w:bidi="ar-EG"/>
        </w:rPr>
        <w:t>مشروعي توصيتين جديدتين</w:t>
      </w:r>
      <w:r w:rsidRPr="008D3F8E">
        <w:rPr>
          <w:rFonts w:hint="cs"/>
          <w:rtl/>
          <w:lang w:bidi="ar-EG"/>
        </w:rPr>
        <w:t xml:space="preserve"> ومشروع مراج</w:t>
      </w:r>
      <w:r>
        <w:rPr>
          <w:rFonts w:hint="cs"/>
          <w:rtl/>
          <w:lang w:bidi="ar-EG"/>
        </w:rPr>
        <w:t>َ</w:t>
      </w:r>
      <w:r w:rsidRPr="008D3F8E">
        <w:rPr>
          <w:rFonts w:hint="cs"/>
          <w:rtl/>
          <w:lang w:bidi="ar-EG"/>
        </w:rPr>
        <w:t xml:space="preserve">عة توصية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8D3F8E">
        <w:rPr>
          <w:rFonts w:hint="cs"/>
          <w:rtl/>
          <w:lang w:bidi="ar-EG"/>
        </w:rPr>
        <w:t>عن طريق المراسلة (الفقرة</w:t>
      </w:r>
      <w:r w:rsidRPr="008D3F8E">
        <w:rPr>
          <w:rFonts w:hint="eastAsia"/>
          <w:rtl/>
          <w:lang w:bidi="ar-EG"/>
        </w:rPr>
        <w:t> </w:t>
      </w:r>
      <w:r>
        <w:t>2.6.A2</w:t>
      </w:r>
      <w:r w:rsidRPr="008D3F8E">
        <w:rPr>
          <w:rFonts w:hint="cs"/>
          <w:rtl/>
          <w:lang w:bidi="ar-EG"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>
        <w:t>8</w:t>
      </w:r>
      <w:r w:rsidRPr="008D3F8E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8D3F8E">
        <w:rPr>
          <w:rFonts w:hint="eastAsia"/>
          <w:rtl/>
          <w:lang w:bidi="ar-EG"/>
        </w:rPr>
        <w:t> </w:t>
      </w:r>
      <w:r w:rsidRPr="008D3F8E">
        <w:t>(PSAA)</w:t>
      </w:r>
      <w:r w:rsidRPr="008D3F8E">
        <w:rPr>
          <w:rFonts w:hint="cs"/>
          <w:rtl/>
          <w:lang w:bidi="ar-EG"/>
        </w:rPr>
        <w:t xml:space="preserve"> (الفقرة </w:t>
      </w:r>
      <w:r>
        <w:t>4.2.6.A2</w:t>
      </w:r>
      <w:r w:rsidRPr="008D3F8E">
        <w:rPr>
          <w:rFonts w:hint="cs"/>
          <w:rtl/>
          <w:lang w:bidi="ar-EG"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>
        <w:t>8</w:t>
      </w:r>
      <w:r w:rsidRPr="008D3F8E">
        <w:rPr>
          <w:rFonts w:hint="cs"/>
          <w:rtl/>
          <w:lang w:bidi="ar-EG"/>
        </w:rPr>
        <w:t xml:space="preserve">). ويرد في </w:t>
      </w:r>
      <w:r w:rsidRPr="00E23BE1">
        <w:rPr>
          <w:rFonts w:hint="cs"/>
          <w:rtl/>
        </w:rPr>
        <w:t>الملحق بهذه الرسالة</w:t>
      </w:r>
      <w:r w:rsidRPr="008D3F8E">
        <w:rPr>
          <w:rFonts w:hint="cs"/>
          <w:rtl/>
          <w:lang w:bidi="ar-EG"/>
        </w:rPr>
        <w:t xml:space="preserve"> </w:t>
      </w:r>
      <w:r w:rsidR="00612E1D">
        <w:rPr>
          <w:rFonts w:hint="cs"/>
          <w:rtl/>
          <w:lang w:bidi="ar-EG"/>
        </w:rPr>
        <w:t>عناوين وملخصات</w:t>
      </w:r>
      <w:r w:rsidRPr="008D3F8E">
        <w:rPr>
          <w:rFonts w:hint="cs"/>
          <w:rtl/>
          <w:lang w:bidi="ar-EG"/>
        </w:rPr>
        <w:t xml:space="preserve"> </w:t>
      </w:r>
      <w:r w:rsidR="00E15113">
        <w:rPr>
          <w:rFonts w:hint="cs"/>
          <w:rtl/>
          <w:lang w:bidi="ar-EG"/>
        </w:rPr>
        <w:t>مشاريع التوصيات</w:t>
      </w:r>
      <w:r w:rsidR="00E23BE1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>ويرجى من أي دولة عضو تعترض على اعتماد مشروع توصية أن تخبر المدير ورئيس لجنة الدراسات بأسباب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اعتراضها.</w:t>
      </w:r>
    </w:p>
    <w:p w14:paraId="17DEEAE4" w14:textId="60D968E2" w:rsidR="00E23BE1" w:rsidRDefault="00E23BE1" w:rsidP="00E23BE1">
      <w:pPr>
        <w:rPr>
          <w:spacing w:val="2"/>
          <w:rtl/>
          <w:lang w:bidi="ar-EG"/>
        </w:rPr>
      </w:pPr>
      <w:r w:rsidRPr="002841F3">
        <w:rPr>
          <w:spacing w:val="2"/>
          <w:rtl/>
          <w:lang w:bidi="ar-EG"/>
        </w:rPr>
        <w:t xml:space="preserve">وتمتد فترة النظر </w:t>
      </w:r>
      <w:r w:rsidRPr="002841F3">
        <w:rPr>
          <w:rFonts w:hint="cs"/>
          <w:spacing w:val="2"/>
          <w:rtl/>
          <w:lang w:bidi="ar-EG"/>
        </w:rPr>
        <w:t xml:space="preserve">لمدة شهرين </w:t>
      </w:r>
      <w:r w:rsidRPr="002841F3">
        <w:rPr>
          <w:spacing w:val="2"/>
          <w:rtl/>
          <w:lang w:bidi="ar-EG"/>
        </w:rPr>
        <w:t xml:space="preserve">تنتهي </w:t>
      </w:r>
      <w:r w:rsidRPr="00E23BE1">
        <w:rPr>
          <w:spacing w:val="2"/>
          <w:rtl/>
          <w:lang w:bidi="ar-EG"/>
        </w:rPr>
        <w:t>في</w:t>
      </w:r>
      <w:r w:rsidRPr="00E23BE1">
        <w:rPr>
          <w:rFonts w:hint="cs"/>
          <w:spacing w:val="2"/>
          <w:rtl/>
          <w:lang w:bidi="ar-EG"/>
        </w:rPr>
        <w:t xml:space="preserve"> </w:t>
      </w:r>
      <w:r w:rsidRPr="00E23BE1">
        <w:rPr>
          <w:spacing w:val="2"/>
          <w:u w:val="single"/>
          <w:lang w:bidi="ar-EG"/>
        </w:rPr>
        <w:t>11</w:t>
      </w:r>
      <w:r w:rsidRPr="00E23BE1">
        <w:rPr>
          <w:rFonts w:hint="cs"/>
          <w:spacing w:val="2"/>
          <w:u w:val="single"/>
          <w:rtl/>
          <w:lang w:bidi="ar-EG"/>
        </w:rPr>
        <w:t xml:space="preserve"> أغسطس </w:t>
      </w:r>
      <w:r w:rsidRPr="00E23BE1">
        <w:rPr>
          <w:spacing w:val="2"/>
          <w:u w:val="single"/>
        </w:rPr>
        <w:t>2021</w:t>
      </w:r>
      <w:r w:rsidRPr="00E23BE1">
        <w:rPr>
          <w:spacing w:val="2"/>
          <w:rtl/>
          <w:lang w:bidi="ar-EG"/>
        </w:rPr>
        <w:t>.</w:t>
      </w:r>
      <w:r w:rsidRPr="002841F3">
        <w:rPr>
          <w:spacing w:val="2"/>
          <w:rtl/>
          <w:lang w:bidi="ar-EG"/>
        </w:rPr>
        <w:t xml:space="preserve"> وإذا لم ترد أي اعتراضات من الدول الأعضاء خلال هذه الفترة فإن</w:t>
      </w:r>
      <w:r>
        <w:rPr>
          <w:rFonts w:hint="cs"/>
          <w:spacing w:val="2"/>
          <w:rtl/>
          <w:lang w:bidi="ar-EG"/>
        </w:rPr>
        <w:t> </w:t>
      </w:r>
      <w:r w:rsidR="009C4F5A">
        <w:rPr>
          <w:rFonts w:hint="cs"/>
          <w:spacing w:val="2"/>
          <w:rtl/>
          <w:lang w:bidi="ar-EG"/>
        </w:rPr>
        <w:t>مشاريع التوصيات</w:t>
      </w:r>
      <w:r w:rsidRPr="002841F3">
        <w:rPr>
          <w:rFonts w:hint="cs"/>
          <w:spacing w:val="2"/>
          <w:rtl/>
          <w:lang w:bidi="ar-EG"/>
        </w:rPr>
        <w:t xml:space="preserve"> </w:t>
      </w:r>
      <w:r w:rsidR="009C4F5A">
        <w:rPr>
          <w:rFonts w:hint="cs"/>
          <w:spacing w:val="2"/>
          <w:rtl/>
          <w:lang w:bidi="ar-EG"/>
        </w:rPr>
        <w:t>ت</w:t>
      </w:r>
      <w:r w:rsidRPr="002841F3">
        <w:rPr>
          <w:rFonts w:hint="cs"/>
          <w:spacing w:val="2"/>
          <w:rtl/>
          <w:lang w:bidi="ar-EG"/>
        </w:rPr>
        <w:t>عتبر قد اعتمدته</w:t>
      </w:r>
      <w:r w:rsidR="009C4F5A">
        <w:rPr>
          <w:rFonts w:hint="cs"/>
          <w:spacing w:val="2"/>
          <w:rtl/>
          <w:lang w:bidi="ar-EG"/>
        </w:rPr>
        <w:t>ا</w:t>
      </w:r>
      <w:r w:rsidRPr="002841F3">
        <w:rPr>
          <w:rFonts w:hint="cs"/>
          <w:spacing w:val="2"/>
          <w:rtl/>
          <w:lang w:bidi="ar-EG"/>
        </w:rPr>
        <w:t xml:space="preserve"> </w:t>
      </w:r>
      <w:r w:rsidRPr="002841F3">
        <w:rPr>
          <w:spacing w:val="2"/>
          <w:rtl/>
          <w:lang w:bidi="ar-EG"/>
        </w:rPr>
        <w:t>لجنة الدراسات</w:t>
      </w:r>
      <w:r w:rsidRPr="002841F3">
        <w:rPr>
          <w:rFonts w:hint="eastAsia"/>
          <w:spacing w:val="2"/>
          <w:rtl/>
          <w:lang w:bidi="ar-EG"/>
        </w:rPr>
        <w:t> </w:t>
      </w:r>
      <w:r>
        <w:rPr>
          <w:spacing w:val="2"/>
        </w:rPr>
        <w:t>1</w:t>
      </w:r>
      <w:r w:rsidRPr="002841F3">
        <w:rPr>
          <w:spacing w:val="2"/>
          <w:rtl/>
          <w:lang w:bidi="ar-EG"/>
        </w:rPr>
        <w:t xml:space="preserve">. </w:t>
      </w:r>
      <w:r w:rsidRPr="002841F3">
        <w:rPr>
          <w:rFonts w:hint="cs"/>
          <w:spacing w:val="2"/>
          <w:rtl/>
          <w:lang w:bidi="ar-EG"/>
        </w:rPr>
        <w:t>وعلاوة</w:t>
      </w:r>
      <w:r>
        <w:rPr>
          <w:rFonts w:hint="cs"/>
          <w:spacing w:val="2"/>
          <w:rtl/>
          <w:lang w:bidi="ar-EG"/>
        </w:rPr>
        <w:t>ً</w:t>
      </w:r>
      <w:r w:rsidRPr="002841F3">
        <w:rPr>
          <w:rFonts w:hint="cs"/>
          <w:spacing w:val="2"/>
          <w:rtl/>
          <w:lang w:bidi="ar-EG"/>
        </w:rPr>
        <w:t xml:space="preserve"> على</w:t>
      </w:r>
      <w:r w:rsidRPr="002841F3">
        <w:rPr>
          <w:spacing w:val="2"/>
          <w:rtl/>
          <w:lang w:bidi="ar-EG"/>
        </w:rPr>
        <w:t xml:space="preserve"> ذلك، ولما</w:t>
      </w:r>
      <w:r>
        <w:rPr>
          <w:spacing w:val="2"/>
          <w:lang w:bidi="ar-EG"/>
        </w:rPr>
        <w:t> </w:t>
      </w:r>
      <w:r w:rsidRPr="002841F3">
        <w:rPr>
          <w:spacing w:val="2"/>
          <w:rtl/>
          <w:lang w:bidi="ar-EG"/>
        </w:rPr>
        <w:t>كان قد</w:t>
      </w:r>
      <w:r>
        <w:rPr>
          <w:rFonts w:hint="cs"/>
          <w:spacing w:val="2"/>
          <w:rtl/>
          <w:lang w:bidi="ar-EG"/>
        </w:rPr>
        <w:t> </w:t>
      </w:r>
      <w:r w:rsidRPr="002841F3">
        <w:rPr>
          <w:spacing w:val="2"/>
          <w:rtl/>
          <w:lang w:bidi="ar-EG"/>
        </w:rPr>
        <w:t>تم اتباع إجراء الاعتماد والموافقة في</w:t>
      </w:r>
      <w:r w:rsidRPr="002841F3">
        <w:rPr>
          <w:rFonts w:hint="cs"/>
          <w:spacing w:val="2"/>
          <w:rtl/>
          <w:lang w:bidi="ar-EG"/>
        </w:rPr>
        <w:t> </w:t>
      </w:r>
      <w:r w:rsidRPr="002841F3">
        <w:rPr>
          <w:spacing w:val="2"/>
          <w:rtl/>
          <w:lang w:bidi="ar-EG"/>
        </w:rPr>
        <w:t xml:space="preserve">نفس الوقت عن طريق المراسلة، فإن </w:t>
      </w:r>
      <w:r w:rsidR="00732413">
        <w:rPr>
          <w:rFonts w:hint="cs"/>
          <w:spacing w:val="2"/>
          <w:rtl/>
          <w:lang w:bidi="ar-EG"/>
        </w:rPr>
        <w:t>مشاريع التوصيات</w:t>
      </w:r>
      <w:r w:rsidRPr="002841F3">
        <w:rPr>
          <w:rFonts w:hint="cs"/>
          <w:spacing w:val="2"/>
          <w:rtl/>
          <w:lang w:bidi="ar-EG"/>
        </w:rPr>
        <w:t xml:space="preserve"> س</w:t>
      </w:r>
      <w:r w:rsidR="00732413">
        <w:rPr>
          <w:rFonts w:hint="cs"/>
          <w:spacing w:val="2"/>
          <w:rtl/>
          <w:lang w:bidi="ar-EG"/>
        </w:rPr>
        <w:t>ت</w:t>
      </w:r>
      <w:r w:rsidRPr="002841F3">
        <w:rPr>
          <w:rFonts w:hint="cs"/>
          <w:spacing w:val="2"/>
          <w:rtl/>
          <w:lang w:bidi="ar-EG"/>
        </w:rPr>
        <w:t>عتبر</w:t>
      </w:r>
      <w:r w:rsidRPr="002841F3">
        <w:rPr>
          <w:spacing w:val="2"/>
          <w:rtl/>
          <w:lang w:bidi="ar-EG"/>
        </w:rPr>
        <w:t xml:space="preserve"> أيضاً بحكم المواف</w:t>
      </w:r>
      <w:r>
        <w:rPr>
          <w:rFonts w:hint="cs"/>
          <w:spacing w:val="2"/>
          <w:rtl/>
          <w:lang w:bidi="ar-EG"/>
        </w:rPr>
        <w:t>َ</w:t>
      </w:r>
      <w:r w:rsidRPr="002841F3">
        <w:rPr>
          <w:spacing w:val="2"/>
          <w:rtl/>
          <w:lang w:bidi="ar-EG"/>
        </w:rPr>
        <w:t>ق عليه</w:t>
      </w:r>
      <w:r w:rsidR="00732413">
        <w:rPr>
          <w:rFonts w:hint="cs"/>
          <w:spacing w:val="2"/>
          <w:rtl/>
          <w:lang w:bidi="ar-EG"/>
        </w:rPr>
        <w:t>ا</w:t>
      </w:r>
      <w:r>
        <w:rPr>
          <w:rFonts w:hint="cs"/>
          <w:spacing w:val="2"/>
          <w:rtl/>
          <w:lang w:bidi="ar-EG"/>
        </w:rPr>
        <w:t>.</w:t>
      </w:r>
    </w:p>
    <w:p w14:paraId="03088D38" w14:textId="7BBBD37B" w:rsidR="00E23BE1" w:rsidRDefault="00E23BE1" w:rsidP="00E23BE1">
      <w:pPr>
        <w:rPr>
          <w:rtl/>
        </w:rPr>
      </w:pPr>
      <w:r w:rsidRPr="008D3F8E">
        <w:rPr>
          <w:rtl/>
          <w:lang w:bidi="ar-EG"/>
        </w:rPr>
        <w:t>وبعد المهلة المحددة أعلاه</w:t>
      </w:r>
      <w:r w:rsidRPr="008D3F8E">
        <w:rPr>
          <w:rFonts w:hint="cs"/>
          <w:rtl/>
          <w:lang w:bidi="ar-EG"/>
        </w:rPr>
        <w:t>،</w:t>
      </w:r>
      <w:r w:rsidRPr="008D3F8E">
        <w:rPr>
          <w:rtl/>
          <w:lang w:bidi="ar-EG"/>
        </w:rPr>
        <w:t xml:space="preserve"> 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 xml:space="preserve">علن نتائج </w:t>
      </w:r>
      <w:r>
        <w:rPr>
          <w:rFonts w:hint="cs"/>
          <w:rtl/>
          <w:lang w:bidi="ar-EG"/>
        </w:rPr>
        <w:t>الإجراءات المذكورة أعلاه</w:t>
      </w:r>
      <w:r w:rsidRPr="008D3F8E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8D3F8E">
        <w:rPr>
          <w:rtl/>
          <w:lang w:bidi="ar-EG"/>
        </w:rPr>
        <w:t xml:space="preserve"> إدارية</w:t>
      </w:r>
      <w:r w:rsidRPr="008D3F8E">
        <w:rPr>
          <w:rFonts w:hint="cs"/>
          <w:rtl/>
          <w:lang w:bidi="ar-EG"/>
        </w:rPr>
        <w:t xml:space="preserve"> معممة</w:t>
      </w:r>
      <w:r w:rsidRPr="008D3F8E">
        <w:rPr>
          <w:rtl/>
          <w:lang w:bidi="ar-EG"/>
        </w:rPr>
        <w:t xml:space="preserve"> وست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>نشر</w:t>
      </w:r>
      <w:r>
        <w:rPr>
          <w:rFonts w:hint="cs"/>
          <w:rtl/>
          <w:lang w:bidi="ar-EG"/>
        </w:rPr>
        <w:t xml:space="preserve"> </w:t>
      </w:r>
      <w:r w:rsidR="00C5340A">
        <w:rPr>
          <w:rFonts w:hint="cs"/>
          <w:rtl/>
          <w:lang w:bidi="ar-EG"/>
        </w:rPr>
        <w:t>التوصيات</w:t>
      </w:r>
      <w:r w:rsidRPr="008D3F8E">
        <w:rPr>
          <w:rtl/>
          <w:lang w:bidi="ar-EG"/>
        </w:rPr>
        <w:t xml:space="preserve"> ال</w:t>
      </w:r>
      <w:r>
        <w:rPr>
          <w:rtl/>
          <w:lang w:bidi="ar-EG"/>
        </w:rPr>
        <w:t>مواف</w:t>
      </w:r>
      <w:r>
        <w:rPr>
          <w:rFonts w:hint="cs"/>
          <w:rtl/>
          <w:lang w:bidi="ar-EG"/>
        </w:rPr>
        <w:t>َق</w:t>
      </w:r>
      <w:r w:rsidRPr="008D3F8E">
        <w:rPr>
          <w:rtl/>
          <w:lang w:bidi="ar-EG"/>
        </w:rPr>
        <w:t xml:space="preserve"> عليها في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أقرب وقت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ممكن</w:t>
      </w:r>
      <w:r w:rsidRPr="008D3F8E">
        <w:rPr>
          <w:rFonts w:hint="cs"/>
          <w:rtl/>
          <w:lang w:bidi="ar-EG"/>
        </w:rPr>
        <w:t xml:space="preserve"> (انظر</w:t>
      </w:r>
      <w:r>
        <w:rPr>
          <w:rFonts w:hint="cs"/>
          <w:rtl/>
          <w:lang w:bidi="ar-EG"/>
        </w:rPr>
        <w:t xml:space="preserve"> </w:t>
      </w:r>
      <w:hyperlink r:id="rId8" w:history="1">
        <w:r w:rsidRPr="00E45690">
          <w:rPr>
            <w:rStyle w:val="Hyperlink"/>
            <w:lang w:bidi="ar-EG"/>
          </w:rPr>
          <w:t>http://www.itu.int/pub/R-REC</w:t>
        </w:r>
      </w:hyperlink>
      <w:r w:rsidRPr="008D3F8E">
        <w:rPr>
          <w:rFonts w:hint="cs"/>
          <w:rtl/>
          <w:lang w:bidi="ar-EG"/>
        </w:rPr>
        <w:t>).</w:t>
      </w:r>
    </w:p>
    <w:p w14:paraId="1AF62615" w14:textId="4C6018D1" w:rsidR="00E23BE1" w:rsidRDefault="00E23BE1" w:rsidP="008969CF">
      <w:pPr>
        <w:rPr>
          <w:spacing w:val="-4"/>
          <w:rtl/>
          <w:lang w:bidi="ar-EG"/>
        </w:rPr>
      </w:pPr>
      <w:r w:rsidRPr="00750709">
        <w:rPr>
          <w:spacing w:val="-4"/>
          <w:rtl/>
          <w:lang w:bidi="ar-EG"/>
        </w:rPr>
        <w:t>ويرجى من أي منظمة عضو في الاتحاد تعلم بوجود براءة اختراع لديها أو لدى غيرها تغطي كلياً أو جزئياً عناصر</w:t>
      </w:r>
      <w:r w:rsidRPr="00750709">
        <w:rPr>
          <w:rFonts w:hint="cs"/>
          <w:spacing w:val="-4"/>
          <w:rtl/>
          <w:lang w:bidi="ar-EG"/>
        </w:rPr>
        <w:t xml:space="preserve"> من </w:t>
      </w:r>
      <w:r w:rsidR="00016F3E">
        <w:rPr>
          <w:rFonts w:hint="cs"/>
          <w:spacing w:val="-4"/>
          <w:rtl/>
          <w:lang w:bidi="ar-EG"/>
        </w:rPr>
        <w:t>مشاريع التوصيات</w:t>
      </w:r>
      <w:r w:rsidRPr="00750709">
        <w:rPr>
          <w:rFonts w:hint="cs"/>
          <w:spacing w:val="-4"/>
          <w:rtl/>
          <w:lang w:bidi="ar-EG"/>
        </w:rPr>
        <w:t xml:space="preserve"> </w:t>
      </w:r>
      <w:r w:rsidRPr="00750709">
        <w:rPr>
          <w:spacing w:val="-4"/>
          <w:rtl/>
          <w:lang w:bidi="ar-EG"/>
        </w:rPr>
        <w:t>المذكورة في هذه الرسالة أن تبلغ الأمانة بهذه المعلومات بأسرع ما يمكن. ويمكن الاطلاع على السياسة المشتركة للبراءات</w:t>
      </w:r>
      <w:r w:rsidRPr="00750709">
        <w:rPr>
          <w:rFonts w:hint="cs"/>
          <w:spacing w:val="-4"/>
          <w:rtl/>
          <w:lang w:bidi="ar-EG"/>
        </w:rPr>
        <w:t> </w:t>
      </w:r>
      <w:r w:rsidRPr="00750709">
        <w:rPr>
          <w:spacing w:val="-4"/>
        </w:rPr>
        <w:t>"ITU</w:t>
      </w:r>
      <w:r w:rsidRPr="00750709">
        <w:rPr>
          <w:spacing w:val="-4"/>
        </w:rPr>
        <w:noBreakHyphen/>
        <w:t>T/ITU</w:t>
      </w:r>
      <w:r w:rsidRPr="00750709">
        <w:rPr>
          <w:spacing w:val="-4"/>
        </w:rPr>
        <w:noBreakHyphen/>
        <w:t>R/ISO/IEC"</w:t>
      </w:r>
      <w:r w:rsidRPr="00750709">
        <w:rPr>
          <w:spacing w:val="-4"/>
          <w:rtl/>
          <w:lang w:bidi="ar-EG"/>
        </w:rPr>
        <w:t xml:space="preserve"> في الموقع الإلكتروني</w:t>
      </w:r>
      <w:r w:rsidRPr="00750709">
        <w:rPr>
          <w:rFonts w:hint="cs"/>
          <w:spacing w:val="-4"/>
          <w:rtl/>
          <w:lang w:bidi="ar-EG"/>
        </w:rPr>
        <w:t xml:space="preserve">: </w:t>
      </w:r>
      <w:hyperlink r:id="rId9" w:history="1">
        <w:r w:rsidRPr="00750709">
          <w:rPr>
            <w:rStyle w:val="Hyperlink"/>
            <w:spacing w:val="-4"/>
            <w:lang w:bidi="ar-EG"/>
          </w:rPr>
          <w:t>http://www.itu.int/en/ITU-T/ipr/Pages/policy.aspx</w:t>
        </w:r>
      </w:hyperlink>
      <w:r w:rsidRPr="00750709">
        <w:rPr>
          <w:spacing w:val="-4"/>
          <w:rtl/>
          <w:lang w:bidi="ar-EG"/>
        </w:rPr>
        <w:t>.</w:t>
      </w:r>
    </w:p>
    <w:p w14:paraId="1EEFB977" w14:textId="7E7D873D" w:rsidR="00F16820" w:rsidRPr="00F16820" w:rsidRDefault="00F16820" w:rsidP="00F16820">
      <w:pPr>
        <w:spacing w:before="240"/>
        <w:rPr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6DAAD2FC" w14:textId="77777777" w:rsidR="00F16820" w:rsidRPr="00F16820" w:rsidRDefault="00F16820" w:rsidP="009F6AF9">
      <w:pPr>
        <w:spacing w:before="60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D3AFC4F" w14:textId="7D96E94C" w:rsidR="00571845" w:rsidRDefault="00F16820" w:rsidP="009F6AF9">
      <w:pPr>
        <w:jc w:val="left"/>
        <w:rPr>
          <w:rtl/>
          <w:lang w:bidi="ar-EG"/>
        </w:rPr>
      </w:pPr>
      <w:r w:rsidRPr="00F16820">
        <w:rPr>
          <w:b/>
          <w:bCs/>
          <w:rtl/>
          <w:lang w:bidi="ar-EG"/>
        </w:rPr>
        <w:t>الملحق</w:t>
      </w:r>
      <w:r w:rsidR="00571845">
        <w:rPr>
          <w:b/>
          <w:bCs/>
          <w:lang w:bidi="ar-EG"/>
        </w:rPr>
        <w:t>:</w:t>
      </w:r>
      <w:r w:rsidR="00571845" w:rsidRPr="00571845">
        <w:rPr>
          <w:rFonts w:hint="cs"/>
          <w:rtl/>
          <w:lang w:bidi="ar-EG"/>
        </w:rPr>
        <w:t xml:space="preserve"> </w:t>
      </w:r>
      <w:r w:rsidR="00571845" w:rsidRPr="008D3F8E">
        <w:rPr>
          <w:rFonts w:hint="cs"/>
          <w:rtl/>
          <w:lang w:bidi="ar-EG"/>
        </w:rPr>
        <w:tab/>
      </w:r>
      <w:r w:rsidR="00B52A4D">
        <w:rPr>
          <w:rFonts w:hint="cs"/>
          <w:rtl/>
          <w:lang w:bidi="ar-EG"/>
        </w:rPr>
        <w:t>عناوين وملخصات مشاريع توصيات قطاع الاتصالات الراديوية</w:t>
      </w:r>
      <w:r w:rsidR="00571845">
        <w:rPr>
          <w:rFonts w:hint="cs"/>
          <w:rtl/>
          <w:lang w:bidi="ar-EG"/>
        </w:rPr>
        <w:t>.</w:t>
      </w:r>
    </w:p>
    <w:p w14:paraId="0E33A302" w14:textId="60353EAE" w:rsidR="00571845" w:rsidRDefault="004E1278" w:rsidP="009F6AF9">
      <w:pPr>
        <w:jc w:val="left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الوثائق</w:t>
      </w:r>
      <w:r w:rsidR="00571845" w:rsidRPr="008D3F8E">
        <w:rPr>
          <w:b/>
          <w:bCs/>
          <w:rtl/>
          <w:lang w:bidi="ar-EG"/>
        </w:rPr>
        <w:t>:</w:t>
      </w:r>
      <w:r w:rsidR="00571845" w:rsidRPr="008D3F8E">
        <w:rPr>
          <w:rFonts w:hint="cs"/>
          <w:rtl/>
          <w:lang w:bidi="ar-EG"/>
        </w:rPr>
        <w:tab/>
      </w:r>
      <w:r w:rsidR="00307EE5">
        <w:rPr>
          <w:rFonts w:hint="cs"/>
          <w:rtl/>
          <w:lang w:bidi="ar-EG"/>
        </w:rPr>
        <w:t>الوثائق</w:t>
      </w:r>
      <w:r w:rsidR="00FF6033">
        <w:rPr>
          <w:rFonts w:hint="cs"/>
          <w:rtl/>
          <w:lang w:bidi="ar-EG"/>
        </w:rPr>
        <w:t xml:space="preserve"> </w:t>
      </w:r>
      <w:r w:rsidR="00571845">
        <w:t>1/5</w:t>
      </w:r>
      <w:r w:rsidR="00FF6033">
        <w:t>3</w:t>
      </w:r>
      <w:r w:rsidR="00571845">
        <w:t>(Rev.1)</w:t>
      </w:r>
      <w:r>
        <w:rPr>
          <w:rFonts w:hint="cs"/>
          <w:rtl/>
          <w:lang w:bidi="ar-EG"/>
        </w:rPr>
        <w:t xml:space="preserve"> </w:t>
      </w:r>
      <w:r w:rsidR="00307EE5">
        <w:rPr>
          <w:rFonts w:hint="cs"/>
          <w:rtl/>
          <w:lang w:bidi="ar-EG"/>
        </w:rPr>
        <w:t>و</w:t>
      </w:r>
      <w:r w:rsidR="00307EE5">
        <w:t>1/55</w:t>
      </w:r>
      <w:r w:rsidR="00307EE5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</w:t>
      </w:r>
      <w:r>
        <w:t>1</w:t>
      </w:r>
      <w:r w:rsidRPr="008D3F8E">
        <w:t>/</w:t>
      </w:r>
      <w:r>
        <w:t>5</w:t>
      </w:r>
      <w:r w:rsidR="00FF6033">
        <w:t>7</w:t>
      </w:r>
      <w:r w:rsidRPr="008D3F8E">
        <w:t>(Rev.1)</w:t>
      </w:r>
    </w:p>
    <w:p w14:paraId="7A734631" w14:textId="0DD4E6B8" w:rsidR="00F16820" w:rsidRDefault="00571845" w:rsidP="009F6AF9">
      <w:pPr>
        <w:rPr>
          <w:lang w:bidi="ar-EG"/>
        </w:rPr>
      </w:pPr>
      <w:r w:rsidRPr="00FE1CF4">
        <w:rPr>
          <w:rFonts w:hint="cs"/>
          <w:rtl/>
        </w:rPr>
        <w:t xml:space="preserve">وتتاح </w:t>
      </w:r>
      <w:r w:rsidR="00626DAA">
        <w:rPr>
          <w:rFonts w:hint="cs"/>
          <w:rtl/>
        </w:rPr>
        <w:t>هذه الوثائق</w:t>
      </w:r>
      <w:r w:rsidRPr="00FE1CF4">
        <w:rPr>
          <w:rFonts w:hint="cs"/>
          <w:rtl/>
        </w:rPr>
        <w:t xml:space="preserve"> في نسق إلكتروني</w:t>
      </w:r>
      <w:r>
        <w:rPr>
          <w:rFonts w:hint="cs"/>
          <w:rtl/>
        </w:rPr>
        <w:t xml:space="preserve"> في: </w:t>
      </w:r>
      <w:hyperlink r:id="rId10" w:history="1">
        <w:r w:rsidRPr="00BC6386">
          <w:rPr>
            <w:rStyle w:val="Hyperlink"/>
            <w:szCs w:val="24"/>
          </w:rPr>
          <w:t>https://www.itu.int/md/R19-</w:t>
        </w:r>
        <w:r w:rsidRPr="00571845">
          <w:rPr>
            <w:rStyle w:val="Hyperlink"/>
            <w:szCs w:val="24"/>
          </w:rPr>
          <w:t>SG01-</w:t>
        </w:r>
        <w:r w:rsidRPr="00BC6386">
          <w:rPr>
            <w:rStyle w:val="Hyperlink"/>
            <w:szCs w:val="24"/>
          </w:rPr>
          <w:t>C/en</w:t>
        </w:r>
      </w:hyperlink>
      <w:r w:rsidR="00F16820">
        <w:rPr>
          <w:rtl/>
          <w:lang w:bidi="ar-EG"/>
        </w:rPr>
        <w:br w:type="page"/>
      </w:r>
    </w:p>
    <w:p w14:paraId="2E6F460A" w14:textId="77777777" w:rsidR="00D14044" w:rsidRDefault="00F16820" w:rsidP="00D14044">
      <w:pPr>
        <w:pStyle w:val="AnnexNo"/>
        <w:rPr>
          <w:rtl/>
        </w:rPr>
      </w:pPr>
      <w:r w:rsidRPr="00F16820">
        <w:rPr>
          <w:rFonts w:hint="cs"/>
          <w:rtl/>
        </w:rPr>
        <w:lastRenderedPageBreak/>
        <w:t>الملحق</w:t>
      </w:r>
    </w:p>
    <w:p w14:paraId="70BC3A01" w14:textId="265538C3" w:rsidR="00F16820" w:rsidRPr="00F16820" w:rsidRDefault="00B52A4D" w:rsidP="00D14044">
      <w:pPr>
        <w:pStyle w:val="Annextitle"/>
        <w:rPr>
          <w:rtl/>
        </w:rPr>
      </w:pPr>
      <w:r>
        <w:rPr>
          <w:rFonts w:hint="cs"/>
          <w:rtl/>
        </w:rPr>
        <w:t>عناوين</w:t>
      </w:r>
      <w:r w:rsidR="0097348B">
        <w:rPr>
          <w:rFonts w:hint="cs"/>
          <w:rtl/>
        </w:rPr>
        <w:t xml:space="preserve"> </w:t>
      </w:r>
      <w:r>
        <w:rPr>
          <w:rFonts w:hint="cs"/>
          <w:rtl/>
        </w:rPr>
        <w:t>وملخصات</w:t>
      </w:r>
      <w:r w:rsidR="0097348B">
        <w:rPr>
          <w:rFonts w:hint="cs"/>
          <w:rtl/>
        </w:rPr>
        <w:t xml:space="preserve"> </w:t>
      </w:r>
      <w:r w:rsidR="00F9550E">
        <w:rPr>
          <w:rFonts w:hint="cs"/>
          <w:rtl/>
        </w:rPr>
        <w:t>مشاريع</w:t>
      </w:r>
      <w:r w:rsidR="0097348B">
        <w:rPr>
          <w:rFonts w:hint="cs"/>
          <w:rtl/>
        </w:rPr>
        <w:t xml:space="preserve"> </w:t>
      </w:r>
      <w:r w:rsidR="00F9550E">
        <w:rPr>
          <w:rFonts w:hint="cs"/>
          <w:rtl/>
        </w:rPr>
        <w:t>توصيات قطاع الاتصالات الراديوية</w:t>
      </w:r>
    </w:p>
    <w:p w14:paraId="000A387F" w14:textId="5AE079B8" w:rsidR="00F16820" w:rsidRDefault="00F9550E" w:rsidP="00F9550E">
      <w:pPr>
        <w:tabs>
          <w:tab w:val="right" w:pos="9639"/>
        </w:tabs>
        <w:rPr>
          <w:rtl/>
          <w:lang w:bidi="ar-EG"/>
        </w:rPr>
      </w:pPr>
      <w:r>
        <w:rPr>
          <w:rFonts w:hint="cs"/>
          <w:u w:val="single"/>
          <w:rtl/>
        </w:rPr>
        <w:t xml:space="preserve">مشروع التوصية الجديدة </w:t>
      </w:r>
      <w:r w:rsidRPr="00F9550E">
        <w:rPr>
          <w:u w:val="single"/>
          <w:lang w:val="en-GB" w:bidi="ar-EG"/>
        </w:rPr>
        <w:t>ITU-R SM.[TDOA-ACC]</w:t>
      </w:r>
      <w:r w:rsidR="00F16820" w:rsidRPr="00F16820">
        <w:rPr>
          <w:rtl/>
          <w:lang w:bidi="ar-EG"/>
        </w:rPr>
        <w:tab/>
      </w:r>
      <w:r w:rsidR="00F16820" w:rsidRPr="00F16820">
        <w:rPr>
          <w:rFonts w:hint="cs"/>
          <w:rtl/>
          <w:lang w:bidi="ar-EG"/>
        </w:rPr>
        <w:t xml:space="preserve">الوثيقة </w:t>
      </w:r>
      <w:r w:rsidR="00E0347B">
        <w:rPr>
          <w:lang w:bidi="ar-EG"/>
        </w:rPr>
        <w:t>1</w:t>
      </w:r>
      <w:r w:rsidR="00F16820" w:rsidRPr="00F16820">
        <w:rPr>
          <w:lang w:bidi="ar-EG"/>
        </w:rPr>
        <w:t>/</w:t>
      </w:r>
      <w:r w:rsidR="00E0347B">
        <w:rPr>
          <w:lang w:bidi="ar-EG"/>
        </w:rPr>
        <w:t>53</w:t>
      </w:r>
      <w:r w:rsidR="00F16820" w:rsidRPr="00F16820">
        <w:rPr>
          <w:lang w:bidi="ar-EG"/>
        </w:rPr>
        <w:t>(Rev.1)</w:t>
      </w:r>
    </w:p>
    <w:p w14:paraId="06F7CAD6" w14:textId="5427C633" w:rsidR="00E0347B" w:rsidRPr="00241AB8" w:rsidRDefault="00411615" w:rsidP="00776CD1">
      <w:pPr>
        <w:pStyle w:val="Rectitle"/>
        <w:spacing w:before="240" w:after="240"/>
        <w:rPr>
          <w:rtl/>
          <w:lang w:val="en-GB"/>
        </w:rPr>
      </w:pPr>
      <w:r>
        <w:rPr>
          <w:rFonts w:hint="cs"/>
          <w:rtl/>
          <w:lang w:bidi="ar-EG"/>
        </w:rPr>
        <w:t xml:space="preserve">إجراء الاختبار لتحديد دقة أنظمة </w:t>
      </w:r>
      <w:r w:rsidR="00173B46">
        <w:rPr>
          <w:rFonts w:hint="cs"/>
          <w:rtl/>
        </w:rPr>
        <w:t xml:space="preserve">تحديد </w:t>
      </w:r>
      <w:r w:rsidR="00173B46">
        <w:rPr>
          <w:rFonts w:hint="cs"/>
          <w:rtl/>
          <w:lang w:bidi="ar-EG"/>
        </w:rPr>
        <w:t>اختلاف زمن الوصول</w:t>
      </w:r>
      <w:r w:rsidR="00241AB8">
        <w:rPr>
          <w:rFonts w:hint="cs"/>
          <w:rtl/>
          <w:lang w:bidi="ar-EG"/>
        </w:rPr>
        <w:t xml:space="preserve"> </w:t>
      </w:r>
      <w:r w:rsidR="00241AB8">
        <w:rPr>
          <w:lang w:val="en-GB" w:bidi="ar-EG"/>
        </w:rPr>
        <w:t>(TDOA)</w:t>
      </w:r>
    </w:p>
    <w:p w14:paraId="05CF89EB" w14:textId="199F5F7C" w:rsidR="00E0347B" w:rsidRDefault="00241AB8" w:rsidP="00E0347B">
      <w:pPr>
        <w:rPr>
          <w:rtl/>
          <w:lang w:bidi="ar-EG"/>
        </w:rPr>
      </w:pPr>
      <w:r>
        <w:rPr>
          <w:rFonts w:hint="cs"/>
          <w:rtl/>
          <w:lang w:bidi="ar-EG"/>
        </w:rPr>
        <w:t>دقة</w:t>
      </w:r>
      <w:r w:rsidRPr="00241AB8">
        <w:rPr>
          <w:rtl/>
          <w:lang w:bidi="ar-EG"/>
        </w:rPr>
        <w:t xml:space="preserve"> أنظمة</w:t>
      </w:r>
      <w:r w:rsidR="00173B46">
        <w:rPr>
          <w:rFonts w:hint="cs"/>
          <w:rtl/>
          <w:lang w:bidi="ar-EG"/>
        </w:rPr>
        <w:t xml:space="preserve"> تحديد اختلاف زمن الوصول</w:t>
      </w:r>
      <w:r w:rsidRPr="00241AB8">
        <w:rPr>
          <w:rtl/>
          <w:lang w:bidi="ar-EG"/>
        </w:rPr>
        <w:t xml:space="preserve"> </w:t>
      </w:r>
      <w:r w:rsidR="00173B46">
        <w:rPr>
          <w:lang w:bidi="ar-EG"/>
        </w:rPr>
        <w:t>(</w:t>
      </w:r>
      <w:r>
        <w:rPr>
          <w:lang w:bidi="ar-EG"/>
        </w:rPr>
        <w:t>TDOA</w:t>
      </w:r>
      <w:r w:rsidR="00173B46">
        <w:rPr>
          <w:lang w:bidi="ar-EG"/>
        </w:rPr>
        <w:t>)</w:t>
      </w:r>
      <w:r w:rsidRPr="00241AB8">
        <w:rPr>
          <w:rtl/>
          <w:lang w:bidi="ar-EG"/>
        </w:rPr>
        <w:t xml:space="preserve"> اعتبار مهم للهيئات التنظيمية وغيرها </w:t>
      </w:r>
      <w:r w:rsidR="0002057A">
        <w:rPr>
          <w:rFonts w:hint="cs"/>
          <w:rtl/>
          <w:lang w:bidi="ar-EG"/>
        </w:rPr>
        <w:t>من الجهات التي يتعين عليها</w:t>
      </w:r>
      <w:r w:rsidRPr="00241AB8">
        <w:rPr>
          <w:rtl/>
          <w:lang w:bidi="ar-EG"/>
        </w:rPr>
        <w:t xml:space="preserve"> تحديد موقع المرسِلات بواسطة أنظمة تحديد موقع المرسل القائمة على</w:t>
      </w:r>
      <w:r>
        <w:rPr>
          <w:rFonts w:hint="cs"/>
          <w:rtl/>
          <w:lang w:bidi="ar-EG"/>
        </w:rPr>
        <w:t xml:space="preserve"> </w:t>
      </w:r>
      <w:r w:rsidR="00173B46">
        <w:rPr>
          <w:rFonts w:hint="cs"/>
          <w:rtl/>
          <w:lang w:bidi="ar-EG"/>
        </w:rPr>
        <w:t>اخ</w:t>
      </w:r>
      <w:r w:rsidR="00386A8E">
        <w:rPr>
          <w:rFonts w:hint="cs"/>
          <w:rtl/>
          <w:lang w:bidi="ar-EG"/>
        </w:rPr>
        <w:t>ت</w:t>
      </w:r>
      <w:r w:rsidR="00173B46">
        <w:rPr>
          <w:rFonts w:hint="cs"/>
          <w:rtl/>
          <w:lang w:bidi="ar-EG"/>
        </w:rPr>
        <w:t>لاف زمن الوصول</w:t>
      </w:r>
      <w:r>
        <w:rPr>
          <w:rFonts w:hint="cs"/>
          <w:rtl/>
          <w:lang w:bidi="ar-EG"/>
        </w:rPr>
        <w:t>. ولتس</w:t>
      </w:r>
      <w:r w:rsidRPr="00241AB8">
        <w:rPr>
          <w:rtl/>
          <w:lang w:bidi="ar-EG"/>
        </w:rPr>
        <w:t xml:space="preserve">هيل المقارنة بين أنظمة </w:t>
      </w:r>
      <w:r>
        <w:rPr>
          <w:lang w:bidi="ar-EG"/>
        </w:rPr>
        <w:t>TDOA</w:t>
      </w:r>
      <w:r w:rsidRPr="00241AB8">
        <w:rPr>
          <w:rtl/>
          <w:lang w:bidi="ar-EG"/>
        </w:rPr>
        <w:t xml:space="preserve">، تقدم هذه التوصية إرشادات بشأن طرائق تحديد دقة أنظمة </w:t>
      </w:r>
      <w:r>
        <w:rPr>
          <w:lang w:bidi="ar-EG"/>
        </w:rPr>
        <w:t>TDOA</w:t>
      </w:r>
      <w:r w:rsidRPr="00241AB8">
        <w:rPr>
          <w:rtl/>
          <w:lang w:bidi="ar-EG"/>
        </w:rPr>
        <w:t xml:space="preserve"> والإبلاغ عن النتائج واختيار سيناريو الاختبار.</w:t>
      </w:r>
    </w:p>
    <w:p w14:paraId="23866710" w14:textId="26CEBEFA" w:rsidR="00E0347B" w:rsidRDefault="00F9550E" w:rsidP="00E15EED">
      <w:pPr>
        <w:tabs>
          <w:tab w:val="right" w:pos="9639"/>
        </w:tabs>
        <w:spacing w:before="480"/>
        <w:rPr>
          <w:rtl/>
          <w:lang w:bidi="ar-EG"/>
        </w:rPr>
      </w:pPr>
      <w:r>
        <w:rPr>
          <w:rFonts w:hint="cs"/>
          <w:u w:val="single"/>
          <w:rtl/>
        </w:rPr>
        <w:t xml:space="preserve">مشروع التوصية الجديدة </w:t>
      </w:r>
      <w:r w:rsidRPr="00F9550E">
        <w:rPr>
          <w:u w:val="single"/>
          <w:lang w:val="en-GB" w:bidi="ar-EG"/>
        </w:rPr>
        <w:t xml:space="preserve">ITU-R </w:t>
      </w:r>
      <w:proofErr w:type="gramStart"/>
      <w:r w:rsidRPr="00F9550E">
        <w:rPr>
          <w:u w:val="single"/>
          <w:lang w:val="en-GB" w:bidi="ar-EG"/>
        </w:rPr>
        <w:t>SM.[</w:t>
      </w:r>
      <w:proofErr w:type="gramEnd"/>
      <w:r w:rsidRPr="00F9550E">
        <w:rPr>
          <w:u w:val="single"/>
          <w:lang w:val="en-GB" w:bidi="ar-EG"/>
        </w:rPr>
        <w:t>MOB DF PERF]</w:t>
      </w:r>
      <w:r w:rsidR="00E0347B" w:rsidRPr="00F16820">
        <w:rPr>
          <w:rtl/>
          <w:lang w:bidi="ar-EG"/>
        </w:rPr>
        <w:tab/>
      </w:r>
      <w:r w:rsidR="00E0347B" w:rsidRPr="00F16820">
        <w:rPr>
          <w:rFonts w:hint="cs"/>
          <w:rtl/>
          <w:lang w:bidi="ar-EG"/>
        </w:rPr>
        <w:t xml:space="preserve">الوثيقة </w:t>
      </w:r>
      <w:r w:rsidR="00E0347B">
        <w:rPr>
          <w:lang w:bidi="ar-EG"/>
        </w:rPr>
        <w:t>1</w:t>
      </w:r>
      <w:r w:rsidR="00E0347B" w:rsidRPr="00F16820">
        <w:rPr>
          <w:lang w:bidi="ar-EG"/>
        </w:rPr>
        <w:t>/</w:t>
      </w:r>
      <w:r w:rsidR="00E0347B">
        <w:rPr>
          <w:lang w:bidi="ar-EG"/>
        </w:rPr>
        <w:t>57</w:t>
      </w:r>
      <w:r w:rsidR="00E0347B" w:rsidRPr="00F16820">
        <w:rPr>
          <w:lang w:bidi="ar-EG"/>
        </w:rPr>
        <w:t>(Rev.1)</w:t>
      </w:r>
    </w:p>
    <w:p w14:paraId="0AC43087" w14:textId="2ABEB435" w:rsidR="00E0347B" w:rsidRDefault="00E0347B" w:rsidP="00776CD1">
      <w:pPr>
        <w:pStyle w:val="Rectitle"/>
        <w:spacing w:before="240" w:after="240"/>
        <w:rPr>
          <w:rtl/>
          <w:lang w:bidi="ar-EG"/>
        </w:rPr>
      </w:pPr>
      <w:r w:rsidRPr="0015207F">
        <w:rPr>
          <w:rFonts w:hint="cs"/>
          <w:rtl/>
          <w:lang w:bidi="ar-EG"/>
        </w:rPr>
        <w:t>تقييم أداء الوحدات المتنقلة لتحديد</w:t>
      </w:r>
      <w:r w:rsidRPr="0015207F">
        <w:rPr>
          <w:rtl/>
          <w:lang w:bidi="ar-EG"/>
        </w:rPr>
        <w:t xml:space="preserve"> </w:t>
      </w:r>
      <w:r w:rsidRPr="0015207F">
        <w:rPr>
          <w:rFonts w:hint="cs"/>
          <w:rtl/>
          <w:lang w:bidi="ar-EG"/>
        </w:rPr>
        <w:t>الاتجاه</w:t>
      </w:r>
      <w:r w:rsidRPr="0015207F">
        <w:rPr>
          <w:rtl/>
          <w:lang w:bidi="ar-EG"/>
        </w:rPr>
        <w:t xml:space="preserve"> </w:t>
      </w:r>
      <w:r w:rsidRPr="0015207F">
        <w:t>(DF)</w:t>
      </w:r>
      <w:r w:rsidRPr="0015207F">
        <w:rPr>
          <w:rFonts w:hint="cs"/>
          <w:rtl/>
          <w:lang w:bidi="ar-EG"/>
        </w:rPr>
        <w:t xml:space="preserve"> في بيئة تشغيلية</w:t>
      </w:r>
    </w:p>
    <w:p w14:paraId="71141889" w14:textId="5D702307" w:rsidR="00E0347B" w:rsidRPr="00C05BBD" w:rsidRDefault="00173B46" w:rsidP="00C05BBD">
      <w:pPr>
        <w:rPr>
          <w:lang w:val="en-GB" w:bidi="ar-EG"/>
        </w:rPr>
      </w:pPr>
      <w:r>
        <w:rPr>
          <w:rFonts w:hint="cs"/>
          <w:rtl/>
          <w:lang w:bidi="ar-EG"/>
        </w:rPr>
        <w:t xml:space="preserve">تقدم هذه التوصية إرشادات بشأن </w:t>
      </w:r>
      <w:r w:rsidR="00E803A1">
        <w:rPr>
          <w:rFonts w:hint="cs"/>
          <w:rtl/>
          <w:lang w:bidi="ar-EG"/>
        </w:rPr>
        <w:t>الأساليب المعيارية لتقييم الأداء العام للوحدات المتنقلة لتحديد الاتجاه، في ظروف التشغيل الفعلية</w:t>
      </w:r>
      <w:r w:rsidR="00C05BBD">
        <w:rPr>
          <w:rFonts w:hint="cs"/>
          <w:rtl/>
          <w:lang w:bidi="ar-EG"/>
        </w:rPr>
        <w:t xml:space="preserve">، ويُفضل أن يكون ذلك في البيئات النموذجية التي ستستخدم فيها إدارة المشتريات النظام. </w:t>
      </w:r>
      <w:r w:rsidR="006760E6">
        <w:rPr>
          <w:rFonts w:hint="cs"/>
          <w:rtl/>
          <w:lang w:bidi="ar-EG"/>
        </w:rPr>
        <w:t xml:space="preserve"> </w:t>
      </w:r>
      <w:r w:rsidR="00C05BBD">
        <w:rPr>
          <w:rFonts w:hint="cs"/>
          <w:rtl/>
          <w:lang w:bidi="ar-EG"/>
        </w:rPr>
        <w:t xml:space="preserve">ويمكن أن يكون جزءاً من </w:t>
      </w:r>
      <w:r w:rsidR="00C05BBD" w:rsidRPr="00C05BBD">
        <w:rPr>
          <w:rtl/>
          <w:lang w:bidi="ar-EG"/>
        </w:rPr>
        <w:t xml:space="preserve">اختبار تقييمي في نطاق العطاء أو </w:t>
      </w:r>
      <w:r w:rsidR="00C05BBD">
        <w:rPr>
          <w:rFonts w:hint="cs"/>
          <w:rtl/>
          <w:lang w:bidi="ar-EG"/>
        </w:rPr>
        <w:t xml:space="preserve">بمثابة </w:t>
      </w:r>
      <w:r w:rsidR="00C05BBD" w:rsidRPr="00C05BBD">
        <w:rPr>
          <w:rtl/>
          <w:lang w:bidi="ar-EG"/>
        </w:rPr>
        <w:t>اختبار قبول خدمات المراقبة بعد المشتريات</w:t>
      </w:r>
      <w:r w:rsidR="00434A07">
        <w:rPr>
          <w:rFonts w:hint="cs"/>
          <w:rtl/>
          <w:lang w:val="en-GB" w:bidi="ar-EG"/>
        </w:rPr>
        <w:t>.</w:t>
      </w:r>
    </w:p>
    <w:p w14:paraId="7B216096" w14:textId="55FE36AC" w:rsidR="006760E6" w:rsidRDefault="00F9550E" w:rsidP="00E15EED">
      <w:pPr>
        <w:tabs>
          <w:tab w:val="right" w:pos="9639"/>
        </w:tabs>
        <w:spacing w:before="480"/>
        <w:rPr>
          <w:lang w:bidi="ar-EG"/>
        </w:rPr>
      </w:pPr>
      <w:r>
        <w:rPr>
          <w:rFonts w:hint="cs"/>
          <w:u w:val="single"/>
          <w:rtl/>
        </w:rPr>
        <w:t>مشروع مراجعة التوصية</w:t>
      </w:r>
      <w:r w:rsidR="006760E6" w:rsidRPr="00F16820">
        <w:rPr>
          <w:rFonts w:hint="cs"/>
          <w:u w:val="single"/>
          <w:rtl/>
        </w:rPr>
        <w:t xml:space="preserve"> </w:t>
      </w:r>
      <w:r w:rsidRPr="00F9550E">
        <w:rPr>
          <w:u w:val="single"/>
          <w:lang w:val="en-GB" w:bidi="ar-EG"/>
        </w:rPr>
        <w:t>ITU-R SM.575-2</w:t>
      </w:r>
      <w:r w:rsidR="006760E6" w:rsidRPr="00F16820">
        <w:rPr>
          <w:rtl/>
          <w:lang w:bidi="ar-EG"/>
        </w:rPr>
        <w:tab/>
      </w:r>
      <w:r w:rsidR="006760E6" w:rsidRPr="00F16820">
        <w:rPr>
          <w:rFonts w:hint="cs"/>
          <w:rtl/>
          <w:lang w:bidi="ar-EG"/>
        </w:rPr>
        <w:t xml:space="preserve">الوثيقة </w:t>
      </w:r>
      <w:r w:rsidR="006760E6">
        <w:rPr>
          <w:lang w:bidi="ar-EG"/>
        </w:rPr>
        <w:t>1</w:t>
      </w:r>
      <w:r w:rsidR="006760E6" w:rsidRPr="00F16820">
        <w:rPr>
          <w:lang w:bidi="ar-EG"/>
        </w:rPr>
        <w:t>/</w:t>
      </w:r>
      <w:r w:rsidR="006760E6">
        <w:rPr>
          <w:lang w:bidi="ar-EG"/>
        </w:rPr>
        <w:t>55</w:t>
      </w:r>
    </w:p>
    <w:p w14:paraId="792B1721" w14:textId="1B061BA5" w:rsidR="006760E6" w:rsidRDefault="006760E6" w:rsidP="00776CD1">
      <w:pPr>
        <w:pStyle w:val="Rectitle"/>
        <w:spacing w:before="240" w:after="240"/>
        <w:rPr>
          <w:rtl/>
          <w:lang w:bidi="ar-EG"/>
        </w:rPr>
      </w:pPr>
      <w:r>
        <w:rPr>
          <w:rtl/>
          <w:lang w:bidi="ar-SY"/>
        </w:rPr>
        <w:t>حماية محطات المراقبة الثابتة من التداخل الآتي من مرس</w:t>
      </w:r>
      <w:r w:rsidR="000D6CA7">
        <w:rPr>
          <w:rFonts w:hint="cs"/>
          <w:rtl/>
          <w:lang w:bidi="ar-SY"/>
        </w:rPr>
        <w:t>ِ</w:t>
      </w:r>
      <w:r>
        <w:rPr>
          <w:rtl/>
          <w:lang w:bidi="ar-SY"/>
        </w:rPr>
        <w:t>لات قريبة أو قوية</w:t>
      </w:r>
    </w:p>
    <w:p w14:paraId="1571C3A7" w14:textId="370D867F" w:rsidR="006760E6" w:rsidRDefault="00D24CD4" w:rsidP="00D24CD4">
      <w:pPr>
        <w:rPr>
          <w:lang w:bidi="ar-EG"/>
        </w:rPr>
      </w:pPr>
      <w:r>
        <w:rPr>
          <w:rFonts w:hint="cs"/>
          <w:rtl/>
          <w:lang w:bidi="ar-EG"/>
        </w:rPr>
        <w:t>يُقت</w:t>
      </w:r>
      <w:r>
        <w:rPr>
          <w:rtl/>
          <w:lang w:bidi="ar-EG"/>
        </w:rPr>
        <w:t xml:space="preserve">رح مشروع مراجعة التوصية </w:t>
      </w:r>
      <w:r>
        <w:rPr>
          <w:lang w:bidi="ar-EG"/>
        </w:rPr>
        <w:t xml:space="preserve">ITU-R </w:t>
      </w:r>
      <w:r w:rsidR="00642390">
        <w:rPr>
          <w:lang w:bidi="ar-EG"/>
        </w:rPr>
        <w:t>SM</w:t>
      </w:r>
      <w:r>
        <w:rPr>
          <w:lang w:bidi="ar-EG"/>
        </w:rPr>
        <w:t>.575-2</w:t>
      </w:r>
      <w:r>
        <w:rPr>
          <w:rtl/>
          <w:lang w:bidi="ar-EG"/>
        </w:rPr>
        <w:t xml:space="preserve">، يمكن </w:t>
      </w:r>
      <w:r w:rsidR="00386A8E">
        <w:rPr>
          <w:rFonts w:hint="cs"/>
          <w:rtl/>
          <w:lang w:bidi="ar-EG"/>
        </w:rPr>
        <w:t>في إطاره</w:t>
      </w:r>
      <w:r>
        <w:rPr>
          <w:rtl/>
          <w:lang w:bidi="ar-EG"/>
        </w:rPr>
        <w:t xml:space="preserve"> النظر في توهين </w:t>
      </w:r>
      <w:r>
        <w:rPr>
          <w:rFonts w:hint="cs"/>
          <w:rtl/>
          <w:lang w:bidi="ar-EG"/>
        </w:rPr>
        <w:t xml:space="preserve">كبل التردد الراديوي </w:t>
      </w:r>
      <w:r>
        <w:rPr>
          <w:rtl/>
          <w:lang w:bidi="ar-EG"/>
        </w:rPr>
        <w:t>بين الهوائي والمستقب</w:t>
      </w:r>
      <w:r w:rsidR="00876F68">
        <w:rPr>
          <w:rFonts w:hint="cs"/>
          <w:rtl/>
          <w:lang w:bidi="ar-EG"/>
        </w:rPr>
        <w:t>ِ</w:t>
      </w:r>
      <w:r>
        <w:rPr>
          <w:rtl/>
          <w:lang w:bidi="ar-EG"/>
        </w:rPr>
        <w:t>ل عند حساب شدة المجال القصوى المسموح بها.</w:t>
      </w:r>
    </w:p>
    <w:p w14:paraId="7E053334" w14:textId="15291CC2" w:rsidR="00F16820" w:rsidRPr="006252E2" w:rsidRDefault="006252E2" w:rsidP="00F1682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F16820" w:rsidRPr="006252E2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FA6C" w14:textId="77777777" w:rsidR="004C780E" w:rsidRDefault="004C780E" w:rsidP="006C3242">
      <w:pPr>
        <w:spacing w:before="0" w:line="240" w:lineRule="auto"/>
      </w:pPr>
      <w:r>
        <w:separator/>
      </w:r>
    </w:p>
  </w:endnote>
  <w:endnote w:type="continuationSeparator" w:id="0">
    <w:p w14:paraId="11BB5CC1" w14:textId="77777777" w:rsidR="004C780E" w:rsidRDefault="004C780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53A4" w14:textId="49BE1878" w:rsidR="00873048" w:rsidRPr="008817DB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8817DB">
      <w:rPr>
        <w:rFonts w:ascii="Dubai" w:hAnsi="Dubai" w:cs="Dubai"/>
        <w:color w:val="2E74B5" w:themeColor="accent1" w:themeShade="BF"/>
        <w:sz w:val="19"/>
        <w:szCs w:val="19"/>
        <w:lang w:val="fr-CH"/>
      </w:rPr>
      <w:t xml:space="preserve">International </w:t>
    </w:r>
    <w:proofErr w:type="spellStart"/>
    <w:r w:rsidRPr="008817DB">
      <w:rPr>
        <w:rFonts w:ascii="Dubai" w:hAnsi="Dubai" w:cs="Dubai"/>
        <w:color w:val="2E74B5" w:themeColor="accent1" w:themeShade="BF"/>
        <w:sz w:val="19"/>
        <w:szCs w:val="19"/>
        <w:lang w:val="fr-CH"/>
      </w:rPr>
      <w:t>Telecommunication</w:t>
    </w:r>
    <w:proofErr w:type="spellEnd"/>
    <w:r w:rsidRPr="008817DB">
      <w:rPr>
        <w:rFonts w:ascii="Dubai" w:hAnsi="Dubai" w:cs="Dubai"/>
        <w:color w:val="2E74B5" w:themeColor="accent1" w:themeShade="BF"/>
        <w:sz w:val="19"/>
        <w:szCs w:val="19"/>
        <w:lang w:val="fr-CH"/>
      </w:rPr>
      <w:t xml:space="preserve"> Union • Place des Nations, CH</w:t>
    </w:r>
    <w:r w:rsidRPr="008817DB">
      <w:rPr>
        <w:rFonts w:ascii="Dubai" w:hAnsi="Dubai" w:cs="Dubai"/>
        <w:color w:val="2E74B5" w:themeColor="accent1" w:themeShade="BF"/>
        <w:sz w:val="19"/>
        <w:szCs w:val="19"/>
        <w:lang w:val="fr-CH"/>
      </w:rPr>
      <w:noBreakHyphen/>
      <w:t xml:space="preserve">1211 Geneva 20, Switzerland • </w:t>
    </w:r>
    <w:r w:rsidRPr="008817DB">
      <w:rPr>
        <w:rFonts w:ascii="Dubai" w:hAnsi="Dubai" w:cs="Dubai"/>
        <w:color w:val="2E74B5" w:themeColor="accent1" w:themeShade="BF"/>
        <w:sz w:val="19"/>
        <w:szCs w:val="19"/>
        <w:lang w:val="fr-CH"/>
      </w:rPr>
      <w:br/>
    </w:r>
    <w:proofErr w:type="gramStart"/>
    <w:r w:rsidRPr="008817DB">
      <w:rPr>
        <w:rFonts w:ascii="Dubai" w:hAnsi="Dubai" w:cs="Dubai"/>
        <w:color w:val="2E74B5" w:themeColor="accent1" w:themeShade="BF"/>
        <w:sz w:val="19"/>
        <w:szCs w:val="19"/>
        <w:lang w:val="fr-CH"/>
      </w:rPr>
      <w:t>Tel:</w:t>
    </w:r>
    <w:proofErr w:type="gramEnd"/>
    <w:r w:rsidRPr="008817DB">
      <w:rPr>
        <w:rFonts w:ascii="Dubai" w:hAnsi="Dubai" w:cs="Dubai"/>
        <w:color w:val="2E74B5" w:themeColor="accent1" w:themeShade="BF"/>
        <w:sz w:val="19"/>
        <w:szCs w:val="19"/>
        <w:lang w:val="fr-CH"/>
      </w:rPr>
      <w:t xml:space="preserve"> +41 22 730 5111 • E-mail: </w:t>
    </w:r>
    <w:hyperlink r:id="rId1" w:history="1">
      <w:proofErr w:type="spellStart"/>
      <w:r w:rsidRPr="008817DB">
        <w:rPr>
          <w:rStyle w:val="Hyperlink"/>
          <w:sz w:val="19"/>
          <w:szCs w:val="19"/>
          <w:lang w:val="fr-CH"/>
        </w:rPr>
        <w:t>itumail@itu.int</w:t>
      </w:r>
      <w:proofErr w:type="spellEnd"/>
    </w:hyperlink>
    <w:r w:rsidRPr="008817DB">
      <w:rPr>
        <w:rFonts w:ascii="Dubai" w:hAnsi="Dubai" w:cs="Dubai"/>
        <w:color w:val="5B9BD5" w:themeColor="accent1"/>
        <w:sz w:val="19"/>
        <w:szCs w:val="19"/>
        <w:lang w:val="fr-CH"/>
      </w:rPr>
      <w:t xml:space="preserve"> </w:t>
    </w:r>
    <w:r w:rsidRPr="008817DB">
      <w:rPr>
        <w:rFonts w:ascii="Dubai" w:hAnsi="Dubai" w:cs="Dubai"/>
        <w:color w:val="2E74B5" w:themeColor="accent1" w:themeShade="BF"/>
        <w:sz w:val="19"/>
        <w:szCs w:val="19"/>
        <w:lang w:val="fr-CH"/>
      </w:rPr>
      <w:t xml:space="preserve">• Fax: +41 22 733 7256 • </w:t>
    </w:r>
    <w:hyperlink r:id="rId2" w:history="1">
      <w:proofErr w:type="spellStart"/>
      <w:r w:rsidR="008817DB" w:rsidRPr="008817DB">
        <w:rPr>
          <w:rStyle w:val="Hyperlink"/>
          <w:sz w:val="19"/>
          <w:szCs w:val="19"/>
          <w:lang w:val="fr-CH"/>
        </w:rPr>
        <w:t>www.itu.int</w:t>
      </w:r>
      <w:proofErr w:type="spellEnd"/>
    </w:hyperlink>
    <w:r w:rsidR="008817DB" w:rsidRPr="008817DB">
      <w:rPr>
        <w:rFonts w:ascii="Dubai" w:hAnsi="Dubai" w:cs="Dubai"/>
        <w:color w:val="5B9BD5" w:themeColor="accent1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571D" w14:textId="77777777" w:rsidR="004C780E" w:rsidRDefault="004C780E" w:rsidP="006C3242">
      <w:pPr>
        <w:spacing w:before="0" w:line="240" w:lineRule="auto"/>
      </w:pPr>
      <w:r>
        <w:separator/>
      </w:r>
    </w:p>
  </w:footnote>
  <w:footnote w:type="continuationSeparator" w:id="0">
    <w:p w14:paraId="5D663022" w14:textId="77777777" w:rsidR="004C780E" w:rsidRDefault="004C780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23D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47E2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2B453B6C" wp14:editId="1A0570E2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0E"/>
    <w:rsid w:val="00016F3E"/>
    <w:rsid w:val="0002057A"/>
    <w:rsid w:val="0006468A"/>
    <w:rsid w:val="00090574"/>
    <w:rsid w:val="000C1C0E"/>
    <w:rsid w:val="000C31D7"/>
    <w:rsid w:val="000C548A"/>
    <w:rsid w:val="000D6CA7"/>
    <w:rsid w:val="000F7BBE"/>
    <w:rsid w:val="00150DB9"/>
    <w:rsid w:val="00173B46"/>
    <w:rsid w:val="00192DD7"/>
    <w:rsid w:val="001A12AE"/>
    <w:rsid w:val="001C0169"/>
    <w:rsid w:val="001D1D50"/>
    <w:rsid w:val="001D6745"/>
    <w:rsid w:val="001E446E"/>
    <w:rsid w:val="002154EE"/>
    <w:rsid w:val="00215AF9"/>
    <w:rsid w:val="002276D2"/>
    <w:rsid w:val="0023283D"/>
    <w:rsid w:val="00241AB8"/>
    <w:rsid w:val="0026373E"/>
    <w:rsid w:val="00271C43"/>
    <w:rsid w:val="00290728"/>
    <w:rsid w:val="002978F4"/>
    <w:rsid w:val="002B028D"/>
    <w:rsid w:val="002E6541"/>
    <w:rsid w:val="00307EE5"/>
    <w:rsid w:val="00334924"/>
    <w:rsid w:val="003409BC"/>
    <w:rsid w:val="00357185"/>
    <w:rsid w:val="00383829"/>
    <w:rsid w:val="00386A8E"/>
    <w:rsid w:val="003F4B29"/>
    <w:rsid w:val="00411615"/>
    <w:rsid w:val="0042686F"/>
    <w:rsid w:val="004317D8"/>
    <w:rsid w:val="00434183"/>
    <w:rsid w:val="00434A07"/>
    <w:rsid w:val="00443869"/>
    <w:rsid w:val="00447F32"/>
    <w:rsid w:val="00450405"/>
    <w:rsid w:val="004C780E"/>
    <w:rsid w:val="004E11DC"/>
    <w:rsid w:val="004E1278"/>
    <w:rsid w:val="00525DDD"/>
    <w:rsid w:val="005409AC"/>
    <w:rsid w:val="0055516A"/>
    <w:rsid w:val="00571845"/>
    <w:rsid w:val="0058491B"/>
    <w:rsid w:val="00592EA5"/>
    <w:rsid w:val="005A3170"/>
    <w:rsid w:val="00612E1D"/>
    <w:rsid w:val="006252E2"/>
    <w:rsid w:val="00626DAA"/>
    <w:rsid w:val="00642390"/>
    <w:rsid w:val="006515C3"/>
    <w:rsid w:val="006760E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32413"/>
    <w:rsid w:val="0074420E"/>
    <w:rsid w:val="00776CD1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76F68"/>
    <w:rsid w:val="008817DB"/>
    <w:rsid w:val="008969CF"/>
    <w:rsid w:val="008A7F84"/>
    <w:rsid w:val="008F321B"/>
    <w:rsid w:val="00901F58"/>
    <w:rsid w:val="0091702E"/>
    <w:rsid w:val="00923B0C"/>
    <w:rsid w:val="0094021C"/>
    <w:rsid w:val="00952F86"/>
    <w:rsid w:val="0097348B"/>
    <w:rsid w:val="00982B28"/>
    <w:rsid w:val="009C4F5A"/>
    <w:rsid w:val="009D313F"/>
    <w:rsid w:val="009F6AF9"/>
    <w:rsid w:val="00A47A5A"/>
    <w:rsid w:val="00A6683B"/>
    <w:rsid w:val="00A97F94"/>
    <w:rsid w:val="00AA7EA2"/>
    <w:rsid w:val="00B03099"/>
    <w:rsid w:val="00B05BC8"/>
    <w:rsid w:val="00B1297D"/>
    <w:rsid w:val="00B20C86"/>
    <w:rsid w:val="00B52A4D"/>
    <w:rsid w:val="00B64B47"/>
    <w:rsid w:val="00BA7B2F"/>
    <w:rsid w:val="00C002DE"/>
    <w:rsid w:val="00C05BBD"/>
    <w:rsid w:val="00C5340A"/>
    <w:rsid w:val="00C53BF8"/>
    <w:rsid w:val="00C66157"/>
    <w:rsid w:val="00C674FE"/>
    <w:rsid w:val="00C67501"/>
    <w:rsid w:val="00C75633"/>
    <w:rsid w:val="00CE0223"/>
    <w:rsid w:val="00CE2EE1"/>
    <w:rsid w:val="00CE3349"/>
    <w:rsid w:val="00CE36E5"/>
    <w:rsid w:val="00CF177B"/>
    <w:rsid w:val="00CF27F5"/>
    <w:rsid w:val="00CF3FFD"/>
    <w:rsid w:val="00D10CCF"/>
    <w:rsid w:val="00D14044"/>
    <w:rsid w:val="00D24CD4"/>
    <w:rsid w:val="00D46FA6"/>
    <w:rsid w:val="00D77D0F"/>
    <w:rsid w:val="00DA1CF0"/>
    <w:rsid w:val="00DC1E02"/>
    <w:rsid w:val="00DC24B4"/>
    <w:rsid w:val="00DC5FB0"/>
    <w:rsid w:val="00DF16DC"/>
    <w:rsid w:val="00E0347B"/>
    <w:rsid w:val="00E15113"/>
    <w:rsid w:val="00E15EED"/>
    <w:rsid w:val="00E23BE1"/>
    <w:rsid w:val="00E45211"/>
    <w:rsid w:val="00E473C5"/>
    <w:rsid w:val="00E803A1"/>
    <w:rsid w:val="00E92863"/>
    <w:rsid w:val="00EB796D"/>
    <w:rsid w:val="00EE6ACF"/>
    <w:rsid w:val="00F058DC"/>
    <w:rsid w:val="00F16820"/>
    <w:rsid w:val="00F24FC4"/>
    <w:rsid w:val="00F2676C"/>
    <w:rsid w:val="00F84366"/>
    <w:rsid w:val="00F85089"/>
    <w:rsid w:val="00F9550E"/>
    <w:rsid w:val="00F974C5"/>
    <w:rsid w:val="00FA6F46"/>
    <w:rsid w:val="00FE5872"/>
    <w:rsid w:val="00FE7FCA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88B2549"/>
  <w15:chartTrackingRefBased/>
  <w15:docId w15:val="{3DA58A21-FA88-4548-AAC9-BA7698A9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6760E6"/>
    <w:rPr>
      <w:rFonts w:ascii="Times New Roman" w:hAnsi="Times New Roman" w:cs="Traditional Arabic"/>
      <w:szCs w:val="26"/>
    </w:rPr>
  </w:style>
  <w:style w:type="paragraph" w:customStyle="1" w:styleId="Tabletext">
    <w:name w:val="Table_text"/>
    <w:basedOn w:val="Normal"/>
    <w:link w:val="TabletextChar"/>
    <w:qFormat/>
    <w:rsid w:val="006760E6"/>
    <w:pPr>
      <w:tabs>
        <w:tab w:val="clear" w:pos="794"/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rFonts w:ascii="Times New Roman" w:hAnsi="Times New Roman" w:cs="Traditional Arabic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9-SG01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ITU - LRT</cp:lastModifiedBy>
  <cp:revision>13</cp:revision>
  <dcterms:created xsi:type="dcterms:W3CDTF">2021-06-10T10:58:00Z</dcterms:created>
  <dcterms:modified xsi:type="dcterms:W3CDTF">2021-06-10T13:17:00Z</dcterms:modified>
</cp:coreProperties>
</file>