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6BAB4A8" w14:textId="77777777" w:rsidTr="00153E23">
        <w:tc>
          <w:tcPr>
            <w:tcW w:w="5000" w:type="pct"/>
            <w:gridSpan w:val="3"/>
            <w:shd w:val="clear" w:color="auto" w:fill="auto"/>
          </w:tcPr>
          <w:p w14:paraId="2C99580B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11D36AF3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D2B640D" w14:textId="77777777" w:rsidTr="00153E23">
        <w:tc>
          <w:tcPr>
            <w:tcW w:w="2707" w:type="pct"/>
            <w:gridSpan w:val="2"/>
            <w:shd w:val="clear" w:color="auto" w:fill="auto"/>
          </w:tcPr>
          <w:p w14:paraId="73B17CB3" w14:textId="08BB4BE4" w:rsidR="000F7BBE" w:rsidRPr="000F7BBE" w:rsidRDefault="000F7BBE" w:rsidP="0006585E">
            <w:pPr>
              <w:spacing w:before="80" w:line="300" w:lineRule="exact"/>
              <w:rPr>
                <w:position w:val="2"/>
                <w:lang w:bidi="ar-EG"/>
              </w:rPr>
            </w:pPr>
            <w:r w:rsidRPr="0059071B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7B09DFFA" w14:textId="58C69FE3" w:rsidR="000F7BBE" w:rsidRPr="000F7BBE" w:rsidRDefault="000F7BBE" w:rsidP="0006585E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59071B">
              <w:rPr>
                <w:b/>
                <w:bCs/>
                <w:position w:val="2"/>
                <w:lang w:bidi="ar-EG"/>
              </w:rPr>
              <w:t>990</w:t>
            </w:r>
          </w:p>
        </w:tc>
        <w:tc>
          <w:tcPr>
            <w:tcW w:w="2293" w:type="pct"/>
            <w:shd w:val="clear" w:color="auto" w:fill="auto"/>
          </w:tcPr>
          <w:p w14:paraId="44E26AE3" w14:textId="35D955CA" w:rsidR="000F7BBE" w:rsidRPr="000F7BBE" w:rsidRDefault="0059071B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59071B">
              <w:rPr>
                <w:position w:val="2"/>
                <w:lang w:val="fr-FR" w:bidi="ar-EG"/>
              </w:rPr>
              <w:t>1</w:t>
            </w:r>
            <w:r w:rsidR="00592BA5">
              <w:rPr>
                <w:position w:val="2"/>
                <w:lang w:val="fr-FR" w:bidi="ar-EG"/>
              </w:rPr>
              <w:t>3</w:t>
            </w:r>
            <w:r w:rsidR="00F16820" w:rsidRPr="0059071B">
              <w:rPr>
                <w:rFonts w:hint="cs"/>
                <w:position w:val="2"/>
                <w:rtl/>
                <w:lang w:bidi="ar-SY"/>
              </w:rPr>
              <w:t xml:space="preserve"> </w:t>
            </w:r>
            <w:r>
              <w:rPr>
                <w:rFonts w:hint="cs"/>
                <w:position w:val="2"/>
                <w:rtl/>
                <w:lang w:bidi="ar-SY"/>
              </w:rPr>
              <w:t xml:space="preserve">أغسطس </w:t>
            </w:r>
            <w:r w:rsidR="00F16820">
              <w:rPr>
                <w:position w:val="2"/>
                <w:lang w:bidi="ar-EG"/>
              </w:rPr>
              <w:t>202</w:t>
            </w:r>
            <w:r w:rsidR="006515C3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4CEF6EA6" w14:textId="77777777" w:rsidTr="00153E23">
        <w:tc>
          <w:tcPr>
            <w:tcW w:w="5000" w:type="pct"/>
            <w:gridSpan w:val="3"/>
            <w:shd w:val="clear" w:color="auto" w:fill="auto"/>
          </w:tcPr>
          <w:p w14:paraId="44AA1B8B" w14:textId="77777777" w:rsidR="000F7BBE" w:rsidRPr="000F7BBE" w:rsidRDefault="000F7BBE" w:rsidP="0059071B">
            <w:pPr>
              <w:spacing w:before="0" w:line="30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50A760D4" w14:textId="77777777" w:rsidTr="00153E23">
        <w:tc>
          <w:tcPr>
            <w:tcW w:w="5000" w:type="pct"/>
            <w:gridSpan w:val="3"/>
            <w:shd w:val="clear" w:color="auto" w:fill="auto"/>
          </w:tcPr>
          <w:p w14:paraId="1874B744" w14:textId="77777777" w:rsidR="000F7BBE" w:rsidRPr="000F7BBE" w:rsidRDefault="000F7BBE" w:rsidP="0059071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DE25797" w14:textId="77777777" w:rsidTr="00153E23">
        <w:tc>
          <w:tcPr>
            <w:tcW w:w="5000" w:type="pct"/>
            <w:gridSpan w:val="3"/>
            <w:shd w:val="clear" w:color="auto" w:fill="auto"/>
          </w:tcPr>
          <w:p w14:paraId="403A768A" w14:textId="025DB772" w:rsidR="000F7BBE" w:rsidRPr="000F7BBE" w:rsidRDefault="0059071B" w:rsidP="0059071B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6585E">
              <w:rPr>
                <w:b/>
                <w:bCs/>
                <w:w w:val="120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06585E">
              <w:rPr>
                <w:rFonts w:hint="cs"/>
                <w:b/>
                <w:bCs/>
                <w:w w:val="120"/>
                <w:position w:val="2"/>
                <w:rtl/>
              </w:rPr>
              <w:t xml:space="preserve"> و</w:t>
            </w:r>
            <w:r w:rsidRPr="0006585E">
              <w:rPr>
                <w:b/>
                <w:bCs/>
                <w:w w:val="120"/>
                <w:position w:val="2"/>
                <w:rtl/>
              </w:rPr>
              <w:t>المنتسبين إليه</w:t>
            </w:r>
            <w:r w:rsidRPr="0059071B">
              <w:rPr>
                <w:b/>
                <w:bCs/>
                <w:w w:val="115"/>
                <w:position w:val="2"/>
                <w:rtl/>
              </w:rPr>
              <w:br/>
            </w:r>
            <w:r w:rsidRPr="00310707">
              <w:rPr>
                <w:b/>
                <w:bCs/>
                <w:spacing w:val="-6"/>
                <w:w w:val="115"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310707">
              <w:rPr>
                <w:b/>
                <w:bCs/>
                <w:spacing w:val="-6"/>
                <w:w w:val="115"/>
                <w:position w:val="2"/>
                <w:lang w:val="en-GB"/>
              </w:rPr>
              <w:t>1</w:t>
            </w:r>
            <w:r w:rsidRPr="00310707">
              <w:rPr>
                <w:b/>
                <w:bCs/>
                <w:spacing w:val="-6"/>
                <w:w w:val="115"/>
                <w:position w:val="2"/>
                <w:rtl/>
                <w:lang w:bidi="ar-EG"/>
              </w:rPr>
              <w:t xml:space="preserve"> للاتصالات الراديوية</w:t>
            </w:r>
            <w:r w:rsidRPr="00310707">
              <w:rPr>
                <w:rFonts w:hint="cs"/>
                <w:b/>
                <w:bCs/>
                <w:spacing w:val="-6"/>
                <w:w w:val="115"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2ED7075F" w14:textId="77777777" w:rsidTr="00153E23">
        <w:tc>
          <w:tcPr>
            <w:tcW w:w="5000" w:type="pct"/>
            <w:gridSpan w:val="3"/>
            <w:shd w:val="clear" w:color="auto" w:fill="auto"/>
          </w:tcPr>
          <w:p w14:paraId="0F46EBF6" w14:textId="77777777" w:rsidR="000F7BBE" w:rsidRPr="000F7BBE" w:rsidRDefault="000F7BBE" w:rsidP="0059071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82F3723" w14:textId="77777777" w:rsidTr="00153E23">
        <w:tc>
          <w:tcPr>
            <w:tcW w:w="5000" w:type="pct"/>
            <w:gridSpan w:val="3"/>
            <w:shd w:val="clear" w:color="auto" w:fill="auto"/>
          </w:tcPr>
          <w:p w14:paraId="0A429A89" w14:textId="77777777" w:rsidR="000F7BBE" w:rsidRPr="000F7BBE" w:rsidRDefault="000F7BBE" w:rsidP="0059071B">
            <w:pPr>
              <w:spacing w:before="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ACF9BF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6630A7E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D1E25E9" w14:textId="4F16A2CE" w:rsidR="0059071B" w:rsidRPr="0059071B" w:rsidRDefault="0059071B" w:rsidP="0059071B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59071B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FB244A">
              <w:rPr>
                <w:b/>
                <w:bCs/>
                <w:position w:val="2"/>
                <w:lang w:val="fr-FR" w:bidi="ar-EG"/>
              </w:rPr>
              <w:t>1</w:t>
            </w:r>
            <w:r w:rsidRPr="0059071B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>ة (إدارة الطيف)</w:t>
            </w:r>
          </w:p>
          <w:p w14:paraId="145BA4D8" w14:textId="20776A7E" w:rsidR="000F7BBE" w:rsidRPr="000F7BBE" w:rsidRDefault="0059071B" w:rsidP="0059071B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 w:rsidRPr="0059071B">
              <w:rPr>
                <w:rFonts w:hint="eastAsia"/>
                <w:b/>
                <w:bCs/>
                <w:position w:val="2"/>
                <w:rtl/>
                <w:lang w:bidi="ar-EG"/>
              </w:rPr>
              <w:t>–</w:t>
            </w:r>
            <w:r w:rsidRPr="0059071B">
              <w:rPr>
                <w:b/>
                <w:bCs/>
                <w:position w:val="2"/>
                <w:rtl/>
                <w:lang w:bidi="ar-EG"/>
              </w:rPr>
              <w:tab/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اعتماد </w:t>
            </w:r>
            <w:r w:rsidR="00EE487F">
              <w:rPr>
                <w:rFonts w:hint="cs"/>
                <w:b/>
                <w:bCs/>
                <w:position w:val="2"/>
                <w:rtl/>
                <w:lang w:bidi="ar-EG"/>
              </w:rPr>
              <w:t>توصيتين جديدتين</w:t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ومراج</w:t>
            </w:r>
            <w:r w:rsidR="005C674E">
              <w:rPr>
                <w:rFonts w:hint="cs"/>
                <w:b/>
                <w:bCs/>
                <w:position w:val="2"/>
                <w:rtl/>
                <w:lang w:bidi="ar-EG"/>
              </w:rPr>
              <w:t>َ</w:t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عة </w:t>
            </w:r>
            <w:r w:rsidR="00EE487F">
              <w:rPr>
                <w:rFonts w:hint="cs"/>
                <w:b/>
                <w:bCs/>
                <w:position w:val="2"/>
                <w:rtl/>
                <w:lang w:bidi="ar-EG"/>
              </w:rPr>
              <w:t>توصية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>لقطاع الاتصالات الراديوية والموافقة عليها في</w:t>
            </w:r>
            <w:r w:rsidRPr="0059071B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 وفقاً للفقرة</w:t>
            </w:r>
            <w:r w:rsidRPr="0059071B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59071B">
              <w:rPr>
                <w:b/>
                <w:bCs/>
                <w:position w:val="2"/>
                <w:lang w:bidi="ar-EG"/>
              </w:rPr>
              <w:t>4.2.6.A2</w:t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القرار</w:t>
            </w:r>
            <w:r w:rsidRPr="0059071B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59071B">
              <w:rPr>
                <w:b/>
                <w:bCs/>
                <w:position w:val="2"/>
                <w:lang w:bidi="ar-EG"/>
              </w:rPr>
              <w:t>ITU</w:t>
            </w:r>
            <w:r w:rsidRPr="0059071B">
              <w:rPr>
                <w:b/>
                <w:bCs/>
                <w:position w:val="2"/>
                <w:lang w:bidi="ar-EG"/>
              </w:rPr>
              <w:noBreakHyphen/>
              <w:t>R 1</w:t>
            </w:r>
            <w:r w:rsidRPr="0059071B">
              <w:rPr>
                <w:b/>
                <w:bCs/>
                <w:position w:val="2"/>
                <w:lang w:bidi="ar-EG"/>
              </w:rPr>
              <w:noBreakHyphen/>
              <w:t>8</w:t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59071B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59071B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بالمراسلة)</w:t>
            </w:r>
          </w:p>
        </w:tc>
      </w:tr>
    </w:tbl>
    <w:p w14:paraId="6E84A334" w14:textId="7DCAB11E" w:rsidR="0059071B" w:rsidRPr="0059071B" w:rsidRDefault="0059071B" w:rsidP="005C674E">
      <w:pPr>
        <w:spacing w:before="480"/>
        <w:rPr>
          <w:rtl/>
        </w:rPr>
      </w:pPr>
      <w:r w:rsidRPr="0059071B">
        <w:rPr>
          <w:rFonts w:hint="cs"/>
          <w:rtl/>
          <w:lang w:bidi="ar-EG"/>
        </w:rPr>
        <w:t>تم</w:t>
      </w:r>
      <w:r w:rsidRPr="0059071B">
        <w:rPr>
          <w:rtl/>
          <w:lang w:bidi="ar-EG"/>
        </w:rPr>
        <w:t xml:space="preserve"> </w:t>
      </w:r>
      <w:r w:rsidRPr="0059071B">
        <w:rPr>
          <w:rFonts w:hint="cs"/>
          <w:rtl/>
          <w:lang w:bidi="ar-EG"/>
        </w:rPr>
        <w:t>بموجب</w:t>
      </w:r>
      <w:r w:rsidRPr="0059071B">
        <w:rPr>
          <w:rtl/>
          <w:lang w:bidi="ar-EG"/>
        </w:rPr>
        <w:t xml:space="preserve"> </w:t>
      </w:r>
      <w:r w:rsidRPr="0059071B">
        <w:rPr>
          <w:rFonts w:hint="cs"/>
          <w:rtl/>
          <w:lang w:bidi="ar-EG"/>
        </w:rPr>
        <w:t>الرسالة</w:t>
      </w:r>
      <w:r w:rsidRPr="0059071B">
        <w:rPr>
          <w:rtl/>
          <w:lang w:bidi="ar-EG"/>
        </w:rPr>
        <w:t xml:space="preserve"> الإدارية</w:t>
      </w:r>
      <w:r w:rsidRPr="0059071B">
        <w:rPr>
          <w:rFonts w:hint="cs"/>
          <w:rtl/>
          <w:lang w:bidi="ar-EG"/>
        </w:rPr>
        <w:t xml:space="preserve"> المعممة </w:t>
      </w:r>
      <w:hyperlink r:id="rId8" w:history="1">
        <w:r w:rsidR="005E3975" w:rsidRPr="008521AE">
          <w:rPr>
            <w:rStyle w:val="Hyperlink"/>
            <w:lang w:val="en-GB"/>
          </w:rPr>
          <w:t>CACE/981</w:t>
        </w:r>
      </w:hyperlink>
      <w:r w:rsidR="005E3975" w:rsidRPr="005E3975">
        <w:rPr>
          <w:rStyle w:val="Hyperlink"/>
          <w:rFonts w:hint="cs"/>
          <w:u w:val="none"/>
          <w:rtl/>
          <w:lang w:val="en-GB"/>
        </w:rPr>
        <w:t xml:space="preserve"> </w:t>
      </w:r>
      <w:r w:rsidRPr="0059071B">
        <w:rPr>
          <w:rFonts w:hint="cs"/>
          <w:rtl/>
          <w:lang w:bidi="ar-EG"/>
        </w:rPr>
        <w:t>المؤرخة</w:t>
      </w:r>
      <w:r w:rsidRPr="0059071B">
        <w:rPr>
          <w:rtl/>
          <w:lang w:bidi="ar-EG"/>
        </w:rPr>
        <w:t xml:space="preserve"> </w:t>
      </w:r>
      <w:r w:rsidR="005E3975">
        <w:rPr>
          <w:lang w:bidi="ar-EG"/>
        </w:rPr>
        <w:t>11</w:t>
      </w:r>
      <w:r w:rsidRPr="0059071B">
        <w:rPr>
          <w:rFonts w:hint="eastAsia"/>
          <w:rtl/>
          <w:lang w:bidi="ar-EG"/>
        </w:rPr>
        <w:t> </w:t>
      </w:r>
      <w:r w:rsidR="005E3975">
        <w:rPr>
          <w:rFonts w:hint="cs"/>
          <w:rtl/>
          <w:lang w:bidi="ar-EG"/>
        </w:rPr>
        <w:t xml:space="preserve">يونيو </w:t>
      </w:r>
      <w:r w:rsidR="005E3975">
        <w:rPr>
          <w:lang w:bidi="ar-EG"/>
        </w:rPr>
        <w:t>2021</w:t>
      </w:r>
      <w:r w:rsidRPr="0059071B">
        <w:rPr>
          <w:rtl/>
          <w:lang w:bidi="ar-EG"/>
        </w:rPr>
        <w:t xml:space="preserve">، </w:t>
      </w:r>
      <w:r w:rsidRPr="0059071B">
        <w:rPr>
          <w:rFonts w:hint="cs"/>
          <w:rtl/>
          <w:lang w:bidi="ar-EG"/>
        </w:rPr>
        <w:t>تقديم</w:t>
      </w:r>
      <w:r w:rsidRPr="0059071B">
        <w:rPr>
          <w:rtl/>
          <w:lang w:bidi="ar-EG"/>
        </w:rPr>
        <w:t xml:space="preserve"> </w:t>
      </w:r>
      <w:r w:rsidR="00EE487F">
        <w:rPr>
          <w:rFonts w:hint="cs"/>
          <w:rtl/>
          <w:lang w:bidi="ar-EG"/>
        </w:rPr>
        <w:t>مشروعي توصيتين جديدتين</w:t>
      </w:r>
      <w:r w:rsidR="00EE487F" w:rsidRPr="008D3F8E">
        <w:rPr>
          <w:rFonts w:hint="cs"/>
          <w:rtl/>
          <w:lang w:bidi="ar-EG"/>
        </w:rPr>
        <w:t xml:space="preserve"> ومشروع مراج</w:t>
      </w:r>
      <w:r w:rsidR="00EE487F">
        <w:rPr>
          <w:rFonts w:hint="cs"/>
          <w:rtl/>
          <w:lang w:bidi="ar-EG"/>
        </w:rPr>
        <w:t>َ</w:t>
      </w:r>
      <w:r w:rsidR="00EE487F" w:rsidRPr="008D3F8E">
        <w:rPr>
          <w:rFonts w:hint="cs"/>
          <w:rtl/>
          <w:lang w:bidi="ar-EG"/>
        </w:rPr>
        <w:t xml:space="preserve">عة توصية </w:t>
      </w:r>
      <w:r w:rsidRPr="0059071B">
        <w:rPr>
          <w:rFonts w:hint="cs"/>
          <w:rtl/>
          <w:lang w:bidi="ar-EG"/>
        </w:rPr>
        <w:t xml:space="preserve">لقطاع الاتصالات الراديوية </w:t>
      </w:r>
      <w:r w:rsidRPr="0059071B">
        <w:rPr>
          <w:rtl/>
          <w:lang w:bidi="ar-EG"/>
        </w:rPr>
        <w:t xml:space="preserve">لاعتمادها </w:t>
      </w:r>
      <w:r w:rsidRPr="0059071B">
        <w:rPr>
          <w:rFonts w:hint="cs"/>
          <w:rtl/>
          <w:lang w:bidi="ar-EG"/>
        </w:rPr>
        <w:t>والموافقة</w:t>
      </w:r>
      <w:r w:rsidRPr="0059071B">
        <w:rPr>
          <w:rtl/>
          <w:lang w:bidi="ar-EG"/>
        </w:rPr>
        <w:t xml:space="preserve"> عليها في</w:t>
      </w:r>
      <w:r w:rsidRPr="0059071B">
        <w:rPr>
          <w:rFonts w:hint="cs"/>
          <w:rtl/>
          <w:lang w:bidi="ar-EG"/>
        </w:rPr>
        <w:t> </w:t>
      </w:r>
      <w:r w:rsidRPr="0059071B">
        <w:rPr>
          <w:rtl/>
          <w:lang w:bidi="ar-EG"/>
        </w:rPr>
        <w:t xml:space="preserve">نفس الوقت عن طريق </w:t>
      </w:r>
      <w:r w:rsidRPr="0059071B">
        <w:rPr>
          <w:rFonts w:hint="cs"/>
          <w:rtl/>
          <w:lang w:bidi="ar-EG"/>
        </w:rPr>
        <w:t>المراسلة</w:t>
      </w:r>
      <w:r w:rsidRPr="0059071B">
        <w:rPr>
          <w:rFonts w:hint="eastAsia"/>
          <w:rtl/>
          <w:lang w:bidi="ar-EG"/>
        </w:rPr>
        <w:t> </w:t>
      </w:r>
      <w:r w:rsidRPr="0059071B">
        <w:rPr>
          <w:lang w:bidi="ar-EG"/>
        </w:rPr>
        <w:t>(PSAA)</w:t>
      </w:r>
      <w:r w:rsidRPr="0059071B">
        <w:rPr>
          <w:rtl/>
          <w:lang w:bidi="ar-EG"/>
        </w:rPr>
        <w:t xml:space="preserve"> وفقاً للإجراء </w:t>
      </w:r>
      <w:r w:rsidRPr="0059071B">
        <w:rPr>
          <w:rFonts w:hint="cs"/>
          <w:rtl/>
          <w:lang w:bidi="ar-EG"/>
        </w:rPr>
        <w:t>المنصوص</w:t>
      </w:r>
      <w:r w:rsidRPr="0059071B">
        <w:rPr>
          <w:rtl/>
          <w:lang w:bidi="ar-EG"/>
        </w:rPr>
        <w:t xml:space="preserve"> عليه في</w:t>
      </w:r>
      <w:r w:rsidRPr="0059071B">
        <w:rPr>
          <w:rFonts w:hint="cs"/>
          <w:rtl/>
          <w:lang w:bidi="ar-EG"/>
        </w:rPr>
        <w:t> </w:t>
      </w:r>
      <w:r w:rsidRPr="0059071B">
        <w:rPr>
          <w:rtl/>
          <w:lang w:bidi="ar-EG"/>
        </w:rPr>
        <w:t>القرار</w:t>
      </w:r>
      <w:r w:rsidRPr="0059071B">
        <w:rPr>
          <w:rFonts w:hint="cs"/>
          <w:rtl/>
          <w:lang w:bidi="ar-EG"/>
        </w:rPr>
        <w:t> </w:t>
      </w:r>
      <w:r w:rsidRPr="0059071B">
        <w:rPr>
          <w:lang w:bidi="ar-EG"/>
        </w:rPr>
        <w:t>ITU</w:t>
      </w:r>
      <w:r w:rsidRPr="0059071B">
        <w:rPr>
          <w:lang w:bidi="ar-EG"/>
        </w:rPr>
        <w:sym w:font="Symbol" w:char="F02D"/>
      </w:r>
      <w:r w:rsidRPr="0059071B">
        <w:rPr>
          <w:lang w:bidi="ar-EG"/>
        </w:rPr>
        <w:t>R 1</w:t>
      </w:r>
      <w:r w:rsidRPr="0059071B">
        <w:rPr>
          <w:lang w:bidi="ar-EG"/>
        </w:rPr>
        <w:noBreakHyphen/>
        <w:t>8</w:t>
      </w:r>
      <w:r w:rsidRPr="0059071B">
        <w:rPr>
          <w:rtl/>
          <w:lang w:bidi="ar-EG"/>
        </w:rPr>
        <w:t xml:space="preserve"> (الفقرة </w:t>
      </w:r>
      <w:r w:rsidRPr="0059071B">
        <w:rPr>
          <w:lang w:bidi="ar-EG"/>
        </w:rPr>
        <w:t>4.2.6.A2</w:t>
      </w:r>
      <w:r w:rsidRPr="0059071B">
        <w:rPr>
          <w:rtl/>
          <w:lang w:bidi="ar-EG"/>
        </w:rPr>
        <w:t>).</w:t>
      </w:r>
    </w:p>
    <w:p w14:paraId="7175EE89" w14:textId="0AC8A499" w:rsidR="0059071B" w:rsidRPr="0059071B" w:rsidRDefault="0059071B" w:rsidP="0059071B">
      <w:pPr>
        <w:rPr>
          <w:rtl/>
          <w:lang w:bidi="ar-EG"/>
        </w:rPr>
      </w:pPr>
      <w:r w:rsidRPr="0059071B">
        <w:rPr>
          <w:rtl/>
          <w:lang w:bidi="ar-EG"/>
        </w:rPr>
        <w:t xml:space="preserve">وقد استوفيت الشروط </w:t>
      </w:r>
      <w:r w:rsidRPr="0059071B">
        <w:rPr>
          <w:rFonts w:hint="cs"/>
          <w:rtl/>
          <w:lang w:bidi="ar-EG"/>
        </w:rPr>
        <w:t xml:space="preserve">التي تحكم هذا </w:t>
      </w:r>
      <w:r w:rsidRPr="0059071B">
        <w:rPr>
          <w:rtl/>
          <w:lang w:bidi="ar-EG"/>
        </w:rPr>
        <w:t xml:space="preserve">الإجراء في </w:t>
      </w:r>
      <w:r w:rsidR="005E3975">
        <w:rPr>
          <w:lang w:bidi="ar-EG"/>
        </w:rPr>
        <w:t>11</w:t>
      </w:r>
      <w:r w:rsidRPr="0059071B">
        <w:rPr>
          <w:rFonts w:hint="eastAsia"/>
          <w:rtl/>
          <w:lang w:bidi="ar-EG"/>
        </w:rPr>
        <w:t> </w:t>
      </w:r>
      <w:r w:rsidR="005E3975">
        <w:rPr>
          <w:rFonts w:hint="cs"/>
          <w:rtl/>
          <w:lang w:bidi="ar-EG"/>
        </w:rPr>
        <w:t xml:space="preserve">أغسطس </w:t>
      </w:r>
      <w:r w:rsidRPr="0059071B">
        <w:rPr>
          <w:lang w:bidi="ar-EG"/>
        </w:rPr>
        <w:t>2021</w:t>
      </w:r>
      <w:r w:rsidRPr="0059071B">
        <w:rPr>
          <w:rFonts w:hint="cs"/>
          <w:rtl/>
          <w:lang w:bidi="ar-EG"/>
        </w:rPr>
        <w:t>.</w:t>
      </w:r>
    </w:p>
    <w:p w14:paraId="544CE64B" w14:textId="77777777" w:rsidR="0059071B" w:rsidRPr="0059071B" w:rsidRDefault="0059071B" w:rsidP="0059071B">
      <w:pPr>
        <w:rPr>
          <w:rtl/>
          <w:lang w:bidi="ar-EG"/>
        </w:rPr>
      </w:pPr>
      <w:r w:rsidRPr="0059071B">
        <w:rPr>
          <w:rtl/>
          <w:lang w:bidi="ar-EG"/>
        </w:rPr>
        <w:t xml:space="preserve">وسينشر </w:t>
      </w:r>
      <w:r w:rsidRPr="0059071B">
        <w:rPr>
          <w:rFonts w:hint="cs"/>
          <w:rtl/>
          <w:lang w:bidi="ar-EG"/>
        </w:rPr>
        <w:t>الاتحاد</w:t>
      </w:r>
      <w:r w:rsidRPr="0059071B">
        <w:rPr>
          <w:rtl/>
          <w:lang w:bidi="ar-EG"/>
        </w:rPr>
        <w:t xml:space="preserve"> </w:t>
      </w:r>
      <w:r w:rsidRPr="0059071B">
        <w:rPr>
          <w:rFonts w:hint="cs"/>
          <w:rtl/>
          <w:lang w:bidi="ar-EG"/>
        </w:rPr>
        <w:t>التوصيات الموافَق</w:t>
      </w:r>
      <w:r w:rsidRPr="0059071B">
        <w:rPr>
          <w:rtl/>
          <w:lang w:bidi="ar-EG"/>
        </w:rPr>
        <w:t xml:space="preserve"> عليها، ويتضمن </w:t>
      </w:r>
      <w:r w:rsidRPr="0059071B">
        <w:rPr>
          <w:rFonts w:hint="cs"/>
          <w:rtl/>
          <w:lang w:bidi="ar-EG"/>
        </w:rPr>
        <w:t>الملحق</w:t>
      </w:r>
      <w:r w:rsidRPr="0059071B">
        <w:rPr>
          <w:rtl/>
          <w:lang w:bidi="ar-EG"/>
        </w:rPr>
        <w:t xml:space="preserve"> </w:t>
      </w:r>
      <w:r w:rsidRPr="0059071B">
        <w:rPr>
          <w:rFonts w:hint="cs"/>
          <w:rtl/>
          <w:lang w:bidi="ar-EG"/>
        </w:rPr>
        <w:t>ب</w:t>
      </w:r>
      <w:r w:rsidRPr="0059071B">
        <w:rPr>
          <w:rtl/>
          <w:lang w:bidi="ar-EG"/>
        </w:rPr>
        <w:t xml:space="preserve">هذه </w:t>
      </w:r>
      <w:r w:rsidRPr="0059071B">
        <w:rPr>
          <w:rFonts w:hint="cs"/>
          <w:rtl/>
          <w:lang w:bidi="ar-EG"/>
        </w:rPr>
        <w:t>الرسالة المعممة</w:t>
      </w:r>
      <w:r w:rsidRPr="0059071B">
        <w:rPr>
          <w:rtl/>
          <w:lang w:bidi="ar-EG"/>
        </w:rPr>
        <w:t xml:space="preserve"> </w:t>
      </w:r>
      <w:r w:rsidRPr="0059071B">
        <w:rPr>
          <w:rFonts w:hint="cs"/>
          <w:rtl/>
          <w:lang w:bidi="ar-EG"/>
        </w:rPr>
        <w:t>عناوين هذه التوصيات والأرقام المخصصة </w:t>
      </w:r>
      <w:r w:rsidRPr="0059071B">
        <w:rPr>
          <w:rtl/>
          <w:lang w:bidi="ar-EG"/>
        </w:rPr>
        <w:t>لها.</w:t>
      </w:r>
    </w:p>
    <w:p w14:paraId="252BB413" w14:textId="77777777" w:rsidR="0059071B" w:rsidRPr="0059071B" w:rsidRDefault="0059071B" w:rsidP="00DF4893">
      <w:pPr>
        <w:spacing w:before="240"/>
        <w:rPr>
          <w:rtl/>
          <w:lang w:bidi="ar-EG"/>
        </w:rPr>
      </w:pPr>
      <w:r w:rsidRPr="0059071B">
        <w:rPr>
          <w:rFonts w:hint="cs"/>
          <w:rtl/>
          <w:lang w:bidi="ar-EG"/>
        </w:rPr>
        <w:t>وتفضلوا بقبول فائق التقدير والاحترام.</w:t>
      </w:r>
    </w:p>
    <w:p w14:paraId="7CA723D5" w14:textId="77777777" w:rsidR="005E3975" w:rsidRPr="005E3975" w:rsidRDefault="005E3975" w:rsidP="00671B2C">
      <w:pPr>
        <w:spacing w:before="1200"/>
        <w:jc w:val="left"/>
        <w:rPr>
          <w:rtl/>
        </w:rPr>
      </w:pPr>
      <w:r w:rsidRPr="005E3975">
        <w:rPr>
          <w:rtl/>
        </w:rPr>
        <w:t xml:space="preserve">ماريو </w:t>
      </w:r>
      <w:proofErr w:type="spellStart"/>
      <w:r w:rsidRPr="005E3975">
        <w:rPr>
          <w:rtl/>
        </w:rPr>
        <w:t>مانيفيتش</w:t>
      </w:r>
      <w:proofErr w:type="spellEnd"/>
      <w:r w:rsidRPr="005E3975">
        <w:rPr>
          <w:rtl/>
        </w:rPr>
        <w:br/>
      </w:r>
      <w:r w:rsidRPr="005E3975">
        <w:rPr>
          <w:rFonts w:hint="cs"/>
          <w:rtl/>
        </w:rPr>
        <w:t>المدير</w:t>
      </w:r>
    </w:p>
    <w:p w14:paraId="022C19B0" w14:textId="77777777" w:rsidR="005E3975" w:rsidRPr="005E3975" w:rsidRDefault="005E3975" w:rsidP="00671B2C">
      <w:pPr>
        <w:spacing w:before="1320"/>
        <w:rPr>
          <w:rtl/>
          <w:lang w:bidi="ar-EG"/>
        </w:rPr>
      </w:pPr>
      <w:r w:rsidRPr="005E3975">
        <w:rPr>
          <w:b/>
          <w:bCs/>
          <w:rtl/>
          <w:lang w:bidi="ar-EG"/>
        </w:rPr>
        <w:t>الملحق</w:t>
      </w:r>
      <w:r w:rsidRPr="005E3975">
        <w:rPr>
          <w:rFonts w:hint="cs"/>
          <w:b/>
          <w:bCs/>
          <w:rtl/>
        </w:rPr>
        <w:t>ات</w:t>
      </w:r>
      <w:r w:rsidRPr="005E3975">
        <w:rPr>
          <w:rtl/>
          <w:lang w:bidi="ar-EG"/>
        </w:rPr>
        <w:t xml:space="preserve">: </w:t>
      </w:r>
      <w:r w:rsidRPr="005E3975">
        <w:rPr>
          <w:lang w:bidi="ar-EG"/>
        </w:rPr>
        <w:t>1</w:t>
      </w:r>
    </w:p>
    <w:p w14:paraId="6F5A7E6C" w14:textId="573F0E72" w:rsidR="005E3975" w:rsidRDefault="005E3975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  <w:bookmarkStart w:id="0" w:name="_GoBack"/>
      <w:bookmarkEnd w:id="0"/>
    </w:p>
    <w:p w14:paraId="3343965E" w14:textId="7519F13C" w:rsidR="005E3975" w:rsidRDefault="005E3975" w:rsidP="005E3975">
      <w:pPr>
        <w:pStyle w:val="Annextitle"/>
        <w:rPr>
          <w:rtl/>
          <w:lang w:bidi="ar-EG"/>
        </w:rPr>
      </w:pPr>
      <w:r w:rsidRPr="005E3975">
        <w:rPr>
          <w:rFonts w:hint="eastAsia"/>
          <w:rtl/>
        </w:rPr>
        <w:lastRenderedPageBreak/>
        <w:t>الملحـق</w:t>
      </w:r>
      <w:r w:rsidRPr="005E3975">
        <w:rPr>
          <w:rtl/>
        </w:rPr>
        <w:br/>
      </w:r>
      <w:r w:rsidRPr="005E3975">
        <w:rPr>
          <w:rtl/>
        </w:rPr>
        <w:br/>
      </w:r>
      <w:r w:rsidRPr="005E3975">
        <w:rPr>
          <w:rFonts w:hint="cs"/>
          <w:rtl/>
        </w:rPr>
        <w:t>عناوين توصيات قطاع الاتصالات الراديوية الموافَق عليها</w:t>
      </w:r>
    </w:p>
    <w:tbl>
      <w:tblPr>
        <w:bidiVisual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5274"/>
        <w:gridCol w:w="1842"/>
      </w:tblGrid>
      <w:tr w:rsidR="00472E9F" w:rsidRPr="00472E9F" w14:paraId="35A9D870" w14:textId="77777777" w:rsidTr="00472E9F">
        <w:trPr>
          <w:jc w:val="center"/>
        </w:trPr>
        <w:tc>
          <w:tcPr>
            <w:tcW w:w="2377" w:type="dxa"/>
            <w:vAlign w:val="center"/>
          </w:tcPr>
          <w:p w14:paraId="487A71DB" w14:textId="6ECAD661" w:rsidR="00472E9F" w:rsidRPr="00472E9F" w:rsidRDefault="00472E9F" w:rsidP="00472E9F">
            <w:pPr>
              <w:pStyle w:val="Tablehead0"/>
              <w:bidi/>
              <w:spacing w:before="120" w:after="120" w:line="260" w:lineRule="exact"/>
              <w:rPr>
                <w:rFonts w:ascii="Dubai" w:hAnsi="Dubai" w:cs="Dubai"/>
                <w:sz w:val="22"/>
                <w:lang w:val="en-GB"/>
              </w:rPr>
            </w:pPr>
            <w:r w:rsidRPr="00472E9F">
              <w:rPr>
                <w:rFonts w:ascii="Dubai" w:hAnsi="Dubai" w:cs="Dubai" w:hint="cs"/>
                <w:bCs/>
                <w:sz w:val="22"/>
                <w:rtl/>
                <w:lang w:bidi="ar-EG"/>
              </w:rPr>
              <w:t xml:space="preserve">توصية قطاع الاتصالات الراديوية </w:t>
            </w:r>
            <w:r w:rsidRPr="00472E9F">
              <w:rPr>
                <w:rFonts w:ascii="Dubai" w:hAnsi="Dubai" w:cs="Dubai"/>
                <w:bCs/>
                <w:sz w:val="22"/>
                <w:lang w:bidi="ar-EG"/>
              </w:rPr>
              <w:t>(ITU-R)</w:t>
            </w:r>
          </w:p>
        </w:tc>
        <w:tc>
          <w:tcPr>
            <w:tcW w:w="5274" w:type="dxa"/>
            <w:vAlign w:val="center"/>
          </w:tcPr>
          <w:p w14:paraId="1C6EC7D6" w14:textId="70363D12" w:rsidR="00472E9F" w:rsidRPr="00472E9F" w:rsidRDefault="00472E9F" w:rsidP="00472E9F">
            <w:pPr>
              <w:pStyle w:val="Tablehead0"/>
              <w:bidi/>
              <w:spacing w:before="120" w:after="120" w:line="260" w:lineRule="exact"/>
              <w:rPr>
                <w:rFonts w:ascii="Dubai" w:hAnsi="Dubai" w:cs="Dubai"/>
                <w:sz w:val="22"/>
                <w:lang w:val="en-GB"/>
              </w:rPr>
            </w:pPr>
            <w:r w:rsidRPr="00472E9F">
              <w:rPr>
                <w:rFonts w:ascii="Dubai" w:hAnsi="Dubai" w:cs="Dubai" w:hint="cs"/>
                <w:bCs/>
                <w:sz w:val="22"/>
                <w:rtl/>
                <w:lang w:bidi="ar-EG"/>
              </w:rPr>
              <w:t>العنوان</w:t>
            </w:r>
          </w:p>
        </w:tc>
        <w:tc>
          <w:tcPr>
            <w:tcW w:w="1842" w:type="dxa"/>
            <w:vAlign w:val="center"/>
          </w:tcPr>
          <w:p w14:paraId="60F51815" w14:textId="6AD6F190" w:rsidR="00472E9F" w:rsidRPr="00472E9F" w:rsidRDefault="00472E9F" w:rsidP="00472E9F">
            <w:pPr>
              <w:pStyle w:val="Tablehead0"/>
              <w:bidi/>
              <w:spacing w:before="120" w:after="120" w:line="260" w:lineRule="exact"/>
              <w:rPr>
                <w:rFonts w:ascii="Dubai" w:hAnsi="Dubai" w:cs="Dubai"/>
                <w:bCs/>
                <w:sz w:val="22"/>
                <w:lang w:val="en-GB"/>
              </w:rPr>
            </w:pPr>
            <w:r w:rsidRPr="00472E9F">
              <w:rPr>
                <w:rFonts w:ascii="Dubai" w:hAnsi="Dubai" w:cs="Dubai" w:hint="cs"/>
                <w:bCs/>
                <w:sz w:val="22"/>
                <w:rtl/>
              </w:rPr>
              <w:t>الوثيقة</w:t>
            </w:r>
          </w:p>
        </w:tc>
      </w:tr>
      <w:tr w:rsidR="00472E9F" w:rsidRPr="00472E9F" w14:paraId="08268A07" w14:textId="77777777" w:rsidTr="00A675ED">
        <w:trPr>
          <w:jc w:val="center"/>
        </w:trPr>
        <w:tc>
          <w:tcPr>
            <w:tcW w:w="2377" w:type="dxa"/>
            <w:vAlign w:val="center"/>
          </w:tcPr>
          <w:p w14:paraId="4FE10F5D" w14:textId="79FC9AD6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 w:val="22"/>
                <w:rtl/>
                <w:lang w:val="en-GB" w:bidi="ar-EG"/>
              </w:rPr>
            </w:pPr>
            <w:r w:rsidRPr="00472E9F">
              <w:rPr>
                <w:rFonts w:ascii="Dubai" w:hAnsi="Dubai" w:cs="Dubai"/>
                <w:sz w:val="22"/>
              </w:rPr>
              <w:t>SM.2139-0</w:t>
            </w:r>
          </w:p>
        </w:tc>
        <w:tc>
          <w:tcPr>
            <w:tcW w:w="5274" w:type="dxa"/>
          </w:tcPr>
          <w:p w14:paraId="081731FD" w14:textId="53DB66BB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pacing w:val="-4"/>
                <w:sz w:val="22"/>
                <w:lang w:val="en-GB"/>
              </w:rPr>
            </w:pPr>
            <w:r w:rsidRPr="00472E9F">
              <w:rPr>
                <w:rFonts w:ascii="Dubai" w:hAnsi="Dubai" w:cs="Dubai" w:hint="cs"/>
                <w:spacing w:val="-4"/>
                <w:sz w:val="22"/>
                <w:rtl/>
                <w:lang w:bidi="ar-EG"/>
              </w:rPr>
              <w:t xml:space="preserve">إجراء الاختبار لتحديد دقة أنظمة </w:t>
            </w:r>
            <w:r w:rsidRPr="00472E9F">
              <w:rPr>
                <w:rFonts w:ascii="Dubai" w:hAnsi="Dubai" w:cs="Dubai" w:hint="cs"/>
                <w:spacing w:val="-4"/>
                <w:sz w:val="22"/>
                <w:rtl/>
              </w:rPr>
              <w:t xml:space="preserve">تحديد </w:t>
            </w:r>
            <w:r w:rsidRPr="00472E9F">
              <w:rPr>
                <w:rFonts w:ascii="Dubai" w:hAnsi="Dubai" w:cs="Dubai" w:hint="cs"/>
                <w:spacing w:val="-4"/>
                <w:sz w:val="22"/>
                <w:rtl/>
                <w:lang w:bidi="ar-EG"/>
              </w:rPr>
              <w:t xml:space="preserve">اختلاف زمن الوصول </w:t>
            </w:r>
            <w:r w:rsidRPr="00472E9F">
              <w:rPr>
                <w:rFonts w:ascii="Dubai" w:hAnsi="Dubai" w:cs="Dubai"/>
                <w:spacing w:val="-4"/>
                <w:sz w:val="22"/>
                <w:lang w:val="en-GB" w:bidi="ar-EG"/>
              </w:rPr>
              <w:t>(TDOA)</w:t>
            </w:r>
          </w:p>
        </w:tc>
        <w:tc>
          <w:tcPr>
            <w:tcW w:w="1842" w:type="dxa"/>
            <w:vAlign w:val="center"/>
          </w:tcPr>
          <w:p w14:paraId="7CE56A28" w14:textId="755E1A38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72E9F">
              <w:rPr>
                <w:rFonts w:ascii="Dubai" w:hAnsi="Dubai" w:cs="Dubai"/>
                <w:sz w:val="22"/>
                <w:lang w:val="en-GB"/>
              </w:rPr>
              <w:t>1/53(Rev.1)</w:t>
            </w:r>
          </w:p>
        </w:tc>
      </w:tr>
      <w:tr w:rsidR="00472E9F" w:rsidRPr="00472E9F" w14:paraId="1443AE25" w14:textId="77777777" w:rsidTr="00A675ED">
        <w:trPr>
          <w:jc w:val="center"/>
        </w:trPr>
        <w:tc>
          <w:tcPr>
            <w:tcW w:w="2377" w:type="dxa"/>
            <w:vAlign w:val="center"/>
          </w:tcPr>
          <w:p w14:paraId="4989EE02" w14:textId="24CDCADE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72E9F">
              <w:rPr>
                <w:rFonts w:ascii="Dubai" w:hAnsi="Dubai" w:cs="Dubai"/>
                <w:sz w:val="22"/>
              </w:rPr>
              <w:t>SM.2140-0</w:t>
            </w:r>
          </w:p>
        </w:tc>
        <w:tc>
          <w:tcPr>
            <w:tcW w:w="5274" w:type="dxa"/>
          </w:tcPr>
          <w:p w14:paraId="4B7C96CC" w14:textId="598095D2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 w:val="22"/>
              </w:rPr>
            </w:pPr>
            <w:r w:rsidRPr="00472E9F">
              <w:rPr>
                <w:rFonts w:ascii="Dubai" w:hAnsi="Dubai" w:cs="Dubai" w:hint="cs"/>
                <w:sz w:val="22"/>
                <w:rtl/>
                <w:lang w:bidi="ar-EG"/>
              </w:rPr>
              <w:t>تقييم أداء الأجهزة المتنقلة لتحديد</w:t>
            </w:r>
            <w:r w:rsidRPr="00472E9F">
              <w:rPr>
                <w:rFonts w:ascii="Dubai" w:hAnsi="Dubai" w:cs="Dubai"/>
                <w:sz w:val="22"/>
                <w:rtl/>
                <w:lang w:bidi="ar-EG"/>
              </w:rPr>
              <w:t xml:space="preserve"> </w:t>
            </w:r>
            <w:r w:rsidRPr="00472E9F">
              <w:rPr>
                <w:rFonts w:ascii="Dubai" w:hAnsi="Dubai" w:cs="Dubai" w:hint="cs"/>
                <w:sz w:val="22"/>
                <w:rtl/>
                <w:lang w:bidi="ar-EG"/>
              </w:rPr>
              <w:t>الاتجاه</w:t>
            </w:r>
            <w:r w:rsidRPr="00472E9F">
              <w:rPr>
                <w:rFonts w:ascii="Dubai" w:hAnsi="Dubai" w:cs="Dubai"/>
                <w:sz w:val="22"/>
                <w:rtl/>
                <w:lang w:bidi="ar-EG"/>
              </w:rPr>
              <w:t xml:space="preserve"> </w:t>
            </w:r>
            <w:r w:rsidRPr="00472E9F">
              <w:rPr>
                <w:rFonts w:ascii="Dubai" w:hAnsi="Dubai" w:cs="Dubai"/>
                <w:sz w:val="22"/>
              </w:rPr>
              <w:t>(DF)</w:t>
            </w:r>
            <w:r w:rsidRPr="00472E9F">
              <w:rPr>
                <w:rFonts w:ascii="Dubai" w:hAnsi="Dubai" w:cs="Dubai" w:hint="cs"/>
                <w:sz w:val="22"/>
                <w:rtl/>
                <w:lang w:bidi="ar-EG"/>
              </w:rPr>
              <w:t xml:space="preserve"> في بيئة تشغيلية</w:t>
            </w:r>
          </w:p>
        </w:tc>
        <w:tc>
          <w:tcPr>
            <w:tcW w:w="1842" w:type="dxa"/>
            <w:vAlign w:val="center"/>
          </w:tcPr>
          <w:p w14:paraId="05B1E24F" w14:textId="6C4DB62B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72E9F">
              <w:rPr>
                <w:rFonts w:ascii="Dubai" w:hAnsi="Dubai" w:cs="Dubai"/>
                <w:sz w:val="22"/>
                <w:lang w:val="en-GB"/>
              </w:rPr>
              <w:t>1/57(Rev.1)</w:t>
            </w:r>
          </w:p>
        </w:tc>
      </w:tr>
      <w:tr w:rsidR="00472E9F" w:rsidRPr="00472E9F" w14:paraId="284B5684" w14:textId="77777777" w:rsidTr="00A675ED">
        <w:trPr>
          <w:jc w:val="center"/>
        </w:trPr>
        <w:tc>
          <w:tcPr>
            <w:tcW w:w="2377" w:type="dxa"/>
            <w:vAlign w:val="center"/>
          </w:tcPr>
          <w:p w14:paraId="037C72D3" w14:textId="03CC6134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72E9F">
              <w:rPr>
                <w:rFonts w:ascii="Dubai" w:hAnsi="Dubai" w:cs="Dubai"/>
                <w:sz w:val="22"/>
                <w:lang w:val="en-GB"/>
              </w:rPr>
              <w:t>SM.575-3</w:t>
            </w:r>
          </w:p>
        </w:tc>
        <w:tc>
          <w:tcPr>
            <w:tcW w:w="5274" w:type="dxa"/>
          </w:tcPr>
          <w:p w14:paraId="584DB0AA" w14:textId="393663C1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both"/>
              <w:rPr>
                <w:rFonts w:ascii="Dubai" w:hAnsi="Dubai" w:cs="Dubai"/>
                <w:sz w:val="22"/>
                <w:lang w:val="en-GB"/>
              </w:rPr>
            </w:pPr>
            <w:r w:rsidRPr="00472E9F">
              <w:rPr>
                <w:rFonts w:ascii="Dubai" w:hAnsi="Dubai" w:cs="Dubai"/>
                <w:sz w:val="22"/>
                <w:rtl/>
                <w:lang w:bidi="ar-SY"/>
              </w:rPr>
              <w:t xml:space="preserve">حماية محطات المراقبة الثابتة من التداخل </w:t>
            </w:r>
            <w:r w:rsidRPr="00472E9F">
              <w:rPr>
                <w:rFonts w:ascii="Dubai" w:hAnsi="Dubai" w:cs="Dubai" w:hint="cs"/>
                <w:sz w:val="22"/>
                <w:rtl/>
                <w:lang w:bidi="ar-SY"/>
              </w:rPr>
              <w:t>الوارد</w:t>
            </w:r>
            <w:r w:rsidRPr="00472E9F">
              <w:rPr>
                <w:rFonts w:ascii="Dubai" w:hAnsi="Dubai" w:cs="Dubai"/>
                <w:sz w:val="22"/>
                <w:rtl/>
                <w:lang w:bidi="ar-SY"/>
              </w:rPr>
              <w:t xml:space="preserve"> من مرس</w:t>
            </w:r>
            <w:r w:rsidRPr="00472E9F">
              <w:rPr>
                <w:rFonts w:ascii="Dubai" w:hAnsi="Dubai" w:cs="Dubai" w:hint="cs"/>
                <w:sz w:val="22"/>
                <w:rtl/>
                <w:lang w:bidi="ar-SY"/>
              </w:rPr>
              <w:t>ِ</w:t>
            </w:r>
            <w:r w:rsidRPr="00472E9F">
              <w:rPr>
                <w:rFonts w:ascii="Dubai" w:hAnsi="Dubai" w:cs="Dubai"/>
                <w:sz w:val="22"/>
                <w:rtl/>
                <w:lang w:bidi="ar-SY"/>
              </w:rPr>
              <w:t>لات قريبة أو قوية</w:t>
            </w:r>
          </w:p>
        </w:tc>
        <w:tc>
          <w:tcPr>
            <w:tcW w:w="1842" w:type="dxa"/>
            <w:vAlign w:val="center"/>
          </w:tcPr>
          <w:p w14:paraId="377F4373" w14:textId="1ADA0029" w:rsidR="00472E9F" w:rsidRPr="00472E9F" w:rsidRDefault="00472E9F" w:rsidP="00233C78">
            <w:pPr>
              <w:pStyle w:val="Tabletext"/>
              <w:bidi/>
              <w:spacing w:before="60" w:after="60" w:line="260" w:lineRule="exact"/>
              <w:jc w:val="center"/>
              <w:rPr>
                <w:rFonts w:ascii="Dubai" w:hAnsi="Dubai" w:cs="Dubai"/>
                <w:sz w:val="22"/>
                <w:lang w:val="en-GB"/>
              </w:rPr>
            </w:pPr>
            <w:r w:rsidRPr="00472E9F">
              <w:rPr>
                <w:rFonts w:ascii="Dubai" w:hAnsi="Dubai" w:cs="Dubai"/>
                <w:sz w:val="22"/>
                <w:lang w:val="en-GB"/>
              </w:rPr>
              <w:t>1/55</w:t>
            </w:r>
          </w:p>
        </w:tc>
      </w:tr>
    </w:tbl>
    <w:p w14:paraId="3D55C212" w14:textId="7C0F05BD" w:rsidR="00F16820" w:rsidRPr="00AC1601" w:rsidRDefault="00AC1601" w:rsidP="00F1682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F16820" w:rsidRPr="00AC1601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D47A" w14:textId="77777777" w:rsidR="0059071B" w:rsidRDefault="0059071B" w:rsidP="006C3242">
      <w:pPr>
        <w:spacing w:before="0" w:line="240" w:lineRule="auto"/>
      </w:pPr>
      <w:r>
        <w:separator/>
      </w:r>
    </w:p>
  </w:endnote>
  <w:endnote w:type="continuationSeparator" w:id="0">
    <w:p w14:paraId="36E3CBEC" w14:textId="77777777" w:rsidR="0059071B" w:rsidRDefault="0059071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E6AB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Switzerland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0076" w14:textId="77777777" w:rsidR="0059071B" w:rsidRDefault="0059071B" w:rsidP="006C3242">
      <w:pPr>
        <w:spacing w:before="0" w:line="240" w:lineRule="auto"/>
      </w:pPr>
      <w:r>
        <w:separator/>
      </w:r>
    </w:p>
  </w:footnote>
  <w:footnote w:type="continuationSeparator" w:id="0">
    <w:p w14:paraId="418E7EAC" w14:textId="77777777" w:rsidR="0059071B" w:rsidRDefault="0059071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E3B36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D216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20235874" wp14:editId="07052BAB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1B"/>
    <w:rsid w:val="000401B1"/>
    <w:rsid w:val="0006468A"/>
    <w:rsid w:val="0006585E"/>
    <w:rsid w:val="00090574"/>
    <w:rsid w:val="000A05B2"/>
    <w:rsid w:val="000C1C0E"/>
    <w:rsid w:val="000C548A"/>
    <w:rsid w:val="000F7BBE"/>
    <w:rsid w:val="00150DB9"/>
    <w:rsid w:val="00192DD7"/>
    <w:rsid w:val="001C0169"/>
    <w:rsid w:val="001C3041"/>
    <w:rsid w:val="001D1D50"/>
    <w:rsid w:val="001D6745"/>
    <w:rsid w:val="001E446E"/>
    <w:rsid w:val="002154EE"/>
    <w:rsid w:val="002276D2"/>
    <w:rsid w:val="0023283D"/>
    <w:rsid w:val="00233C78"/>
    <w:rsid w:val="0026373E"/>
    <w:rsid w:val="00271C43"/>
    <w:rsid w:val="00290728"/>
    <w:rsid w:val="002978F4"/>
    <w:rsid w:val="002B028D"/>
    <w:rsid w:val="002E6541"/>
    <w:rsid w:val="00310707"/>
    <w:rsid w:val="00334924"/>
    <w:rsid w:val="003409BC"/>
    <w:rsid w:val="00357185"/>
    <w:rsid w:val="00383829"/>
    <w:rsid w:val="003F4B29"/>
    <w:rsid w:val="004255DB"/>
    <w:rsid w:val="0042686F"/>
    <w:rsid w:val="004317D8"/>
    <w:rsid w:val="00434183"/>
    <w:rsid w:val="00443869"/>
    <w:rsid w:val="00447F32"/>
    <w:rsid w:val="00472E9F"/>
    <w:rsid w:val="004E11DC"/>
    <w:rsid w:val="00525DDD"/>
    <w:rsid w:val="005409AC"/>
    <w:rsid w:val="0055516A"/>
    <w:rsid w:val="0058491B"/>
    <w:rsid w:val="0059071B"/>
    <w:rsid w:val="00592BA5"/>
    <w:rsid w:val="00592EA5"/>
    <w:rsid w:val="005A3170"/>
    <w:rsid w:val="005C6666"/>
    <w:rsid w:val="005C674E"/>
    <w:rsid w:val="005E3975"/>
    <w:rsid w:val="006515C3"/>
    <w:rsid w:val="00671B2C"/>
    <w:rsid w:val="00677396"/>
    <w:rsid w:val="00682BD7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048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C1601"/>
    <w:rsid w:val="00B03099"/>
    <w:rsid w:val="00B05BC8"/>
    <w:rsid w:val="00B20C86"/>
    <w:rsid w:val="00B64B47"/>
    <w:rsid w:val="00C002DE"/>
    <w:rsid w:val="00C53BF8"/>
    <w:rsid w:val="00C66157"/>
    <w:rsid w:val="00C674FE"/>
    <w:rsid w:val="00C67501"/>
    <w:rsid w:val="00C75633"/>
    <w:rsid w:val="00CD796A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DF4893"/>
    <w:rsid w:val="00E45211"/>
    <w:rsid w:val="00E473C5"/>
    <w:rsid w:val="00E92863"/>
    <w:rsid w:val="00EB796D"/>
    <w:rsid w:val="00EE487F"/>
    <w:rsid w:val="00F058DC"/>
    <w:rsid w:val="00F16820"/>
    <w:rsid w:val="00F24FC4"/>
    <w:rsid w:val="00F2676C"/>
    <w:rsid w:val="00F84366"/>
    <w:rsid w:val="00F85089"/>
    <w:rsid w:val="00F974C5"/>
    <w:rsid w:val="00FA6F46"/>
    <w:rsid w:val="00FB244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07C216"/>
  <w15:chartTrackingRefBased/>
  <w15:docId w15:val="{EE9536F9-E4BA-4107-90A0-F1AAE637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487F"/>
    <w:rPr>
      <w:color w:val="954F72" w:themeColor="followedHyperlink"/>
      <w:u w:val="single"/>
    </w:rPr>
  </w:style>
  <w:style w:type="paragraph" w:customStyle="1" w:styleId="Tablehead0">
    <w:name w:val="Table_head"/>
    <w:basedOn w:val="Normal"/>
    <w:next w:val="Tabletext"/>
    <w:link w:val="TableheadChar"/>
    <w:rsid w:val="00472E9F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link w:val="TabletextChar"/>
    <w:rsid w:val="00472E9F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TabletextChar">
    <w:name w:val="Table_text Char"/>
    <w:link w:val="Tabletext"/>
    <w:locked/>
    <w:rsid w:val="00472E9F"/>
    <w:rPr>
      <w:rFonts w:ascii="Calibri" w:eastAsia="Times New Roman" w:hAnsi="Calibri" w:cs="Calibri"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locked/>
    <w:rsid w:val="00472E9F"/>
    <w:rPr>
      <w:rFonts w:ascii="Calibri" w:eastAsia="Times New Roman" w:hAnsi="Calibri" w:cs="Calibri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1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5614-65FF-4B77-B4A3-76B0DE9C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Panoussopoulos, Sonia</cp:lastModifiedBy>
  <cp:revision>15</cp:revision>
  <dcterms:created xsi:type="dcterms:W3CDTF">2021-08-06T13:23:00Z</dcterms:created>
  <dcterms:modified xsi:type="dcterms:W3CDTF">2021-08-12T09:48:00Z</dcterms:modified>
</cp:coreProperties>
</file>