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16FC1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416FC1" w:rsidRDefault="00E53DCE" w:rsidP="00416FC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16FC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44C6C915" w:rsidR="00E53DCE" w:rsidRPr="00416FC1" w:rsidRDefault="00E53DCE" w:rsidP="00064561">
            <w:pPr>
              <w:tabs>
                <w:tab w:val="clear" w:pos="794"/>
                <w:tab w:val="clear" w:pos="1191"/>
                <w:tab w:val="clear" w:pos="1985"/>
              </w:tabs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416FC1" w:rsidRDefault="00E53DCE" w:rsidP="00416FC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16FC1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434AD1B1" w:rsidR="00E53DCE" w:rsidRPr="00416FC1" w:rsidRDefault="00E53DCE" w:rsidP="00416FC1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16FC1">
              <w:rPr>
                <w:szCs w:val="24"/>
                <w:lang w:val="fr-FR"/>
              </w:rPr>
              <w:t>Circulaire administrative</w:t>
            </w:r>
          </w:p>
          <w:p w14:paraId="6A7C2D81" w14:textId="669A0FE6" w:rsidR="00E53DCE" w:rsidRPr="00416FC1" w:rsidRDefault="00AA781A" w:rsidP="00416FC1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16FC1">
              <w:rPr>
                <w:b/>
                <w:bCs/>
                <w:szCs w:val="24"/>
                <w:lang w:val="fr-FR"/>
              </w:rPr>
              <w:t>CACE/</w:t>
            </w:r>
            <w:r w:rsidR="0042275C" w:rsidRPr="00416FC1">
              <w:rPr>
                <w:b/>
                <w:bCs/>
                <w:szCs w:val="24"/>
                <w:lang w:val="fr-FR"/>
              </w:rPr>
              <w:t>996</w:t>
            </w:r>
          </w:p>
        </w:tc>
        <w:tc>
          <w:tcPr>
            <w:tcW w:w="2835" w:type="dxa"/>
            <w:shd w:val="clear" w:color="auto" w:fill="auto"/>
          </w:tcPr>
          <w:p w14:paraId="38EA9770" w14:textId="55788015" w:rsidR="00E53DCE" w:rsidRPr="00416FC1" w:rsidRDefault="00AA781A" w:rsidP="00416FC1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16FC1">
              <w:rPr>
                <w:szCs w:val="24"/>
                <w:lang w:val="fr-FR"/>
              </w:rPr>
              <w:t xml:space="preserve">Le </w:t>
            </w:r>
            <w:r w:rsidR="00E426A0">
              <w:rPr>
                <w:szCs w:val="24"/>
                <w:lang w:val="fr-FR"/>
              </w:rPr>
              <w:t>6</w:t>
            </w:r>
            <w:r w:rsidR="00A63173">
              <w:rPr>
                <w:szCs w:val="24"/>
                <w:lang w:val="fr-FR"/>
              </w:rPr>
              <w:t xml:space="preserve"> octobre 2021</w:t>
            </w:r>
          </w:p>
        </w:tc>
      </w:tr>
      <w:tr w:rsidR="00E53DCE" w:rsidRPr="00416FC1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416FC1" w:rsidRDefault="00E53DCE" w:rsidP="00416FC1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416FC1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416FC1" w:rsidRDefault="00E53DCE" w:rsidP="00416FC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F0522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4F0F9771" w:rsidR="00E53DCE" w:rsidRPr="00416FC1" w:rsidRDefault="0042275C" w:rsidP="0006456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16FC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</w:t>
            </w:r>
            <w:r w:rsidRPr="00416FC1">
              <w:rPr>
                <w:b/>
                <w:bCs/>
                <w:szCs w:val="24"/>
                <w:lang w:val="fr-FR"/>
              </w:rPr>
              <w:noBreakHyphen/>
              <w:t>R participant aux travaux de la Commission d'études 3 des radiocommunications et aux établissements universitaires participant aux travaux de l'UIT</w:t>
            </w:r>
          </w:p>
        </w:tc>
      </w:tr>
      <w:tr w:rsidR="00E53DCE" w:rsidRPr="00BF0522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416FC1" w:rsidRDefault="00E53DCE" w:rsidP="00416FC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F0522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416FC1" w:rsidRDefault="00E53DCE" w:rsidP="00416FC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F0522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416FC1" w:rsidRDefault="003471C9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416FC1">
              <w:rPr>
                <w:lang w:val="fr-FR"/>
              </w:rPr>
              <w:t>Objet</w:t>
            </w:r>
            <w:r w:rsidR="00E53DCE" w:rsidRPr="00416FC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8FBA8FD" w14:textId="2431B1E7" w:rsidR="0042275C" w:rsidRPr="00416FC1" w:rsidRDefault="0042275C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16FC1">
              <w:rPr>
                <w:b/>
                <w:bCs/>
                <w:szCs w:val="24"/>
                <w:lang w:val="fr-FR"/>
              </w:rPr>
              <w:t xml:space="preserve">Commission d'études 3 des radiocommunications </w:t>
            </w:r>
            <w:sdt>
              <w:sdtPr>
                <w:rPr>
                  <w:b/>
                  <w:bCs/>
                  <w:szCs w:val="24"/>
                  <w:lang w:val="fr-FR"/>
                </w:rPr>
                <w:alias w:val="(Titre CE)"/>
                <w:tag w:val="(Titre CE)"/>
                <w:id w:val="1740519501"/>
                <w:placeholder>
                  <w:docPart w:val="B4181687FF104988ADB30BB50094D90F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620E74" w:rsidRPr="00416FC1">
                  <w:rPr>
                    <w:b/>
                    <w:bCs/>
                    <w:szCs w:val="24"/>
                    <w:lang w:val="fr-FR"/>
                  </w:rPr>
                  <w:t>(Propagation des ondes radioélectriques)</w:t>
                </w:r>
              </w:sdtContent>
            </w:sdt>
          </w:p>
          <w:p w14:paraId="30BA2BDE" w14:textId="52CEC56A" w:rsidR="00E53DCE" w:rsidRPr="00416FC1" w:rsidRDefault="0042275C" w:rsidP="00416FC1">
            <w:pPr>
              <w:tabs>
                <w:tab w:val="clear" w:pos="1588"/>
                <w:tab w:val="left" w:pos="1560"/>
              </w:tabs>
              <w:spacing w:before="12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416FC1">
              <w:rPr>
                <w:b/>
                <w:bCs/>
                <w:szCs w:val="24"/>
                <w:lang w:val="fr-FR"/>
              </w:rPr>
              <w:t>–</w:t>
            </w:r>
            <w:r w:rsidRPr="00416FC1">
              <w:rPr>
                <w:b/>
                <w:bCs/>
                <w:szCs w:val="24"/>
                <w:lang w:val="fr-FR"/>
              </w:rPr>
              <w:tab/>
              <w:t>Adoption de 18 Recommandations UIT-R révisées et approbation simultanée par correspondance de ces textes, conformément au § A2.6.2.4 de la Résolution UIT</w:t>
            </w:r>
            <w:r w:rsidRPr="00416FC1">
              <w:rPr>
                <w:b/>
                <w:bCs/>
                <w:szCs w:val="24"/>
                <w:lang w:val="fr-FR"/>
              </w:rPr>
              <w:noBreakHyphen/>
              <w:t>R 1</w:t>
            </w:r>
            <w:r w:rsidRPr="00416FC1">
              <w:rPr>
                <w:b/>
                <w:bCs/>
                <w:szCs w:val="24"/>
                <w:lang w:val="fr-FR"/>
              </w:rPr>
              <w:noBreakHyphen/>
              <w:t>8 (Procédure d'adoption et d'approbation simultanées par correspondance)</w:t>
            </w:r>
          </w:p>
        </w:tc>
      </w:tr>
      <w:tr w:rsidR="00E53DCE" w:rsidRPr="00BF0522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416FC1" w:rsidRDefault="00E53DCE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416FC1" w:rsidRDefault="00E53DCE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0522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416FC1" w:rsidRDefault="00E53DCE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416FC1" w:rsidRDefault="00E53DCE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0522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416FC1" w:rsidRDefault="00E53DCE" w:rsidP="00416FC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F0522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416FC1" w:rsidRDefault="00E53DCE" w:rsidP="00416FC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904B7CC" w14:textId="7848ED48" w:rsidR="0042275C" w:rsidRPr="00416FC1" w:rsidRDefault="0042275C" w:rsidP="00064561">
      <w:pPr>
        <w:spacing w:line="240" w:lineRule="auto"/>
        <w:rPr>
          <w:szCs w:val="24"/>
          <w:lang w:val="fr-FR"/>
        </w:rPr>
      </w:pPr>
      <w:r w:rsidRPr="00416FC1">
        <w:rPr>
          <w:szCs w:val="24"/>
          <w:lang w:val="fr-FR"/>
        </w:rPr>
        <w:t xml:space="preserve">Dans la Circulaire administrative </w:t>
      </w:r>
      <w:hyperlink r:id="rId8" w:history="1">
        <w:r w:rsidRPr="00A63173">
          <w:rPr>
            <w:rStyle w:val="Hyperlink"/>
            <w:lang w:val="fr-FR"/>
          </w:rPr>
          <w:t>CACE/</w:t>
        </w:r>
        <w:r w:rsidRPr="00064561">
          <w:rPr>
            <w:rStyle w:val="Hyperlink"/>
            <w:lang w:val="fr-FR"/>
          </w:rPr>
          <w:t>988</w:t>
        </w:r>
      </w:hyperlink>
      <w:r w:rsidRPr="00416FC1">
        <w:rPr>
          <w:szCs w:val="24"/>
          <w:lang w:val="fr-FR"/>
        </w:rPr>
        <w:t xml:space="preserve"> datée du 27 juillet 2021, 18 projets de Recommandation UIT</w:t>
      </w:r>
      <w:r w:rsidRPr="00416FC1">
        <w:rPr>
          <w:szCs w:val="24"/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416FC1">
        <w:rPr>
          <w:szCs w:val="24"/>
          <w:lang w:val="fr-FR"/>
        </w:rPr>
        <w:noBreakHyphen/>
        <w:t>R 1-8 (§ A2.6.2.4).</w:t>
      </w:r>
    </w:p>
    <w:p w14:paraId="750BF7E1" w14:textId="1C41C970" w:rsidR="0042275C" w:rsidRPr="00416FC1" w:rsidRDefault="0042275C" w:rsidP="00064561">
      <w:pPr>
        <w:spacing w:line="240" w:lineRule="auto"/>
        <w:rPr>
          <w:szCs w:val="24"/>
          <w:lang w:val="fr-FR"/>
        </w:rPr>
      </w:pPr>
      <w:r w:rsidRPr="00416FC1">
        <w:rPr>
          <w:szCs w:val="24"/>
          <w:lang w:val="fr-FR"/>
        </w:rPr>
        <w:t>Les conditions régissant cette procédure ont été satisfaites le 27 septembre 2021.</w:t>
      </w:r>
    </w:p>
    <w:p w14:paraId="67316CB8" w14:textId="727D6E8B" w:rsidR="0042275C" w:rsidRPr="00416FC1" w:rsidRDefault="0042275C" w:rsidP="00064561">
      <w:pPr>
        <w:spacing w:line="240" w:lineRule="auto"/>
        <w:rPr>
          <w:szCs w:val="24"/>
          <w:lang w:val="fr-FR"/>
        </w:rPr>
      </w:pPr>
      <w:r w:rsidRPr="00416FC1">
        <w:rPr>
          <w:szCs w:val="24"/>
          <w:lang w:val="fr-FR"/>
        </w:rPr>
        <w:t>Les Recommandations approuvées seront publiées par l'UIT et vous trouverez dans l'Annexe de la présente Circulaire leurs titres ainsi que les numéros qui leur ont été attribués.</w:t>
      </w:r>
    </w:p>
    <w:p w14:paraId="6E24C3F4" w14:textId="77777777" w:rsidR="0042275C" w:rsidRPr="00416FC1" w:rsidRDefault="0042275C" w:rsidP="00BF0522">
      <w:pPr>
        <w:spacing w:before="1200" w:line="240" w:lineRule="auto"/>
        <w:jc w:val="left"/>
        <w:rPr>
          <w:szCs w:val="24"/>
          <w:lang w:val="fr-FR"/>
        </w:rPr>
      </w:pPr>
      <w:bookmarkStart w:id="0" w:name="_Hlk31619345"/>
      <w:r w:rsidRPr="00416FC1">
        <w:rPr>
          <w:szCs w:val="24"/>
          <w:lang w:val="fr-FR"/>
          <w:rPrChange w:id="1" w:author="Norton Viard, Emma" w:date="2020-01-14T14:47:00Z">
            <w:rPr>
              <w:szCs w:val="24"/>
              <w:highlight w:val="yellow"/>
            </w:rPr>
          </w:rPrChange>
        </w:rPr>
        <w:t>Mario Maniewicz</w:t>
      </w:r>
      <w:r w:rsidRPr="00416FC1">
        <w:rPr>
          <w:szCs w:val="24"/>
          <w:lang w:val="fr-FR"/>
        </w:rPr>
        <w:br/>
        <w:t>Directeur</w:t>
      </w:r>
    </w:p>
    <w:p w14:paraId="137E642D" w14:textId="5CBFC150" w:rsidR="0042275C" w:rsidRPr="00416FC1" w:rsidRDefault="0042275C" w:rsidP="00BF0522">
      <w:pPr>
        <w:spacing w:before="1560" w:line="240" w:lineRule="auto"/>
        <w:jc w:val="left"/>
        <w:rPr>
          <w:szCs w:val="24"/>
          <w:lang w:val="fr-FR"/>
        </w:rPr>
      </w:pPr>
      <w:bookmarkStart w:id="2" w:name="_GoBack"/>
      <w:bookmarkEnd w:id="0"/>
      <w:proofErr w:type="gramStart"/>
      <w:r w:rsidRPr="00416FC1">
        <w:rPr>
          <w:b/>
          <w:szCs w:val="24"/>
          <w:lang w:val="fr-FR"/>
        </w:rPr>
        <w:t>Annexe</w:t>
      </w:r>
      <w:r w:rsidRPr="00416FC1">
        <w:rPr>
          <w:bCs/>
          <w:szCs w:val="24"/>
          <w:lang w:val="fr-FR"/>
        </w:rPr>
        <w:t>:</w:t>
      </w:r>
      <w:proofErr w:type="gramEnd"/>
      <w:r w:rsidRPr="00416FC1">
        <w:rPr>
          <w:szCs w:val="24"/>
          <w:lang w:val="fr-FR"/>
        </w:rPr>
        <w:t xml:space="preserve"> 1</w:t>
      </w:r>
    </w:p>
    <w:bookmarkEnd w:id="2"/>
    <w:p w14:paraId="72D5C1A0" w14:textId="77777777" w:rsidR="0042275C" w:rsidRPr="00416FC1" w:rsidRDefault="0042275C" w:rsidP="00416FC1">
      <w:pPr>
        <w:spacing w:line="240" w:lineRule="auto"/>
        <w:rPr>
          <w:b/>
          <w:szCs w:val="24"/>
          <w:lang w:val="fr-FR"/>
        </w:rPr>
      </w:pPr>
      <w:r w:rsidRPr="00416FC1">
        <w:rPr>
          <w:szCs w:val="24"/>
          <w:lang w:val="fr-FR"/>
        </w:rPr>
        <w:br w:type="page"/>
      </w:r>
    </w:p>
    <w:p w14:paraId="0D720892" w14:textId="217ED691" w:rsidR="0042275C" w:rsidRPr="00416FC1" w:rsidRDefault="0042275C" w:rsidP="00416FC1">
      <w:pPr>
        <w:pStyle w:val="AnnexNoTitle"/>
        <w:spacing w:after="240" w:line="240" w:lineRule="auto"/>
        <w:rPr>
          <w:lang w:val="fr-FR"/>
        </w:rPr>
      </w:pPr>
      <w:r w:rsidRPr="00416FC1">
        <w:rPr>
          <w:lang w:val="fr-FR"/>
        </w:rPr>
        <w:lastRenderedPageBreak/>
        <w:t>Annexe</w:t>
      </w:r>
      <w:r w:rsidRPr="00416FC1">
        <w:rPr>
          <w:lang w:val="fr-FR"/>
        </w:rPr>
        <w:br/>
      </w:r>
      <w:r w:rsidRPr="00416FC1">
        <w:rPr>
          <w:lang w:val="fr-FR"/>
        </w:rPr>
        <w:br/>
        <w:t>Titres des Recommandations</w:t>
      </w:r>
      <w:r w:rsidRPr="00416FC1">
        <w:rPr>
          <w:bCs/>
          <w:lang w:val="fr-FR"/>
        </w:rPr>
        <w:t xml:space="preserve"> UIT</w:t>
      </w:r>
      <w:r w:rsidRPr="00416FC1">
        <w:rPr>
          <w:bCs/>
          <w:lang w:val="fr-FR"/>
        </w:rPr>
        <w:noBreakHyphen/>
        <w:t>R</w:t>
      </w:r>
      <w:r w:rsidRPr="00416FC1">
        <w:rPr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6019"/>
        <w:gridCol w:w="1701"/>
      </w:tblGrid>
      <w:tr w:rsidR="0042275C" w:rsidRPr="00416FC1" w14:paraId="632F0AFD" w14:textId="77777777" w:rsidTr="00064561">
        <w:trPr>
          <w:tblHeader/>
          <w:jc w:val="center"/>
        </w:trPr>
        <w:tc>
          <w:tcPr>
            <w:tcW w:w="1773" w:type="dxa"/>
          </w:tcPr>
          <w:p w14:paraId="6ABF7CD0" w14:textId="77777777" w:rsidR="0042275C" w:rsidRPr="00416FC1" w:rsidRDefault="0042275C" w:rsidP="00416FC1">
            <w:pPr>
              <w:pStyle w:val="Tablehead"/>
              <w:rPr>
                <w:lang w:val="fr-FR"/>
              </w:rPr>
            </w:pPr>
            <w:bookmarkStart w:id="3" w:name="_Hlk31619436"/>
            <w:r w:rsidRPr="00416FC1">
              <w:rPr>
                <w:lang w:val="fr-FR"/>
              </w:rPr>
              <w:t>Recommandation</w:t>
            </w:r>
            <w:r w:rsidRPr="00416FC1">
              <w:rPr>
                <w:lang w:val="fr-FR"/>
              </w:rPr>
              <w:br/>
              <w:t>UIT-R</w:t>
            </w:r>
          </w:p>
        </w:tc>
        <w:tc>
          <w:tcPr>
            <w:tcW w:w="6019" w:type="dxa"/>
            <w:vAlign w:val="center"/>
          </w:tcPr>
          <w:p w14:paraId="4F24251B" w14:textId="7841E94E" w:rsidR="0042275C" w:rsidRPr="00416FC1" w:rsidRDefault="0042275C" w:rsidP="00A63173">
            <w:pPr>
              <w:pStyle w:val="Tablehead"/>
              <w:rPr>
                <w:lang w:val="fr-FR"/>
              </w:rPr>
            </w:pPr>
            <w:r w:rsidRPr="00416FC1">
              <w:rPr>
                <w:bCs/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38B06C14" w14:textId="77777777" w:rsidR="0042275C" w:rsidRPr="00416FC1" w:rsidRDefault="0042275C" w:rsidP="00A63173">
            <w:pPr>
              <w:pStyle w:val="Tablehead"/>
              <w:rPr>
                <w:bCs/>
                <w:lang w:val="fr-FR"/>
              </w:rPr>
            </w:pPr>
            <w:r w:rsidRPr="00416FC1">
              <w:rPr>
                <w:bCs/>
                <w:lang w:val="fr-FR"/>
              </w:rPr>
              <w:t>Doc. N°</w:t>
            </w:r>
          </w:p>
        </w:tc>
      </w:tr>
      <w:tr w:rsidR="00242C4D" w:rsidRPr="00416FC1" w14:paraId="4550D3ED" w14:textId="77777777" w:rsidTr="00064561">
        <w:trPr>
          <w:jc w:val="center"/>
        </w:trPr>
        <w:tc>
          <w:tcPr>
            <w:tcW w:w="1773" w:type="dxa"/>
            <w:vAlign w:val="center"/>
          </w:tcPr>
          <w:p w14:paraId="1EC56FF1" w14:textId="6E666F32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P.2040-2</w:t>
            </w:r>
          </w:p>
        </w:tc>
        <w:tc>
          <w:tcPr>
            <w:tcW w:w="6019" w:type="dxa"/>
            <w:vAlign w:val="center"/>
          </w:tcPr>
          <w:p w14:paraId="176436D6" w14:textId="2079A4AE" w:rsidR="00242C4D" w:rsidRPr="00416FC1" w:rsidRDefault="00242C4D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Effets des matériaux de construction et des structures des bâtiments sur la propagation des ondes radioélectriques aux fréquences supérieures à 100 MHz environ</w:t>
            </w:r>
          </w:p>
        </w:tc>
        <w:tc>
          <w:tcPr>
            <w:tcW w:w="1701" w:type="dxa"/>
            <w:vAlign w:val="center"/>
          </w:tcPr>
          <w:p w14:paraId="7A9871C0" w14:textId="18B57686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3/28</w:t>
            </w:r>
          </w:p>
        </w:tc>
      </w:tr>
      <w:tr w:rsidR="00242C4D" w:rsidRPr="00416FC1" w14:paraId="4ADBA3B3" w14:textId="77777777" w:rsidTr="00064561">
        <w:trPr>
          <w:jc w:val="center"/>
        </w:trPr>
        <w:tc>
          <w:tcPr>
            <w:tcW w:w="1773" w:type="dxa"/>
            <w:vAlign w:val="center"/>
          </w:tcPr>
          <w:p w14:paraId="48DF0AA2" w14:textId="0490AA0E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P.527-6</w:t>
            </w:r>
          </w:p>
        </w:tc>
        <w:tc>
          <w:tcPr>
            <w:tcW w:w="6019" w:type="dxa"/>
            <w:vAlign w:val="center"/>
          </w:tcPr>
          <w:p w14:paraId="2FA7B308" w14:textId="008AF287" w:rsidR="00242C4D" w:rsidRPr="00416FC1" w:rsidRDefault="00242C4D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Caractéristiques électriques du sol</w:t>
            </w:r>
          </w:p>
        </w:tc>
        <w:tc>
          <w:tcPr>
            <w:tcW w:w="1701" w:type="dxa"/>
            <w:vAlign w:val="center"/>
          </w:tcPr>
          <w:p w14:paraId="4F8C0D00" w14:textId="5C380C98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3/29</w:t>
            </w:r>
          </w:p>
        </w:tc>
      </w:tr>
      <w:tr w:rsidR="00242C4D" w:rsidRPr="00416FC1" w14:paraId="27A09889" w14:textId="77777777" w:rsidTr="00064561">
        <w:trPr>
          <w:jc w:val="center"/>
        </w:trPr>
        <w:tc>
          <w:tcPr>
            <w:tcW w:w="1773" w:type="dxa"/>
            <w:vAlign w:val="center"/>
          </w:tcPr>
          <w:p w14:paraId="0B494681" w14:textId="6D4804EC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P.1407-8</w:t>
            </w:r>
          </w:p>
        </w:tc>
        <w:tc>
          <w:tcPr>
            <w:tcW w:w="6019" w:type="dxa"/>
            <w:vAlign w:val="center"/>
          </w:tcPr>
          <w:p w14:paraId="1522852E" w14:textId="2F2453A2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Propagation par trajets multiples et paramétrage de ses caractéristiques</w:t>
            </w:r>
          </w:p>
        </w:tc>
        <w:tc>
          <w:tcPr>
            <w:tcW w:w="1701" w:type="dxa"/>
            <w:vAlign w:val="center"/>
          </w:tcPr>
          <w:p w14:paraId="685BDFAB" w14:textId="1D40BF40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3/30</w:t>
            </w:r>
          </w:p>
        </w:tc>
      </w:tr>
      <w:tr w:rsidR="00242C4D" w:rsidRPr="00416FC1" w14:paraId="6832EB49" w14:textId="77777777" w:rsidTr="00064561">
        <w:trPr>
          <w:jc w:val="center"/>
        </w:trPr>
        <w:tc>
          <w:tcPr>
            <w:tcW w:w="1773" w:type="dxa"/>
            <w:vAlign w:val="center"/>
          </w:tcPr>
          <w:p w14:paraId="3D96E553" w14:textId="57F5AA2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P.833-10</w:t>
            </w:r>
          </w:p>
        </w:tc>
        <w:tc>
          <w:tcPr>
            <w:tcW w:w="6019" w:type="dxa"/>
            <w:vAlign w:val="center"/>
          </w:tcPr>
          <w:p w14:paraId="60E87A51" w14:textId="5278EA90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Affaiblissement dû à la végétation</w:t>
            </w:r>
          </w:p>
        </w:tc>
        <w:tc>
          <w:tcPr>
            <w:tcW w:w="1701" w:type="dxa"/>
            <w:vAlign w:val="center"/>
          </w:tcPr>
          <w:p w14:paraId="51A9551C" w14:textId="598E6B29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3/31</w:t>
            </w:r>
          </w:p>
        </w:tc>
      </w:tr>
      <w:tr w:rsidR="00242C4D" w:rsidRPr="00416FC1" w14:paraId="5B590DEC" w14:textId="77777777" w:rsidTr="00064561">
        <w:trPr>
          <w:jc w:val="center"/>
        </w:trPr>
        <w:tc>
          <w:tcPr>
            <w:tcW w:w="1773" w:type="dxa"/>
            <w:vAlign w:val="center"/>
          </w:tcPr>
          <w:p w14:paraId="00B0A9AA" w14:textId="47B1E680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P.1812-6</w:t>
            </w:r>
          </w:p>
        </w:tc>
        <w:tc>
          <w:tcPr>
            <w:tcW w:w="6019" w:type="dxa"/>
            <w:vAlign w:val="center"/>
          </w:tcPr>
          <w:p w14:paraId="146991F0" w14:textId="77F8765C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Méthode de prévision de la propagation fondée sur le trajet pour les services de Terre point à zone dans</w:t>
            </w:r>
            <w:r w:rsidR="00236E02" w:rsidRPr="00416FC1">
              <w:rPr>
                <w:color w:val="000000"/>
                <w:lang w:val="fr-FR"/>
              </w:rPr>
              <w:t xml:space="preserve"> </w:t>
            </w:r>
            <w:r w:rsidR="00E737E0" w:rsidRPr="00416FC1">
              <w:rPr>
                <w:color w:val="000000"/>
                <w:lang w:val="fr-FR"/>
              </w:rPr>
              <w:t>la</w:t>
            </w:r>
            <w:r w:rsidR="00236E02" w:rsidRPr="00416FC1">
              <w:rPr>
                <w:color w:val="000000"/>
                <w:lang w:val="fr-FR"/>
              </w:rPr>
              <w:t xml:space="preserve"> gamme de fréquences </w:t>
            </w:r>
            <w:r w:rsidR="00E737E0" w:rsidRPr="00416FC1">
              <w:rPr>
                <w:color w:val="000000"/>
                <w:lang w:val="fr-FR"/>
              </w:rPr>
              <w:t>comprises entre</w:t>
            </w:r>
            <w:r w:rsidR="00236E02" w:rsidRPr="00416FC1">
              <w:rPr>
                <w:color w:val="000000"/>
                <w:lang w:val="fr-FR"/>
              </w:rPr>
              <w:t xml:space="preserve"> 30 MHz </w:t>
            </w:r>
            <w:r w:rsidR="00E737E0" w:rsidRPr="00416FC1">
              <w:rPr>
                <w:color w:val="000000"/>
                <w:lang w:val="fr-FR"/>
              </w:rPr>
              <w:t>et</w:t>
            </w:r>
            <w:r w:rsidR="00236E02" w:rsidRPr="00416FC1">
              <w:rPr>
                <w:color w:val="000000"/>
                <w:lang w:val="fr-FR"/>
              </w:rPr>
              <w:t xml:space="preserve"> 6 000 MHz</w:t>
            </w:r>
          </w:p>
        </w:tc>
        <w:tc>
          <w:tcPr>
            <w:tcW w:w="1701" w:type="dxa"/>
            <w:vAlign w:val="center"/>
          </w:tcPr>
          <w:p w14:paraId="311059FD" w14:textId="1E9747EC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3/33(Rév.1)</w:t>
            </w:r>
          </w:p>
        </w:tc>
      </w:tr>
      <w:tr w:rsidR="00242C4D" w:rsidRPr="00416FC1" w14:paraId="28DA6691" w14:textId="77777777" w:rsidTr="00064561">
        <w:trPr>
          <w:jc w:val="center"/>
        </w:trPr>
        <w:tc>
          <w:tcPr>
            <w:tcW w:w="1773" w:type="dxa"/>
            <w:vAlign w:val="center"/>
          </w:tcPr>
          <w:p w14:paraId="101A14B0" w14:textId="45B617FF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P.1238-11</w:t>
            </w:r>
          </w:p>
        </w:tc>
        <w:tc>
          <w:tcPr>
            <w:tcW w:w="6019" w:type="dxa"/>
            <w:vAlign w:val="center"/>
          </w:tcPr>
          <w:p w14:paraId="53986AF8" w14:textId="302286F2" w:rsidR="00242C4D" w:rsidRPr="00416FC1" w:rsidRDefault="00E737E0" w:rsidP="00416FC1">
            <w:pPr>
              <w:pStyle w:val="Tabletext"/>
              <w:rPr>
                <w:lang w:val="fr-FR"/>
              </w:rPr>
            </w:pPr>
            <w:r w:rsidRPr="00416FC1">
              <w:rPr>
                <w:color w:val="000000"/>
                <w:lang w:val="fr-FR"/>
              </w:rPr>
              <w:t>Données de propagation et méthodes de prévision pour la planification de systèmes de radiocommunication et de réseaux locaux hertziens destinés à fonctionner à l'intérieur de bâtiments à des fréquences comprises entre 300 MHz et 450 GHz</w:t>
            </w:r>
          </w:p>
        </w:tc>
        <w:tc>
          <w:tcPr>
            <w:tcW w:w="1701" w:type="dxa"/>
            <w:vAlign w:val="center"/>
          </w:tcPr>
          <w:p w14:paraId="194C8D6E" w14:textId="6463BFF9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3/34</w:t>
            </w:r>
          </w:p>
        </w:tc>
      </w:tr>
      <w:tr w:rsidR="00242C4D" w:rsidRPr="00416FC1" w14:paraId="70DF7B88" w14:textId="77777777" w:rsidTr="00064561">
        <w:trPr>
          <w:jc w:val="center"/>
        </w:trPr>
        <w:tc>
          <w:tcPr>
            <w:tcW w:w="1773" w:type="dxa"/>
            <w:vAlign w:val="center"/>
          </w:tcPr>
          <w:p w14:paraId="7AF399FB" w14:textId="61C8AB9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P.1411-11</w:t>
            </w:r>
          </w:p>
        </w:tc>
        <w:tc>
          <w:tcPr>
            <w:tcW w:w="6019" w:type="dxa"/>
            <w:vAlign w:val="center"/>
          </w:tcPr>
          <w:p w14:paraId="6E673BE6" w14:textId="69981393" w:rsidR="00242C4D" w:rsidRPr="00416FC1" w:rsidRDefault="00CF3A38" w:rsidP="00416FC1">
            <w:pPr>
              <w:pStyle w:val="Tabletext"/>
              <w:rPr>
                <w:lang w:val="fr-FR"/>
              </w:rPr>
            </w:pPr>
            <w:r w:rsidRPr="00416FC1">
              <w:rPr>
                <w:color w:val="000000"/>
                <w:lang w:val="fr-FR"/>
              </w:rPr>
              <w:t>Données de propagation et méthodes de prévision pour la planification de systèmes de radiocommunication, à courte portée, destinés à fonctionner à l'extérieur de bâtiments et de réseaux locaux hertziens dans la gamme de fréquences comprises entre 300</w:t>
            </w:r>
            <w:r w:rsidR="00064561">
              <w:rPr>
                <w:color w:val="000000"/>
                <w:lang w:val="fr-FR"/>
              </w:rPr>
              <w:t> </w:t>
            </w:r>
            <w:r w:rsidRPr="00416FC1">
              <w:rPr>
                <w:color w:val="000000"/>
                <w:lang w:val="fr-FR"/>
              </w:rPr>
              <w:t>MHz et 100 GHz</w:t>
            </w:r>
          </w:p>
        </w:tc>
        <w:tc>
          <w:tcPr>
            <w:tcW w:w="1701" w:type="dxa"/>
            <w:vAlign w:val="center"/>
          </w:tcPr>
          <w:p w14:paraId="0971E15E" w14:textId="1B6FB560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3/35</w:t>
            </w:r>
          </w:p>
        </w:tc>
      </w:tr>
      <w:tr w:rsidR="00242C4D" w:rsidRPr="00416FC1" w14:paraId="328E25BA" w14:textId="77777777" w:rsidTr="00064561">
        <w:trPr>
          <w:jc w:val="center"/>
        </w:trPr>
        <w:tc>
          <w:tcPr>
            <w:tcW w:w="1773" w:type="dxa"/>
            <w:vAlign w:val="center"/>
          </w:tcPr>
          <w:p w14:paraId="618BE87E" w14:textId="278DF00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P.528-5</w:t>
            </w:r>
          </w:p>
        </w:tc>
        <w:tc>
          <w:tcPr>
            <w:tcW w:w="6019" w:type="dxa"/>
            <w:vAlign w:val="center"/>
          </w:tcPr>
          <w:p w14:paraId="4F630962" w14:textId="7D4DE5EB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Méthode de prévision de la propagation dans les bandes d'ondes métriques, décimétriques et centimétriques pour le service mobile aéronautique et le service de radionavigation aéronautique</w:t>
            </w:r>
          </w:p>
        </w:tc>
        <w:tc>
          <w:tcPr>
            <w:tcW w:w="1701" w:type="dxa"/>
            <w:vAlign w:val="center"/>
          </w:tcPr>
          <w:p w14:paraId="256BC5C0" w14:textId="4BD56EB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3/38(Rév.1)</w:t>
            </w:r>
          </w:p>
        </w:tc>
      </w:tr>
      <w:tr w:rsidR="00242C4D" w:rsidRPr="00416FC1" w14:paraId="5737D0F1" w14:textId="77777777" w:rsidTr="00064561">
        <w:trPr>
          <w:jc w:val="center"/>
        </w:trPr>
        <w:tc>
          <w:tcPr>
            <w:tcW w:w="1773" w:type="dxa"/>
            <w:vAlign w:val="center"/>
          </w:tcPr>
          <w:p w14:paraId="613CBE78" w14:textId="6071D31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P.534-6</w:t>
            </w:r>
          </w:p>
        </w:tc>
        <w:tc>
          <w:tcPr>
            <w:tcW w:w="6019" w:type="dxa"/>
            <w:vAlign w:val="center"/>
          </w:tcPr>
          <w:p w14:paraId="7263EF5C" w14:textId="506C4BBF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Méthode de calcul du champ en présence d'ionisation sporadique de la région E</w:t>
            </w:r>
          </w:p>
        </w:tc>
        <w:tc>
          <w:tcPr>
            <w:tcW w:w="1701" w:type="dxa"/>
            <w:vAlign w:val="center"/>
          </w:tcPr>
          <w:p w14:paraId="7EE2A098" w14:textId="6A6A678B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3/39</w:t>
            </w:r>
          </w:p>
        </w:tc>
      </w:tr>
      <w:tr w:rsidR="00242C4D" w:rsidRPr="00416FC1" w14:paraId="48A6987D" w14:textId="77777777" w:rsidTr="00064561">
        <w:trPr>
          <w:jc w:val="center"/>
        </w:trPr>
        <w:tc>
          <w:tcPr>
            <w:tcW w:w="1773" w:type="dxa"/>
            <w:vAlign w:val="center"/>
          </w:tcPr>
          <w:p w14:paraId="55649F5F" w14:textId="0F1322DB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P.372-15</w:t>
            </w:r>
          </w:p>
        </w:tc>
        <w:tc>
          <w:tcPr>
            <w:tcW w:w="6019" w:type="dxa"/>
            <w:vAlign w:val="center"/>
          </w:tcPr>
          <w:p w14:paraId="1042F36E" w14:textId="53E041B9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Bruit radioélectrique</w:t>
            </w:r>
          </w:p>
        </w:tc>
        <w:tc>
          <w:tcPr>
            <w:tcW w:w="1701" w:type="dxa"/>
            <w:vAlign w:val="center"/>
          </w:tcPr>
          <w:p w14:paraId="7381765C" w14:textId="0FA07784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3/40</w:t>
            </w:r>
          </w:p>
        </w:tc>
      </w:tr>
      <w:tr w:rsidR="00242C4D" w:rsidRPr="00416FC1" w14:paraId="4A996F26" w14:textId="77777777" w:rsidTr="00064561">
        <w:trPr>
          <w:jc w:val="center"/>
        </w:trPr>
        <w:tc>
          <w:tcPr>
            <w:tcW w:w="1773" w:type="dxa"/>
            <w:vAlign w:val="center"/>
          </w:tcPr>
          <w:p w14:paraId="0A36E7FE" w14:textId="1A15B409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P.2108-1</w:t>
            </w:r>
          </w:p>
        </w:tc>
        <w:tc>
          <w:tcPr>
            <w:tcW w:w="6019" w:type="dxa"/>
            <w:vAlign w:val="center"/>
          </w:tcPr>
          <w:p w14:paraId="776EB08B" w14:textId="4D4F67B3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Prévision de l'affaiblissement dû à des groupes d'obstacles</w:t>
            </w:r>
          </w:p>
        </w:tc>
        <w:tc>
          <w:tcPr>
            <w:tcW w:w="1701" w:type="dxa"/>
            <w:vAlign w:val="center"/>
          </w:tcPr>
          <w:p w14:paraId="6C77CA51" w14:textId="51D4C2BD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3/41</w:t>
            </w:r>
          </w:p>
        </w:tc>
      </w:tr>
      <w:tr w:rsidR="00242C4D" w:rsidRPr="00416FC1" w14:paraId="60C97081" w14:textId="77777777" w:rsidTr="00064561">
        <w:trPr>
          <w:jc w:val="center"/>
        </w:trPr>
        <w:tc>
          <w:tcPr>
            <w:tcW w:w="1773" w:type="dxa"/>
            <w:vAlign w:val="center"/>
          </w:tcPr>
          <w:p w14:paraId="27E3DB63" w14:textId="6A3FB542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P.530-18</w:t>
            </w:r>
          </w:p>
        </w:tc>
        <w:tc>
          <w:tcPr>
            <w:tcW w:w="6019" w:type="dxa"/>
            <w:vAlign w:val="center"/>
          </w:tcPr>
          <w:p w14:paraId="6B642A6C" w14:textId="6B8CB7F1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Données de propagation et méthodes de prévision nécessaires pour la conception de faisceaux hertziens à visibilité directe de Terre</w:t>
            </w:r>
          </w:p>
        </w:tc>
        <w:tc>
          <w:tcPr>
            <w:tcW w:w="1701" w:type="dxa"/>
            <w:vAlign w:val="center"/>
          </w:tcPr>
          <w:p w14:paraId="7CBC59AE" w14:textId="0257B300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3/42(Rév.2)</w:t>
            </w:r>
          </w:p>
        </w:tc>
      </w:tr>
      <w:tr w:rsidR="00242C4D" w:rsidRPr="00416FC1" w14:paraId="466027F3" w14:textId="77777777" w:rsidTr="00064561">
        <w:trPr>
          <w:jc w:val="center"/>
        </w:trPr>
        <w:tc>
          <w:tcPr>
            <w:tcW w:w="1773" w:type="dxa"/>
            <w:vAlign w:val="center"/>
          </w:tcPr>
          <w:p w14:paraId="2F2C5F4B" w14:textId="68B9340B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P.1144-11</w:t>
            </w:r>
          </w:p>
        </w:tc>
        <w:tc>
          <w:tcPr>
            <w:tcW w:w="6019" w:type="dxa"/>
            <w:vAlign w:val="center"/>
          </w:tcPr>
          <w:p w14:paraId="54508867" w14:textId="390A28B2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Guide pour l'application des méthodes de prévision de la propagation de la Commission d'études 3 des radiocommunications</w:t>
            </w:r>
          </w:p>
        </w:tc>
        <w:tc>
          <w:tcPr>
            <w:tcW w:w="1701" w:type="dxa"/>
            <w:vAlign w:val="center"/>
          </w:tcPr>
          <w:p w14:paraId="308DAE30" w14:textId="5A409612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3/45</w:t>
            </w:r>
          </w:p>
        </w:tc>
      </w:tr>
      <w:tr w:rsidR="00242C4D" w:rsidRPr="00416FC1" w14:paraId="42690FAB" w14:textId="77777777" w:rsidTr="00064561">
        <w:trPr>
          <w:jc w:val="center"/>
        </w:trPr>
        <w:tc>
          <w:tcPr>
            <w:tcW w:w="1773" w:type="dxa"/>
            <w:vAlign w:val="center"/>
          </w:tcPr>
          <w:p w14:paraId="0333AFD1" w14:textId="7ACA292C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P.1409-2</w:t>
            </w:r>
          </w:p>
        </w:tc>
        <w:tc>
          <w:tcPr>
            <w:tcW w:w="6019" w:type="dxa"/>
            <w:vAlign w:val="center"/>
          </w:tcPr>
          <w:p w14:paraId="70EC9B3F" w14:textId="2E9AD17F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Données de propagation et méthodes de prévision pour les systèmes utilisant des stations placées sur des plates-formes à haute altitude et d'autres stations stratosphériques élevées fonctionnant à des fréquences supérieures à environ 0,7 GHz</w:t>
            </w:r>
          </w:p>
        </w:tc>
        <w:tc>
          <w:tcPr>
            <w:tcW w:w="1701" w:type="dxa"/>
            <w:vAlign w:val="center"/>
          </w:tcPr>
          <w:p w14:paraId="400CB42E" w14:textId="168B512D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3/46</w:t>
            </w:r>
          </w:p>
        </w:tc>
      </w:tr>
      <w:tr w:rsidR="00242C4D" w:rsidRPr="00416FC1" w14:paraId="36510D18" w14:textId="77777777" w:rsidTr="00064561">
        <w:trPr>
          <w:jc w:val="center"/>
        </w:trPr>
        <w:tc>
          <w:tcPr>
            <w:tcW w:w="1773" w:type="dxa"/>
            <w:vAlign w:val="center"/>
          </w:tcPr>
          <w:p w14:paraId="6EDC3DD2" w14:textId="79B5DAB3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P.2001-4</w:t>
            </w:r>
          </w:p>
        </w:tc>
        <w:tc>
          <w:tcPr>
            <w:tcW w:w="6019" w:type="dxa"/>
            <w:vAlign w:val="center"/>
          </w:tcPr>
          <w:p w14:paraId="123CA11F" w14:textId="08F338CB" w:rsidR="00242C4D" w:rsidRPr="00064561" w:rsidRDefault="005573CC" w:rsidP="00416FC1">
            <w:pPr>
              <w:pStyle w:val="Tabletext"/>
              <w:rPr>
                <w:spacing w:val="-2"/>
                <w:lang w:val="fr-FR"/>
              </w:rPr>
            </w:pPr>
            <w:r w:rsidRPr="00064561">
              <w:rPr>
                <w:spacing w:val="-2"/>
                <w:lang w:val="fr-FR"/>
              </w:rPr>
              <w:t>Modèle général de large portée pour la propagation sur des trajets de Terre dans la gamme des fréquences comprises entre 30 MHz et 50 GHz</w:t>
            </w:r>
          </w:p>
        </w:tc>
        <w:tc>
          <w:tcPr>
            <w:tcW w:w="1701" w:type="dxa"/>
            <w:vAlign w:val="center"/>
          </w:tcPr>
          <w:p w14:paraId="3AFDD13E" w14:textId="7408CF3A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3/47(Rév.1)</w:t>
            </w:r>
          </w:p>
        </w:tc>
      </w:tr>
      <w:tr w:rsidR="00242C4D" w:rsidRPr="00416FC1" w14:paraId="2FF4CC6B" w14:textId="77777777" w:rsidTr="00064561">
        <w:trPr>
          <w:jc w:val="center"/>
        </w:trPr>
        <w:tc>
          <w:tcPr>
            <w:tcW w:w="1773" w:type="dxa"/>
            <w:vAlign w:val="center"/>
          </w:tcPr>
          <w:p w14:paraId="2ECFF298" w14:textId="23561271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P.452-17</w:t>
            </w:r>
          </w:p>
        </w:tc>
        <w:tc>
          <w:tcPr>
            <w:tcW w:w="6019" w:type="dxa"/>
            <w:vAlign w:val="center"/>
          </w:tcPr>
          <w:p w14:paraId="7A9A6E6F" w14:textId="32EC3BDF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Méthode de prévision pour évaluer les brouillages entre stations situées à la surface de la Terre à des fréquences supérieures à 0,1 GHz environ</w:t>
            </w:r>
          </w:p>
        </w:tc>
        <w:tc>
          <w:tcPr>
            <w:tcW w:w="1701" w:type="dxa"/>
            <w:vAlign w:val="center"/>
          </w:tcPr>
          <w:p w14:paraId="118B8187" w14:textId="32CED349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3/48(Rév.1)</w:t>
            </w:r>
          </w:p>
        </w:tc>
      </w:tr>
      <w:tr w:rsidR="00242C4D" w:rsidRPr="00416FC1" w14:paraId="680F0564" w14:textId="77777777" w:rsidTr="00064561">
        <w:trPr>
          <w:jc w:val="center"/>
        </w:trPr>
        <w:tc>
          <w:tcPr>
            <w:tcW w:w="1773" w:type="dxa"/>
            <w:vAlign w:val="center"/>
          </w:tcPr>
          <w:p w14:paraId="3FBB11B5" w14:textId="506BC9B9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P.311-18</w:t>
            </w:r>
          </w:p>
        </w:tc>
        <w:tc>
          <w:tcPr>
            <w:tcW w:w="6019" w:type="dxa"/>
            <w:vAlign w:val="center"/>
          </w:tcPr>
          <w:p w14:paraId="06A32E04" w14:textId="6F7C21F1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Acquisition, présentation et analyse des données dans les études relatives à la propagation des ondes radioélectriques</w:t>
            </w:r>
          </w:p>
        </w:tc>
        <w:tc>
          <w:tcPr>
            <w:tcW w:w="1701" w:type="dxa"/>
            <w:vAlign w:val="center"/>
          </w:tcPr>
          <w:p w14:paraId="3D28FA16" w14:textId="7EA63F6D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3/49(Rév.1)</w:t>
            </w:r>
          </w:p>
        </w:tc>
      </w:tr>
      <w:tr w:rsidR="00242C4D" w:rsidRPr="00416FC1" w14:paraId="1B3A7FF6" w14:textId="77777777" w:rsidTr="00064561">
        <w:trPr>
          <w:jc w:val="center"/>
        </w:trPr>
        <w:tc>
          <w:tcPr>
            <w:tcW w:w="1773" w:type="dxa"/>
            <w:vAlign w:val="center"/>
          </w:tcPr>
          <w:p w14:paraId="271B9C62" w14:textId="5B61287A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P.619-5</w:t>
            </w:r>
          </w:p>
        </w:tc>
        <w:tc>
          <w:tcPr>
            <w:tcW w:w="6019" w:type="dxa"/>
            <w:vAlign w:val="center"/>
          </w:tcPr>
          <w:p w14:paraId="694B1F42" w14:textId="7CF07844" w:rsidR="00242C4D" w:rsidRPr="00416FC1" w:rsidRDefault="005573CC" w:rsidP="00416FC1">
            <w:pPr>
              <w:pStyle w:val="Tabletext"/>
              <w:rPr>
                <w:lang w:val="fr-FR"/>
              </w:rPr>
            </w:pPr>
            <w:r w:rsidRPr="00416FC1">
              <w:rPr>
                <w:lang w:val="fr-FR"/>
              </w:rPr>
              <w:t>Données sur la propagation nécessaires à l'évaluation des brouillages entre des stations dans l'espace et des stations situées à la surface de la Terre</w:t>
            </w:r>
          </w:p>
        </w:tc>
        <w:tc>
          <w:tcPr>
            <w:tcW w:w="1701" w:type="dxa"/>
            <w:vAlign w:val="center"/>
          </w:tcPr>
          <w:p w14:paraId="01FB2802" w14:textId="7C484FFB" w:rsidR="00242C4D" w:rsidRPr="00416FC1" w:rsidRDefault="00242C4D" w:rsidP="00416FC1">
            <w:pPr>
              <w:pStyle w:val="Tabletext"/>
              <w:jc w:val="center"/>
              <w:rPr>
                <w:lang w:val="fr-FR"/>
              </w:rPr>
            </w:pPr>
            <w:r w:rsidRPr="00416FC1">
              <w:rPr>
                <w:lang w:val="fr-FR"/>
              </w:rPr>
              <w:t>3/51(Rév.1)</w:t>
            </w:r>
          </w:p>
        </w:tc>
      </w:tr>
    </w:tbl>
    <w:bookmarkEnd w:id="3"/>
    <w:p w14:paraId="052B3E7D" w14:textId="77777777" w:rsidR="0042275C" w:rsidRPr="00416FC1" w:rsidRDefault="0042275C" w:rsidP="00416FC1">
      <w:pPr>
        <w:spacing w:before="360" w:line="240" w:lineRule="auto"/>
        <w:jc w:val="center"/>
        <w:rPr>
          <w:szCs w:val="24"/>
          <w:lang w:val="fr-FR"/>
        </w:rPr>
      </w:pPr>
      <w:r w:rsidRPr="00416FC1">
        <w:rPr>
          <w:szCs w:val="24"/>
          <w:lang w:val="fr-FR"/>
        </w:rPr>
        <w:t>______________</w:t>
      </w:r>
    </w:p>
    <w:sectPr w:rsidR="0042275C" w:rsidRPr="00416FC1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AE18" w14:textId="052BF623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gramStart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A63173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proofErr w:type="gramEnd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courriel: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</w:t>
    </w:r>
    <w:hyperlink r:id="rId2" w:history="1">
      <w:r w:rsidR="00A63173" w:rsidRPr="00842D8E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396A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EA8BB" w14:textId="681CF081" w:rsidR="00E915AF" w:rsidRPr="004F47EA" w:rsidRDefault="00064561" w:rsidP="00064561">
    <w:pPr>
      <w:pStyle w:val="Header"/>
      <w:spacing w:before="240" w:line="360" w:lineRule="auto"/>
      <w:ind w:left="4065" w:hanging="4065"/>
      <w:jc w:val="center"/>
    </w:pPr>
    <w:r>
      <w:rPr>
        <w:noProof/>
        <w:lang w:val="en-GB" w:eastAsia="en-GB"/>
      </w:rPr>
      <w:drawing>
        <wp:inline distT="0" distB="0" distL="0" distR="0" wp14:anchorId="5BC27F12" wp14:editId="4F91B53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rton Viard, Emma">
    <w15:presenceInfo w15:providerId="AD" w15:userId="S-1-5-21-8740799-900759487-1415713722-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45B3A"/>
    <w:rsid w:val="0005167A"/>
    <w:rsid w:val="00054E5D"/>
    <w:rsid w:val="0006456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105"/>
    <w:rsid w:val="000E3DEE"/>
    <w:rsid w:val="000E443D"/>
    <w:rsid w:val="000F0830"/>
    <w:rsid w:val="000F59A8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925"/>
    <w:rsid w:val="0022214D"/>
    <w:rsid w:val="002302B3"/>
    <w:rsid w:val="00230C66"/>
    <w:rsid w:val="00235A29"/>
    <w:rsid w:val="00236E02"/>
    <w:rsid w:val="00241526"/>
    <w:rsid w:val="00242C4D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1CA"/>
    <w:rsid w:val="003F2F34"/>
    <w:rsid w:val="00400573"/>
    <w:rsid w:val="004007A3"/>
    <w:rsid w:val="00406D71"/>
    <w:rsid w:val="00411CB3"/>
    <w:rsid w:val="00416FC1"/>
    <w:rsid w:val="0042275C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573CC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0BB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20E74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26F6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2A6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C56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173"/>
    <w:rsid w:val="00A63355"/>
    <w:rsid w:val="00A7596D"/>
    <w:rsid w:val="00A963DF"/>
    <w:rsid w:val="00AA211B"/>
    <w:rsid w:val="00AA718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74A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4357"/>
    <w:rsid w:val="00BD6738"/>
    <w:rsid w:val="00BD7E5E"/>
    <w:rsid w:val="00BE63DB"/>
    <w:rsid w:val="00BE6574"/>
    <w:rsid w:val="00BF0522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3A38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BE9"/>
    <w:rsid w:val="00E17344"/>
    <w:rsid w:val="00E20F30"/>
    <w:rsid w:val="00E2189C"/>
    <w:rsid w:val="00E25BB1"/>
    <w:rsid w:val="00E27BBA"/>
    <w:rsid w:val="00E30E3F"/>
    <w:rsid w:val="00E35E8F"/>
    <w:rsid w:val="00E426A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7E0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78EC"/>
    <w:rsid w:val="00F424BF"/>
    <w:rsid w:val="00F44FC3"/>
    <w:rsid w:val="00F46107"/>
    <w:rsid w:val="00F468C5"/>
    <w:rsid w:val="00F52F39"/>
    <w:rsid w:val="00F6184F"/>
    <w:rsid w:val="00F65538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27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275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718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718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A718B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181687FF104988ADB30BB50094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5472-1A92-49FD-A479-812E3BBD66EF}"/>
      </w:docPartPr>
      <w:docPartBody>
        <w:p w:rsidR="006D7756" w:rsidRDefault="006B0F93" w:rsidP="006B0F93">
          <w:pPr>
            <w:pStyle w:val="B4181687FF104988ADB30BB50094D90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6B0F93"/>
    <w:rsid w:val="006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F93"/>
    <w:rPr>
      <w:color w:val="808080"/>
    </w:rPr>
  </w:style>
  <w:style w:type="paragraph" w:customStyle="1" w:styleId="B4181687FF104988ADB30BB50094D90F">
    <w:name w:val="B4181687FF104988ADB30BB50094D90F"/>
    <w:rsid w:val="006B0F93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22E2-5AE2-48C4-B704-4042A08F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574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2013-03-08T10:15:00Z</cp:lastPrinted>
  <dcterms:created xsi:type="dcterms:W3CDTF">2021-10-01T05:59:00Z</dcterms:created>
  <dcterms:modified xsi:type="dcterms:W3CDTF">2021-10-05T13:52:00Z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