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9307E37" w14:textId="77777777" w:rsidTr="00306452">
        <w:trPr>
          <w:jc w:val="center"/>
        </w:trPr>
        <w:tc>
          <w:tcPr>
            <w:tcW w:w="9889" w:type="dxa"/>
            <w:gridSpan w:val="3"/>
            <w:shd w:val="clear" w:color="auto" w:fill="auto"/>
          </w:tcPr>
          <w:p w14:paraId="283391E5"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5D70D5EE" w14:textId="77777777" w:rsidR="00E53DCE" w:rsidRDefault="00E53DCE" w:rsidP="006160CB">
            <w:pPr>
              <w:spacing w:before="0"/>
              <w:jc w:val="left"/>
              <w:rPr>
                <w:rFonts w:cstheme="minorHAnsi"/>
                <w:b/>
                <w:bCs/>
                <w:color w:val="808080"/>
                <w:sz w:val="28"/>
                <w:szCs w:val="28"/>
                <w:lang w:val="en-GB"/>
              </w:rPr>
            </w:pPr>
          </w:p>
          <w:p w14:paraId="4CCC0033"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1419CB4" w14:textId="77777777" w:rsidTr="00306452">
        <w:trPr>
          <w:jc w:val="center"/>
        </w:trPr>
        <w:tc>
          <w:tcPr>
            <w:tcW w:w="7054" w:type="dxa"/>
            <w:gridSpan w:val="2"/>
            <w:shd w:val="clear" w:color="auto" w:fill="auto"/>
          </w:tcPr>
          <w:p w14:paraId="6466EE14" w14:textId="1BC23932" w:rsidR="00E53DCE" w:rsidRPr="001B3D4D" w:rsidRDefault="00A96D3A" w:rsidP="006160CB">
            <w:pPr>
              <w:spacing w:before="0"/>
              <w:jc w:val="left"/>
              <w:rPr>
                <w:szCs w:val="24"/>
                <w:lang w:val="es-ES"/>
              </w:rPr>
            </w:pPr>
            <w:r w:rsidRPr="001B3D4D">
              <w:rPr>
                <w:szCs w:val="24"/>
                <w:lang w:val="es-ES"/>
              </w:rPr>
              <w:t>Circular Administrativa</w:t>
            </w:r>
          </w:p>
          <w:p w14:paraId="5BC856E5" w14:textId="6C0777A2" w:rsidR="00E53DCE" w:rsidRPr="001B3D4D" w:rsidRDefault="001B3D4D" w:rsidP="006160CB">
            <w:pPr>
              <w:spacing w:before="0"/>
              <w:jc w:val="left"/>
              <w:rPr>
                <w:b/>
                <w:bCs/>
                <w:szCs w:val="24"/>
                <w:lang w:val="es-ES"/>
              </w:rPr>
            </w:pPr>
            <w:r w:rsidRPr="001B3D4D">
              <w:rPr>
                <w:b/>
                <w:bCs/>
                <w:szCs w:val="24"/>
                <w:lang w:val="es-ES"/>
              </w:rPr>
              <w:t>CACE/</w:t>
            </w:r>
            <w:r w:rsidR="004C33DB">
              <w:rPr>
                <w:b/>
                <w:bCs/>
                <w:szCs w:val="24"/>
                <w:lang w:val="es-ES"/>
              </w:rPr>
              <w:t>1008</w:t>
            </w:r>
          </w:p>
        </w:tc>
        <w:tc>
          <w:tcPr>
            <w:tcW w:w="2835" w:type="dxa"/>
            <w:shd w:val="clear" w:color="auto" w:fill="auto"/>
          </w:tcPr>
          <w:p w14:paraId="2FBA8308" w14:textId="1678DF65" w:rsidR="00E53DCE" w:rsidRPr="002B7EE0" w:rsidRDefault="004C33DB" w:rsidP="006160CB">
            <w:pPr>
              <w:spacing w:before="0"/>
              <w:jc w:val="right"/>
              <w:rPr>
                <w:szCs w:val="24"/>
                <w:lang w:val="fr-FR"/>
              </w:rPr>
            </w:pPr>
            <w:r>
              <w:rPr>
                <w:bCs/>
                <w:szCs w:val="24"/>
                <w:lang w:val="fr-FR"/>
              </w:rPr>
              <w:t xml:space="preserve">22 de </w:t>
            </w:r>
            <w:proofErr w:type="spellStart"/>
            <w:r>
              <w:rPr>
                <w:bCs/>
                <w:szCs w:val="24"/>
                <w:lang w:val="fr-FR"/>
              </w:rPr>
              <w:t>diciembre</w:t>
            </w:r>
            <w:proofErr w:type="spellEnd"/>
            <w:r>
              <w:rPr>
                <w:bCs/>
                <w:szCs w:val="24"/>
                <w:lang w:val="fr-FR"/>
              </w:rPr>
              <w:t xml:space="preserve"> de 2021</w:t>
            </w:r>
          </w:p>
        </w:tc>
      </w:tr>
      <w:tr w:rsidR="00E53DCE" w:rsidRPr="0033029C" w14:paraId="50E83F1E" w14:textId="77777777" w:rsidTr="00306452">
        <w:trPr>
          <w:jc w:val="center"/>
        </w:trPr>
        <w:tc>
          <w:tcPr>
            <w:tcW w:w="9889" w:type="dxa"/>
            <w:gridSpan w:val="3"/>
            <w:shd w:val="clear" w:color="auto" w:fill="auto"/>
          </w:tcPr>
          <w:p w14:paraId="6D257436" w14:textId="77777777" w:rsidR="00E53DCE" w:rsidRPr="0033029C" w:rsidRDefault="00E53DCE" w:rsidP="006160CB">
            <w:pPr>
              <w:spacing w:before="0"/>
              <w:jc w:val="left"/>
              <w:rPr>
                <w:rFonts w:cs="Arial"/>
                <w:szCs w:val="24"/>
                <w:lang w:val="en-GB"/>
              </w:rPr>
            </w:pPr>
          </w:p>
        </w:tc>
      </w:tr>
      <w:tr w:rsidR="00E53DCE" w:rsidRPr="0033029C" w14:paraId="0020A1D2" w14:textId="77777777" w:rsidTr="00306452">
        <w:trPr>
          <w:jc w:val="center"/>
        </w:trPr>
        <w:tc>
          <w:tcPr>
            <w:tcW w:w="9889" w:type="dxa"/>
            <w:gridSpan w:val="3"/>
            <w:shd w:val="clear" w:color="auto" w:fill="auto"/>
          </w:tcPr>
          <w:p w14:paraId="78CA3358" w14:textId="77777777" w:rsidR="00E53DCE" w:rsidRPr="0033029C" w:rsidRDefault="00E53DCE" w:rsidP="006160CB">
            <w:pPr>
              <w:spacing w:before="0"/>
              <w:jc w:val="left"/>
              <w:rPr>
                <w:szCs w:val="24"/>
              </w:rPr>
            </w:pPr>
          </w:p>
        </w:tc>
      </w:tr>
      <w:tr w:rsidR="00E53DCE" w:rsidRPr="00C3730D" w14:paraId="1FC6C7D7" w14:textId="77777777" w:rsidTr="00306452">
        <w:trPr>
          <w:jc w:val="center"/>
        </w:trPr>
        <w:tc>
          <w:tcPr>
            <w:tcW w:w="9889" w:type="dxa"/>
            <w:gridSpan w:val="3"/>
            <w:shd w:val="clear" w:color="auto" w:fill="auto"/>
          </w:tcPr>
          <w:p w14:paraId="5835B753" w14:textId="63110C45" w:rsidR="00E53DCE" w:rsidRPr="0033029C" w:rsidRDefault="00FE4822" w:rsidP="00700B92">
            <w:pPr>
              <w:spacing w:before="0"/>
              <w:jc w:val="left"/>
              <w:rPr>
                <w:b/>
                <w:bCs/>
                <w:szCs w:val="24"/>
                <w:lang w:val="es-ES"/>
              </w:rPr>
            </w:pPr>
            <w:r w:rsidRPr="0033029C">
              <w:rPr>
                <w:b/>
                <w:szCs w:val="24"/>
                <w:lang w:val="es-ES"/>
              </w:rPr>
              <w:t>A las Administraciones de los Estados Miembros de la UIT</w:t>
            </w:r>
          </w:p>
        </w:tc>
      </w:tr>
      <w:tr w:rsidR="00E53DCE" w:rsidRPr="00C3730D" w14:paraId="564A7626" w14:textId="77777777" w:rsidTr="00306452">
        <w:trPr>
          <w:jc w:val="center"/>
        </w:trPr>
        <w:tc>
          <w:tcPr>
            <w:tcW w:w="9889" w:type="dxa"/>
            <w:gridSpan w:val="3"/>
            <w:shd w:val="clear" w:color="auto" w:fill="auto"/>
          </w:tcPr>
          <w:p w14:paraId="27ED5108" w14:textId="77777777" w:rsidR="00E53DCE" w:rsidRPr="0033029C" w:rsidRDefault="00E53DCE" w:rsidP="006160CB">
            <w:pPr>
              <w:spacing w:before="0"/>
              <w:jc w:val="left"/>
              <w:rPr>
                <w:szCs w:val="24"/>
                <w:lang w:val="es-ES"/>
              </w:rPr>
            </w:pPr>
          </w:p>
        </w:tc>
      </w:tr>
      <w:tr w:rsidR="00E53DCE" w:rsidRPr="00C3730D" w14:paraId="757D4C15" w14:textId="77777777" w:rsidTr="00306452">
        <w:trPr>
          <w:jc w:val="center"/>
        </w:trPr>
        <w:tc>
          <w:tcPr>
            <w:tcW w:w="9889" w:type="dxa"/>
            <w:gridSpan w:val="3"/>
            <w:shd w:val="clear" w:color="auto" w:fill="auto"/>
          </w:tcPr>
          <w:p w14:paraId="01A36C45" w14:textId="77777777" w:rsidR="00E53DCE" w:rsidRPr="0033029C" w:rsidRDefault="00E53DCE" w:rsidP="006160CB">
            <w:pPr>
              <w:spacing w:before="0"/>
              <w:jc w:val="left"/>
              <w:rPr>
                <w:szCs w:val="24"/>
                <w:lang w:val="es-ES"/>
              </w:rPr>
            </w:pPr>
          </w:p>
        </w:tc>
      </w:tr>
      <w:tr w:rsidR="00E53DCE" w:rsidRPr="00C3730D" w14:paraId="1F170F68" w14:textId="77777777" w:rsidTr="00306452">
        <w:trPr>
          <w:jc w:val="center"/>
        </w:trPr>
        <w:tc>
          <w:tcPr>
            <w:tcW w:w="1526" w:type="dxa"/>
            <w:shd w:val="clear" w:color="auto" w:fill="auto"/>
          </w:tcPr>
          <w:p w14:paraId="62DCCA99"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4B553675" w14:textId="26FA4ED0" w:rsidR="00E53DCE" w:rsidRPr="004C33DB" w:rsidRDefault="004C33DB" w:rsidP="006160CB">
            <w:pPr>
              <w:tabs>
                <w:tab w:val="clear" w:pos="1588"/>
                <w:tab w:val="left" w:pos="1560"/>
              </w:tabs>
              <w:spacing w:before="0"/>
              <w:rPr>
                <w:b/>
                <w:bCs/>
                <w:szCs w:val="24"/>
                <w:lang w:val="es-ES"/>
              </w:rPr>
            </w:pPr>
            <w:r w:rsidRPr="004C33DB">
              <w:rPr>
                <w:b/>
                <w:bCs/>
                <w:szCs w:val="24"/>
                <w:lang w:val="es-ES"/>
              </w:rPr>
              <w:t>Base de datos de enlaces e información para periodismo electrónico (ENG)</w:t>
            </w:r>
            <w:r w:rsidRPr="004C33DB">
              <w:rPr>
                <w:rStyle w:val="FootnoteReference"/>
                <w:lang w:val="es-ES"/>
              </w:rPr>
              <w:footnoteReference w:id="1"/>
            </w:r>
          </w:p>
        </w:tc>
      </w:tr>
      <w:tr w:rsidR="00E53DCE" w:rsidRPr="00C3730D" w14:paraId="6957F613" w14:textId="77777777" w:rsidTr="00306452">
        <w:trPr>
          <w:jc w:val="center"/>
        </w:trPr>
        <w:tc>
          <w:tcPr>
            <w:tcW w:w="1526" w:type="dxa"/>
            <w:shd w:val="clear" w:color="auto" w:fill="auto"/>
          </w:tcPr>
          <w:p w14:paraId="52B6C7A5" w14:textId="77777777" w:rsidR="00E53DCE" w:rsidRPr="004C33DB"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915EDFE" w14:textId="77777777" w:rsidR="00E53DCE" w:rsidRPr="004C33DB" w:rsidRDefault="00E53DCE" w:rsidP="006160CB">
            <w:pPr>
              <w:tabs>
                <w:tab w:val="clear" w:pos="1588"/>
                <w:tab w:val="left" w:pos="1560"/>
              </w:tabs>
              <w:spacing w:before="0"/>
              <w:rPr>
                <w:b/>
                <w:bCs/>
                <w:szCs w:val="24"/>
                <w:lang w:val="es-ES"/>
              </w:rPr>
            </w:pPr>
          </w:p>
        </w:tc>
      </w:tr>
      <w:tr w:rsidR="00E53DCE" w:rsidRPr="00C3730D" w14:paraId="565C6FF6" w14:textId="77777777" w:rsidTr="00306452">
        <w:trPr>
          <w:jc w:val="center"/>
        </w:trPr>
        <w:tc>
          <w:tcPr>
            <w:tcW w:w="1526" w:type="dxa"/>
            <w:shd w:val="clear" w:color="auto" w:fill="auto"/>
          </w:tcPr>
          <w:p w14:paraId="6E8817B5" w14:textId="77777777" w:rsidR="00E53DCE" w:rsidRPr="004C33DB"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6026EAA" w14:textId="77777777" w:rsidR="00E53DCE" w:rsidRPr="004C33DB" w:rsidRDefault="00E53DCE" w:rsidP="006160CB">
            <w:pPr>
              <w:tabs>
                <w:tab w:val="clear" w:pos="1588"/>
                <w:tab w:val="left" w:pos="1560"/>
              </w:tabs>
              <w:spacing w:before="0"/>
              <w:rPr>
                <w:b/>
                <w:bCs/>
                <w:szCs w:val="24"/>
                <w:lang w:val="es-ES"/>
              </w:rPr>
            </w:pPr>
          </w:p>
        </w:tc>
      </w:tr>
    </w:tbl>
    <w:p w14:paraId="48FD1B1E" w14:textId="2372975F" w:rsidR="00E53DCE" w:rsidRPr="004C33DB" w:rsidRDefault="004C33DB" w:rsidP="00700B92">
      <w:pPr>
        <w:spacing w:before="360"/>
        <w:rPr>
          <w:szCs w:val="24"/>
          <w:lang w:val="es-ES"/>
        </w:rPr>
      </w:pPr>
      <w:r w:rsidRPr="004C33DB">
        <w:rPr>
          <w:szCs w:val="24"/>
          <w:lang w:val="es-ES"/>
        </w:rPr>
        <w:t xml:space="preserve">En su reunión de noviembre de 2021, el Grupo de Trabajo (GT) 5C de la Comisión de Estudio 5 del UIT-R acordó iniciar los estudios requeridos en virtud de la Resolución </w:t>
      </w:r>
      <w:hyperlink r:id="rId8" w:history="1">
        <w:r w:rsidRPr="004C33DB">
          <w:rPr>
            <w:rStyle w:val="Hyperlink"/>
            <w:szCs w:val="24"/>
            <w:lang w:val="es-ES"/>
          </w:rPr>
          <w:t>UIT-R 59-2</w:t>
        </w:r>
      </w:hyperlink>
      <w:r w:rsidRPr="004C33DB">
        <w:rPr>
          <w:szCs w:val="24"/>
          <w:lang w:val="es-ES"/>
        </w:rPr>
        <w:t>, sobre la disponibilidad de bandas de frecuencias para la armonización mundial y/o regional y las condiciones para su utilización por el periodismo electrónico terrestre (ENG).</w:t>
      </w:r>
    </w:p>
    <w:p w14:paraId="31061A2D" w14:textId="05716BBC" w:rsidR="00D21694" w:rsidRPr="004C33DB" w:rsidRDefault="004C33DB" w:rsidP="00700B92">
      <w:pPr>
        <w:rPr>
          <w:rFonts w:asciiTheme="minorHAnsi" w:hAnsiTheme="minorHAnsi" w:cstheme="minorHAnsi"/>
          <w:szCs w:val="24"/>
          <w:lang w:val="es-ES"/>
        </w:rPr>
      </w:pPr>
      <w:r w:rsidRPr="004C33DB">
        <w:rPr>
          <w:rFonts w:asciiTheme="minorHAnsi" w:hAnsiTheme="minorHAnsi" w:cstheme="minorHAnsi"/>
          <w:szCs w:val="24"/>
          <w:lang w:val="es-ES"/>
        </w:rPr>
        <w:t>La presente Circular Administrativa tiene por objeto informar a los Estados Miembros de esta labor y de la necesidad de recabar la información pertinente de las administraciones nacionales. El GT</w:t>
      </w:r>
      <w:r w:rsidR="008A3554">
        <w:rPr>
          <w:rFonts w:asciiTheme="minorHAnsi" w:hAnsiTheme="minorHAnsi" w:cstheme="minorHAnsi"/>
          <w:szCs w:val="24"/>
          <w:lang w:val="es-ES"/>
        </w:rPr>
        <w:t> </w:t>
      </w:r>
      <w:r w:rsidRPr="004C33DB">
        <w:rPr>
          <w:rFonts w:asciiTheme="minorHAnsi" w:hAnsiTheme="minorHAnsi" w:cstheme="minorHAnsi"/>
          <w:szCs w:val="24"/>
          <w:lang w:val="es-ES"/>
        </w:rPr>
        <w:t>5C ha sugerido un formato normalizado para la entrega de dicha información a la UIT (véase el Anexo).</w:t>
      </w:r>
    </w:p>
    <w:p w14:paraId="4FA670CC" w14:textId="77777777" w:rsidR="004C33DB" w:rsidRPr="00C30950" w:rsidRDefault="004C33DB" w:rsidP="00700B92">
      <w:pPr>
        <w:rPr>
          <w:lang w:val="es-ES"/>
        </w:rPr>
      </w:pPr>
      <w:r>
        <w:rPr>
          <w:lang w:val="es-ES"/>
        </w:rPr>
        <w:t xml:space="preserve">Con arreglo a la Resolución </w:t>
      </w:r>
      <w:r w:rsidRPr="00C30950">
        <w:rPr>
          <w:lang w:val="es-ES"/>
        </w:rPr>
        <w:t xml:space="preserve">UIT-R 59-2, </w:t>
      </w:r>
      <w:r>
        <w:rPr>
          <w:lang w:val="es-ES"/>
        </w:rPr>
        <w:t>se encarga al Director de la Oficina de Radiocomunicaciones</w:t>
      </w:r>
      <w:r w:rsidRPr="00C30950">
        <w:rPr>
          <w:lang w:val="es-ES"/>
        </w:rPr>
        <w:t>:</w:t>
      </w:r>
    </w:p>
    <w:p w14:paraId="3F4222C4" w14:textId="11047A4A" w:rsidR="004C33DB" w:rsidRPr="008A3554" w:rsidRDefault="004C33DB" w:rsidP="00700B92">
      <w:pPr>
        <w:pStyle w:val="enumlev1"/>
        <w:rPr>
          <w:i/>
          <w:iCs/>
          <w:lang w:val="es-ES"/>
        </w:rPr>
      </w:pPr>
      <w:r w:rsidRPr="008A3554">
        <w:rPr>
          <w:i/>
          <w:iCs/>
          <w:lang w:val="es-ES"/>
        </w:rPr>
        <w:t>1</w:t>
      </w:r>
      <w:r w:rsidRPr="008A3554">
        <w:rPr>
          <w:i/>
          <w:iCs/>
          <w:lang w:val="es-ES"/>
        </w:rPr>
        <w:tab/>
        <w:t>que cree una página web de acceso público en la que se recopilen los enlaces a las listas de información sobre los sistemas ENG preparadas por la administración (tales como listas o gráficas conexas de las bandas de frecuencias elaboradas por las correspondientes Comisiones de Estudio) conforme a lo solicitado en el resuelve además 1;</w:t>
      </w:r>
    </w:p>
    <w:p w14:paraId="673C9F2E" w14:textId="3D90A33C" w:rsidR="004C33DB" w:rsidRPr="008A3554" w:rsidRDefault="004C33DB" w:rsidP="00700B92">
      <w:pPr>
        <w:pStyle w:val="enumlev1"/>
        <w:rPr>
          <w:i/>
          <w:iCs/>
          <w:lang w:val="es-ES"/>
        </w:rPr>
      </w:pPr>
      <w:r w:rsidRPr="008A3554">
        <w:rPr>
          <w:i/>
          <w:iCs/>
          <w:lang w:val="es-ES"/>
        </w:rPr>
        <w:t>2</w:t>
      </w:r>
      <w:r w:rsidRPr="008A3554">
        <w:rPr>
          <w:i/>
          <w:iCs/>
          <w:lang w:val="es-ES"/>
        </w:rPr>
        <w:tab/>
        <w:t xml:space="preserve">que invite a las </w:t>
      </w:r>
      <w:r w:rsidR="008A3554" w:rsidRPr="008A3554">
        <w:rPr>
          <w:i/>
          <w:iCs/>
          <w:lang w:val="es-ES"/>
        </w:rPr>
        <w:t xml:space="preserve">administraciones </w:t>
      </w:r>
      <w:r w:rsidRPr="008A3554">
        <w:rPr>
          <w:i/>
          <w:iCs/>
          <w:lang w:val="es-ES"/>
        </w:rPr>
        <w:t>de los Estados Miembros a asegurarse de que la información que facilitan se mantiene actualizada mediante la notificación de cualquier modificación de dicha información.</w:t>
      </w:r>
    </w:p>
    <w:p w14:paraId="522706BD" w14:textId="1BB389B8" w:rsidR="002A5DD7" w:rsidRPr="004C33DB" w:rsidRDefault="004C33DB" w:rsidP="00700B92">
      <w:pPr>
        <w:rPr>
          <w:rFonts w:asciiTheme="minorHAnsi" w:hAnsiTheme="minorHAnsi" w:cstheme="minorHAnsi"/>
          <w:szCs w:val="24"/>
          <w:lang w:val="es-ES"/>
        </w:rPr>
      </w:pPr>
      <w:r w:rsidRPr="001B3B5A">
        <w:rPr>
          <w:lang w:val="es-ES"/>
        </w:rPr>
        <w:t>De acuerdo con lo dispuesto en la Resolución UIT-R 59-2, se está desarrollando una página web del UIT-R para consolidar los enlaces a las listas de administración de la información sobre ENG. La finalidad de esta base de datos es proporcionar la información necesaria para facilitar las operaciones de ENG en un país (o zona)</w:t>
      </w:r>
      <w:r w:rsidRPr="00C30950">
        <w:rPr>
          <w:lang w:val="es-ES"/>
        </w:rPr>
        <w:t>.</w:t>
      </w:r>
    </w:p>
    <w:p w14:paraId="76777FD6" w14:textId="77777777" w:rsidR="00700B92" w:rsidRDefault="00700B92">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14:paraId="19EAA1A4" w14:textId="0DDD1B93" w:rsidR="004C33DB" w:rsidRPr="00C30950" w:rsidRDefault="004C33DB" w:rsidP="00700B92">
      <w:pPr>
        <w:rPr>
          <w:lang w:val="es-ES"/>
        </w:rPr>
      </w:pPr>
      <w:r>
        <w:rPr>
          <w:lang w:val="es-ES"/>
        </w:rPr>
        <w:lastRenderedPageBreak/>
        <w:t xml:space="preserve">En el </w:t>
      </w:r>
      <w:r w:rsidRPr="00D42F1F">
        <w:rPr>
          <w:i/>
          <w:iCs/>
          <w:lang w:val="es-ES"/>
        </w:rPr>
        <w:t>resuelve además</w:t>
      </w:r>
      <w:r>
        <w:rPr>
          <w:lang w:val="es-ES"/>
        </w:rPr>
        <w:t xml:space="preserve"> de la</w:t>
      </w:r>
      <w:r w:rsidRPr="00C30950">
        <w:rPr>
          <w:lang w:val="es-ES"/>
        </w:rPr>
        <w:t xml:space="preserve"> Resolución UIT-R 59-2</w:t>
      </w:r>
      <w:r>
        <w:rPr>
          <w:lang w:val="es-ES"/>
        </w:rPr>
        <w:t xml:space="preserve"> se alienta a las administraciones a</w:t>
      </w:r>
      <w:r w:rsidRPr="00C30950">
        <w:rPr>
          <w:lang w:val="es-ES"/>
        </w:rPr>
        <w:t xml:space="preserve">: </w:t>
      </w:r>
    </w:p>
    <w:p w14:paraId="5947CB65" w14:textId="77777777" w:rsidR="004C33DB" w:rsidRPr="00C30950" w:rsidRDefault="004C33DB" w:rsidP="00700B92">
      <w:pPr>
        <w:pStyle w:val="enumlev1"/>
        <w:tabs>
          <w:tab w:val="clear" w:pos="794"/>
          <w:tab w:val="left" w:pos="851"/>
        </w:tabs>
        <w:ind w:left="709" w:firstLine="0"/>
        <w:rPr>
          <w:lang w:val="es-ES"/>
        </w:rPr>
      </w:pPr>
      <w:r w:rsidRPr="001B3B5A">
        <w:rPr>
          <w:i/>
          <w:iCs/>
          <w:lang w:val="es-ES"/>
        </w:rPr>
        <w:t>preparar la información pertinente en relación con la utilización en sus países de los sistemas ENG (por ejemplo, la lista de bandas de frecuencias 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w:t>
      </w:r>
      <w:r>
        <w:rPr>
          <w:i/>
          <w:iCs/>
          <w:lang w:val="es-ES"/>
        </w:rPr>
        <w:t>l</w:t>
      </w:r>
      <w:r w:rsidRPr="00C30950">
        <w:rPr>
          <w:lang w:val="es-ES"/>
        </w:rPr>
        <w:t>.</w:t>
      </w:r>
    </w:p>
    <w:p w14:paraId="3252D216" w14:textId="1674AB2E" w:rsidR="004C33DB" w:rsidRPr="00C30950" w:rsidRDefault="004C33DB" w:rsidP="00700B92">
      <w:pPr>
        <w:rPr>
          <w:lang w:val="es-ES"/>
        </w:rPr>
      </w:pPr>
      <w:r w:rsidRPr="00D42F1F">
        <w:rPr>
          <w:lang w:val="es-ES"/>
        </w:rPr>
        <w:t xml:space="preserve">Se invita a las </w:t>
      </w:r>
      <w:r w:rsidR="00C3730D">
        <w:rPr>
          <w:lang w:val="es-ES"/>
        </w:rPr>
        <w:t>a</w:t>
      </w:r>
      <w:r w:rsidRPr="00D42F1F">
        <w:rPr>
          <w:lang w:val="es-ES"/>
        </w:rPr>
        <w:t>dministraciones a que envíen a la Secretaría (</w:t>
      </w:r>
      <w:hyperlink r:id="rId9" w:history="1">
        <w:r w:rsidRPr="00F06F99">
          <w:rPr>
            <w:rStyle w:val="Hyperlink"/>
            <w:lang w:val="es-ES"/>
          </w:rPr>
          <w:t>brsgd@itu.int</w:t>
        </w:r>
      </w:hyperlink>
      <w:r>
        <w:rPr>
          <w:lang w:val="es-ES"/>
        </w:rPr>
        <w:t>)</w:t>
      </w:r>
      <w:r w:rsidRPr="00D42F1F">
        <w:rPr>
          <w:lang w:val="es-ES"/>
        </w:rPr>
        <w:t>, antes del 16 de mayo de 2022, los enlaces a las listas de administración de la información ENG (como las listas relacionadas o los gráficos de las bandas de frecuencias permitidas elaborados por las Comisiones de Estudio correspondientes).</w:t>
      </w:r>
      <w:r w:rsidRPr="00C30950">
        <w:rPr>
          <w:lang w:val="es-ES"/>
        </w:rPr>
        <w:t xml:space="preserve"> </w:t>
      </w:r>
    </w:p>
    <w:p w14:paraId="2E525B27" w14:textId="77777777" w:rsidR="004C33DB" w:rsidRDefault="004C33DB" w:rsidP="00700B92">
      <w:pPr>
        <w:rPr>
          <w:rStyle w:val="Strong"/>
          <w:b w:val="0"/>
          <w:bCs w:val="0"/>
          <w:bdr w:val="none" w:sz="0" w:space="0" w:color="auto" w:frame="1"/>
          <w:lang w:val="es-ES"/>
        </w:rPr>
      </w:pPr>
      <w:r w:rsidRPr="00D42F1F">
        <w:rPr>
          <w:rStyle w:val="Strong"/>
          <w:b w:val="0"/>
          <w:bCs w:val="0"/>
          <w:bdr w:val="none" w:sz="0" w:space="0" w:color="auto" w:frame="1"/>
          <w:lang w:val="es-ES"/>
        </w:rPr>
        <w:t xml:space="preserve">Para recibir una notificación por correo electrónico cuando se publique una Circular Administrativa del UIT-R o una Carta Circular de su interés, </w:t>
      </w:r>
      <w:hyperlink r:id="rId10" w:history="1">
        <w:r w:rsidRPr="00D42F1F">
          <w:rPr>
            <w:rStyle w:val="Hyperlink"/>
            <w:bdr w:val="none" w:sz="0" w:space="0" w:color="auto" w:frame="1"/>
            <w:lang w:val="es-ES"/>
          </w:rPr>
          <w:t>suscríbase al Servicio de Notificación TIES</w:t>
        </w:r>
      </w:hyperlink>
      <w:r w:rsidRPr="00D42F1F">
        <w:rPr>
          <w:rStyle w:val="Strong"/>
          <w:b w:val="0"/>
          <w:bCs w:val="0"/>
          <w:bdr w:val="none" w:sz="0" w:space="0" w:color="auto" w:frame="1"/>
          <w:lang w:val="es-ES"/>
        </w:rPr>
        <w:t xml:space="preserve"> a través de su cuenta de usuario de la UIT</w:t>
      </w:r>
      <w:r>
        <w:rPr>
          <w:rStyle w:val="Strong"/>
          <w:b w:val="0"/>
          <w:bCs w:val="0"/>
          <w:bdr w:val="none" w:sz="0" w:space="0" w:color="auto" w:frame="1"/>
          <w:lang w:val="es-ES"/>
        </w:rPr>
        <w:t>.</w:t>
      </w:r>
    </w:p>
    <w:p w14:paraId="287FB3BF" w14:textId="77777777" w:rsidR="004C33DB" w:rsidRPr="00C30950" w:rsidRDefault="004C33DB" w:rsidP="004C33DB">
      <w:pPr>
        <w:keepNext/>
        <w:keepLines/>
        <w:tabs>
          <w:tab w:val="clear" w:pos="794"/>
          <w:tab w:val="clear" w:pos="1191"/>
          <w:tab w:val="clear" w:pos="1588"/>
          <w:tab w:val="clear" w:pos="1985"/>
          <w:tab w:val="left" w:pos="0"/>
          <w:tab w:val="left" w:pos="2925"/>
        </w:tabs>
        <w:spacing w:before="1440"/>
        <w:jc w:val="left"/>
        <w:rPr>
          <w:rFonts w:asciiTheme="minorHAnsi" w:eastAsiaTheme="majorEastAsia" w:hAnsiTheme="minorHAnsi" w:cstheme="minorHAnsi"/>
          <w:szCs w:val="24"/>
          <w:lang w:val="es-ES"/>
        </w:rPr>
      </w:pPr>
      <w:r w:rsidRPr="00C30950">
        <w:rPr>
          <w:rFonts w:asciiTheme="minorHAnsi" w:eastAsiaTheme="majorEastAsia" w:hAnsiTheme="minorHAnsi" w:cstheme="minorHAnsi"/>
          <w:szCs w:val="24"/>
          <w:lang w:val="es-ES"/>
        </w:rPr>
        <w:t>Mario Maniewicz</w:t>
      </w:r>
      <w:r w:rsidRPr="00C30950">
        <w:rPr>
          <w:rFonts w:asciiTheme="minorHAnsi" w:eastAsiaTheme="majorEastAsia" w:hAnsiTheme="minorHAnsi" w:cstheme="minorHAnsi"/>
          <w:szCs w:val="24"/>
          <w:lang w:val="es-ES"/>
        </w:rPr>
        <w:tab/>
      </w:r>
      <w:r w:rsidRPr="00C30950">
        <w:rPr>
          <w:rFonts w:asciiTheme="minorHAnsi" w:eastAsiaTheme="majorEastAsia" w:hAnsiTheme="minorHAnsi" w:cstheme="minorHAnsi"/>
          <w:szCs w:val="24"/>
          <w:lang w:val="es-ES"/>
        </w:rPr>
        <w:br/>
        <w:t>Director</w:t>
      </w:r>
    </w:p>
    <w:p w14:paraId="461F724A" w14:textId="77777777" w:rsidR="004C33DB" w:rsidRPr="00C30950" w:rsidRDefault="004C33DB" w:rsidP="004C33DB">
      <w:pPr>
        <w:tabs>
          <w:tab w:val="left" w:pos="284"/>
        </w:tabs>
        <w:spacing w:before="0" w:line="240" w:lineRule="auto"/>
        <w:ind w:left="284" w:hanging="284"/>
        <w:rPr>
          <w:rFonts w:asciiTheme="minorHAnsi" w:hAnsiTheme="minorHAnsi"/>
          <w:sz w:val="16"/>
          <w:szCs w:val="16"/>
          <w:lang w:val="es-ES"/>
        </w:rPr>
      </w:pPr>
    </w:p>
    <w:p w14:paraId="3F705ACC" w14:textId="55231649" w:rsidR="004C33DB" w:rsidRPr="00C30950" w:rsidRDefault="004C33DB" w:rsidP="00C3730D">
      <w:pPr>
        <w:keepNext/>
        <w:keepLines/>
        <w:tabs>
          <w:tab w:val="clear" w:pos="794"/>
          <w:tab w:val="clear" w:pos="1191"/>
          <w:tab w:val="left" w:pos="1276"/>
          <w:tab w:val="left" w:pos="1418"/>
        </w:tabs>
        <w:spacing w:before="1320"/>
        <w:ind w:left="1276" w:hanging="1276"/>
        <w:jc w:val="left"/>
        <w:rPr>
          <w:lang w:val="es-ES"/>
        </w:rPr>
      </w:pPr>
      <w:r w:rsidRPr="00C30950">
        <w:rPr>
          <w:b/>
          <w:bCs/>
          <w:lang w:val="es-ES"/>
        </w:rPr>
        <w:t>Anexo:</w:t>
      </w:r>
      <w:r w:rsidR="00F53D80">
        <w:rPr>
          <w:lang w:val="es-ES"/>
        </w:rPr>
        <w:tab/>
      </w:r>
      <w:r w:rsidRPr="00396503">
        <w:rPr>
          <w:lang w:val="es-ES"/>
        </w:rPr>
        <w:t>Informa</w:t>
      </w:r>
      <w:bookmarkStart w:id="0" w:name="_GoBack"/>
      <w:r w:rsidRPr="00396503">
        <w:rPr>
          <w:lang w:val="es-ES"/>
        </w:rPr>
        <w:t>ción s</w:t>
      </w:r>
      <w:bookmarkEnd w:id="0"/>
      <w:r w:rsidRPr="00396503">
        <w:rPr>
          <w:lang w:val="es-ES"/>
        </w:rPr>
        <w:t>obre el despliegue del ENG para su uso por parte de entidades extranjeras que tratan de acceder al espectro durante eventos de interés periodístico mundial dentro del país X</w:t>
      </w:r>
      <w:r>
        <w:rPr>
          <w:lang w:val="es-ES"/>
        </w:rPr>
        <w:t>.</w:t>
      </w:r>
    </w:p>
    <w:p w14:paraId="54581CC0" w14:textId="77777777" w:rsidR="004C33DB" w:rsidRPr="00C30950" w:rsidRDefault="004C33DB" w:rsidP="004C33DB">
      <w:pPr>
        <w:pStyle w:val="Footer"/>
        <w:tabs>
          <w:tab w:val="left" w:pos="284"/>
          <w:tab w:val="left" w:pos="1191"/>
          <w:tab w:val="left" w:pos="1588"/>
          <w:tab w:val="left" w:pos="1985"/>
        </w:tabs>
        <w:spacing w:before="0" w:line="240" w:lineRule="auto"/>
        <w:ind w:left="284" w:hanging="284"/>
        <w:jc w:val="left"/>
        <w:rPr>
          <w:rFonts w:asciiTheme="minorHAnsi" w:hAnsiTheme="minorHAnsi"/>
          <w:sz w:val="16"/>
          <w:szCs w:val="16"/>
          <w:lang w:val="es-ES"/>
        </w:rPr>
      </w:pPr>
    </w:p>
    <w:p w14:paraId="5353C704" w14:textId="77777777" w:rsidR="004C33DB" w:rsidRPr="00C30950" w:rsidRDefault="004C33DB" w:rsidP="004C33D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p>
    <w:p w14:paraId="5006D96A" w14:textId="77777777" w:rsidR="004C33DB" w:rsidRPr="00C30950" w:rsidRDefault="004C33DB" w:rsidP="004C33D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sectPr w:rsidR="004C33DB" w:rsidRPr="00C30950" w:rsidSect="005E4AB1">
          <w:headerReference w:type="even" r:id="rId11"/>
          <w:headerReference w:type="default" r:id="rId12"/>
          <w:headerReference w:type="first" r:id="rId13"/>
          <w:footerReference w:type="first" r:id="rId14"/>
          <w:pgSz w:w="11907" w:h="16834"/>
          <w:pgMar w:top="1418" w:right="1134" w:bottom="1418" w:left="1276" w:header="567" w:footer="397" w:gutter="0"/>
          <w:cols w:space="720"/>
          <w:titlePg/>
          <w:docGrid w:linePitch="326"/>
        </w:sectPr>
      </w:pPr>
    </w:p>
    <w:p w14:paraId="0624112F" w14:textId="371F72E2" w:rsidR="004C33DB" w:rsidRPr="00C30950" w:rsidRDefault="004C33DB" w:rsidP="009A3027">
      <w:pPr>
        <w:pStyle w:val="AnnexNoTitle"/>
        <w:spacing w:before="360"/>
        <w:rPr>
          <w:rFonts w:asciiTheme="minorHAnsi" w:eastAsia="Calibri" w:hAnsiTheme="minorHAnsi" w:cstheme="minorHAnsi"/>
          <w:b w:val="0"/>
          <w:sz w:val="28"/>
          <w:szCs w:val="28"/>
          <w:lang w:val="es-ES"/>
        </w:rPr>
      </w:pPr>
      <w:bookmarkStart w:id="1" w:name="_Hlk90282427"/>
      <w:r w:rsidRPr="00C30950">
        <w:rPr>
          <w:sz w:val="28"/>
          <w:lang w:val="es-ES"/>
        </w:rPr>
        <w:lastRenderedPageBreak/>
        <w:t>ANEX</w:t>
      </w:r>
      <w:r w:rsidR="00F53D80">
        <w:rPr>
          <w:sz w:val="28"/>
          <w:lang w:val="es-ES"/>
        </w:rPr>
        <w:t>O</w:t>
      </w:r>
      <w:r w:rsidRPr="00C30950">
        <w:rPr>
          <w:sz w:val="28"/>
          <w:highlight w:val="cyan"/>
          <w:lang w:val="es-ES"/>
        </w:rPr>
        <w:br/>
      </w:r>
      <w:r w:rsidRPr="00C30950">
        <w:rPr>
          <w:highlight w:val="cyan"/>
          <w:lang w:val="es-ES"/>
        </w:rPr>
        <w:br/>
      </w:r>
      <w:r w:rsidRPr="00396503">
        <w:rPr>
          <w:rFonts w:asciiTheme="minorHAnsi" w:eastAsia="Calibri" w:hAnsiTheme="minorHAnsi" w:cstheme="minorHAnsi"/>
          <w:bCs/>
          <w:sz w:val="28"/>
          <w:szCs w:val="28"/>
          <w:lang w:val="es-ES"/>
        </w:rPr>
        <w:t>Información sobre el despliegue del ENG</w:t>
      </w:r>
      <w:r w:rsidRPr="00C30950">
        <w:rPr>
          <w:rStyle w:val="FootnoteReference"/>
          <w:rFonts w:asciiTheme="minorHAnsi" w:eastAsia="Calibri" w:hAnsiTheme="minorHAnsi" w:cstheme="minorHAnsi"/>
          <w:szCs w:val="28"/>
          <w:lang w:val="es-ES"/>
        </w:rPr>
        <w:footnoteReference w:id="2"/>
      </w:r>
      <w:r w:rsidRPr="00C30950">
        <w:rPr>
          <w:rFonts w:asciiTheme="minorHAnsi" w:eastAsia="Calibri" w:hAnsiTheme="minorHAnsi" w:cstheme="minorHAnsi"/>
          <w:bCs/>
          <w:sz w:val="28"/>
          <w:szCs w:val="28"/>
          <w:lang w:val="es-ES"/>
        </w:rPr>
        <w:t xml:space="preserve"> </w:t>
      </w:r>
      <w:r w:rsidRPr="00396503">
        <w:rPr>
          <w:rFonts w:asciiTheme="minorHAnsi" w:eastAsia="Calibri" w:hAnsiTheme="minorHAnsi" w:cstheme="minorHAnsi"/>
          <w:bCs/>
          <w:sz w:val="28"/>
          <w:szCs w:val="28"/>
          <w:lang w:val="es-ES"/>
        </w:rPr>
        <w:t xml:space="preserve">para su uso por parte de entidades extranjeras que tratan de acceder al espectro durante eventos de </w:t>
      </w:r>
      <w:r w:rsidR="009A3027">
        <w:rPr>
          <w:rFonts w:asciiTheme="minorHAnsi" w:eastAsia="Calibri" w:hAnsiTheme="minorHAnsi" w:cstheme="minorHAnsi"/>
          <w:bCs/>
          <w:sz w:val="28"/>
          <w:szCs w:val="28"/>
          <w:lang w:val="es-ES"/>
        </w:rPr>
        <w:br/>
      </w:r>
      <w:r w:rsidRPr="00396503">
        <w:rPr>
          <w:rFonts w:asciiTheme="minorHAnsi" w:eastAsia="Calibri" w:hAnsiTheme="minorHAnsi" w:cstheme="minorHAnsi"/>
          <w:bCs/>
          <w:sz w:val="28"/>
          <w:szCs w:val="28"/>
          <w:lang w:val="es-ES"/>
        </w:rPr>
        <w:t xml:space="preserve">interés periodístico mundial dentro del país X </w:t>
      </w:r>
    </w:p>
    <w:p w14:paraId="30B3F478" w14:textId="77777777" w:rsidR="004C33DB" w:rsidRPr="00C30950" w:rsidRDefault="004C33DB" w:rsidP="004C33DB">
      <w:pPr>
        <w:tabs>
          <w:tab w:val="left" w:pos="1134"/>
          <w:tab w:val="left" w:pos="1871"/>
          <w:tab w:val="left" w:pos="2268"/>
        </w:tabs>
        <w:spacing w:before="120" w:line="240" w:lineRule="auto"/>
        <w:rPr>
          <w:rFonts w:asciiTheme="minorHAnsi" w:hAnsiTheme="minorHAnsi" w:cstheme="minorHAnsi"/>
          <w:szCs w:val="20"/>
          <w:lang w:val="es-ES"/>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970"/>
        <w:gridCol w:w="4337"/>
      </w:tblGrid>
      <w:tr w:rsidR="004C33DB" w:rsidRPr="008A3554" w14:paraId="29EDD092" w14:textId="77777777" w:rsidTr="0095267A">
        <w:trPr>
          <w:cantSplit/>
          <w:trHeight w:val="20"/>
          <w:jc w:val="center"/>
        </w:trPr>
        <w:tc>
          <w:tcPr>
            <w:tcW w:w="8307" w:type="dxa"/>
            <w:gridSpan w:val="2"/>
            <w:vAlign w:val="center"/>
          </w:tcPr>
          <w:p w14:paraId="02B66282" w14:textId="77777777" w:rsidR="004C33DB" w:rsidRPr="008A3554" w:rsidRDefault="004C33DB" w:rsidP="00F53D80">
            <w:pPr>
              <w:pStyle w:val="Tablehead"/>
              <w:rPr>
                <w:szCs w:val="20"/>
                <w:lang w:val="es-ES"/>
              </w:rPr>
            </w:pPr>
            <w:r w:rsidRPr="008A3554">
              <w:rPr>
                <w:szCs w:val="20"/>
                <w:lang w:val="es-ES"/>
              </w:rPr>
              <w:t>Estado Miembro: País X</w:t>
            </w:r>
          </w:p>
        </w:tc>
      </w:tr>
      <w:tr w:rsidR="004C33DB" w:rsidRPr="00C3730D" w14:paraId="4BE18BB9" w14:textId="77777777" w:rsidTr="0095267A">
        <w:trPr>
          <w:cantSplit/>
          <w:trHeight w:val="20"/>
          <w:jc w:val="center"/>
        </w:trPr>
        <w:tc>
          <w:tcPr>
            <w:tcW w:w="8307" w:type="dxa"/>
            <w:gridSpan w:val="2"/>
            <w:tcBorders>
              <w:bottom w:val="single" w:sz="4" w:space="0" w:color="auto"/>
            </w:tcBorders>
          </w:tcPr>
          <w:p w14:paraId="2367457D" w14:textId="77777777" w:rsidR="004C33DB" w:rsidRPr="008A3554" w:rsidRDefault="004C33DB" w:rsidP="00F53D80">
            <w:pPr>
              <w:pStyle w:val="Tabletext"/>
              <w:rPr>
                <w:szCs w:val="20"/>
                <w:lang w:val="es-ES"/>
              </w:rPr>
            </w:pPr>
            <w:r w:rsidRPr="008A3554">
              <w:rPr>
                <w:szCs w:val="20"/>
                <w:lang w:val="es-ES"/>
              </w:rPr>
              <w:t xml:space="preserve">1) </w:t>
            </w:r>
            <w:r w:rsidRPr="008A3554">
              <w:rPr>
                <w:i/>
                <w:iCs/>
                <w:szCs w:val="20"/>
                <w:u w:val="single"/>
                <w:lang w:val="es-ES"/>
              </w:rPr>
              <w:t>Información de contacto del organismo</w:t>
            </w:r>
            <w:r w:rsidRPr="008A3554">
              <w:rPr>
                <w:szCs w:val="20"/>
                <w:lang w:val="es-ES"/>
              </w:rPr>
              <w:t xml:space="preserve"> – Nombre de la entidad </w:t>
            </w:r>
          </w:p>
        </w:tc>
      </w:tr>
      <w:tr w:rsidR="004C33DB" w:rsidRPr="008A3554" w14:paraId="12B09313" w14:textId="77777777" w:rsidTr="0095267A">
        <w:trPr>
          <w:cantSplit/>
          <w:trHeight w:val="20"/>
          <w:jc w:val="center"/>
        </w:trPr>
        <w:tc>
          <w:tcPr>
            <w:tcW w:w="3970" w:type="dxa"/>
            <w:tcBorders>
              <w:top w:val="single" w:sz="4" w:space="0" w:color="auto"/>
            </w:tcBorders>
          </w:tcPr>
          <w:p w14:paraId="26BA24B4" w14:textId="77777777" w:rsidR="004C33DB" w:rsidRPr="008A3554" w:rsidRDefault="004C33DB" w:rsidP="00F53D80">
            <w:pPr>
              <w:pStyle w:val="Tabletext"/>
              <w:rPr>
                <w:szCs w:val="20"/>
                <w:lang w:val="es-ES"/>
              </w:rPr>
            </w:pPr>
            <w:r w:rsidRPr="008A3554">
              <w:rPr>
                <w:szCs w:val="20"/>
                <w:lang w:val="es-ES"/>
              </w:rPr>
              <w:t>Dirección:</w:t>
            </w:r>
          </w:p>
        </w:tc>
        <w:tc>
          <w:tcPr>
            <w:tcW w:w="4337" w:type="dxa"/>
            <w:tcBorders>
              <w:top w:val="single" w:sz="4" w:space="0" w:color="auto"/>
            </w:tcBorders>
          </w:tcPr>
          <w:p w14:paraId="4E1EE7D4" w14:textId="77777777" w:rsidR="004C33DB" w:rsidRPr="008A3554" w:rsidRDefault="004C33DB" w:rsidP="00F53D80">
            <w:pPr>
              <w:pStyle w:val="Tabletext"/>
              <w:rPr>
                <w:szCs w:val="20"/>
                <w:lang w:val="es-ES" w:eastAsia="ja-JP"/>
              </w:rPr>
            </w:pPr>
          </w:p>
        </w:tc>
      </w:tr>
      <w:tr w:rsidR="004C33DB" w:rsidRPr="008A3554" w14:paraId="187E8DD2" w14:textId="77777777" w:rsidTr="0095267A">
        <w:trPr>
          <w:cantSplit/>
          <w:trHeight w:val="20"/>
          <w:jc w:val="center"/>
        </w:trPr>
        <w:tc>
          <w:tcPr>
            <w:tcW w:w="3970" w:type="dxa"/>
          </w:tcPr>
          <w:p w14:paraId="1B06F853" w14:textId="77777777" w:rsidR="004C33DB" w:rsidRPr="008A3554" w:rsidRDefault="004C33DB" w:rsidP="00F53D80">
            <w:pPr>
              <w:pStyle w:val="Tabletext"/>
              <w:rPr>
                <w:szCs w:val="20"/>
                <w:lang w:val="es-ES"/>
              </w:rPr>
            </w:pPr>
            <w:r w:rsidRPr="008A3554">
              <w:rPr>
                <w:szCs w:val="20"/>
                <w:lang w:val="es-ES"/>
              </w:rPr>
              <w:t>Tel.:</w:t>
            </w:r>
          </w:p>
        </w:tc>
        <w:tc>
          <w:tcPr>
            <w:tcW w:w="4337" w:type="dxa"/>
          </w:tcPr>
          <w:p w14:paraId="7571595F" w14:textId="77777777" w:rsidR="004C33DB" w:rsidRPr="008A3554" w:rsidRDefault="004C33DB" w:rsidP="00F53D80">
            <w:pPr>
              <w:pStyle w:val="Tabletext"/>
              <w:rPr>
                <w:szCs w:val="20"/>
                <w:lang w:val="es-ES" w:eastAsia="ja-JP"/>
              </w:rPr>
            </w:pPr>
          </w:p>
        </w:tc>
      </w:tr>
      <w:tr w:rsidR="004C33DB" w:rsidRPr="008A3554" w14:paraId="23182B86" w14:textId="77777777" w:rsidTr="0095267A">
        <w:trPr>
          <w:cantSplit/>
          <w:trHeight w:val="20"/>
          <w:jc w:val="center"/>
        </w:trPr>
        <w:tc>
          <w:tcPr>
            <w:tcW w:w="3970" w:type="dxa"/>
          </w:tcPr>
          <w:p w14:paraId="4A1371F4" w14:textId="77777777" w:rsidR="004C33DB" w:rsidRPr="008A3554" w:rsidRDefault="004C33DB" w:rsidP="00F53D80">
            <w:pPr>
              <w:pStyle w:val="Tabletext"/>
              <w:rPr>
                <w:szCs w:val="20"/>
                <w:lang w:val="es-ES"/>
              </w:rPr>
            </w:pPr>
            <w:r w:rsidRPr="008A3554">
              <w:rPr>
                <w:szCs w:val="20"/>
                <w:lang w:val="es-ES"/>
              </w:rPr>
              <w:t>Correo-e:</w:t>
            </w:r>
          </w:p>
        </w:tc>
        <w:tc>
          <w:tcPr>
            <w:tcW w:w="4337" w:type="dxa"/>
          </w:tcPr>
          <w:p w14:paraId="67076E1D" w14:textId="77777777" w:rsidR="004C33DB" w:rsidRPr="008A3554" w:rsidRDefault="004C33DB" w:rsidP="00F53D80">
            <w:pPr>
              <w:pStyle w:val="Tabletext"/>
              <w:rPr>
                <w:szCs w:val="20"/>
                <w:lang w:val="es-ES" w:eastAsia="ja-JP"/>
              </w:rPr>
            </w:pPr>
          </w:p>
        </w:tc>
      </w:tr>
      <w:tr w:rsidR="004C33DB" w:rsidRPr="008A3554" w14:paraId="36D62E11" w14:textId="77777777" w:rsidTr="0095267A">
        <w:tblPrEx>
          <w:tblCellMar>
            <w:left w:w="31" w:type="dxa"/>
            <w:right w:w="31" w:type="dxa"/>
          </w:tblCellMar>
        </w:tblPrEx>
        <w:trPr>
          <w:cantSplit/>
          <w:trHeight w:val="20"/>
          <w:jc w:val="center"/>
        </w:trPr>
        <w:tc>
          <w:tcPr>
            <w:tcW w:w="3970" w:type="dxa"/>
          </w:tcPr>
          <w:p w14:paraId="714A771D" w14:textId="77777777" w:rsidR="004C33DB" w:rsidRPr="008A3554" w:rsidRDefault="004C33DB" w:rsidP="00F53D80">
            <w:pPr>
              <w:pStyle w:val="Tabletext"/>
              <w:rPr>
                <w:szCs w:val="20"/>
                <w:lang w:val="es-ES"/>
              </w:rPr>
            </w:pPr>
          </w:p>
        </w:tc>
        <w:tc>
          <w:tcPr>
            <w:tcW w:w="4337" w:type="dxa"/>
          </w:tcPr>
          <w:p w14:paraId="50C87FA8" w14:textId="77777777" w:rsidR="004C33DB" w:rsidRPr="008A3554" w:rsidRDefault="004C33DB" w:rsidP="00F53D80">
            <w:pPr>
              <w:pStyle w:val="Tabletext"/>
              <w:rPr>
                <w:szCs w:val="20"/>
                <w:lang w:val="es-ES" w:eastAsia="ja-JP"/>
              </w:rPr>
            </w:pPr>
          </w:p>
        </w:tc>
      </w:tr>
      <w:tr w:rsidR="004C33DB" w:rsidRPr="00C3730D" w14:paraId="6890D04F" w14:textId="77777777" w:rsidTr="0095267A">
        <w:tblPrEx>
          <w:tblCellMar>
            <w:left w:w="31" w:type="dxa"/>
            <w:right w:w="31" w:type="dxa"/>
          </w:tblCellMar>
        </w:tblPrEx>
        <w:trPr>
          <w:cantSplit/>
          <w:trHeight w:val="20"/>
          <w:jc w:val="center"/>
        </w:trPr>
        <w:tc>
          <w:tcPr>
            <w:tcW w:w="3970" w:type="dxa"/>
          </w:tcPr>
          <w:p w14:paraId="51B21A71" w14:textId="77777777" w:rsidR="004C33DB" w:rsidRPr="008A3554" w:rsidRDefault="004C33DB" w:rsidP="00F53D80">
            <w:pPr>
              <w:pStyle w:val="Tabletext"/>
              <w:rPr>
                <w:szCs w:val="20"/>
                <w:lang w:val="es-ES"/>
              </w:rPr>
            </w:pPr>
            <w:r w:rsidRPr="008A3554">
              <w:rPr>
                <w:szCs w:val="20"/>
                <w:lang w:val="es-ES"/>
              </w:rPr>
              <w:t>Web-URL del cuadro nacional de atribución de bandas de frecuencias:</w:t>
            </w:r>
          </w:p>
        </w:tc>
        <w:tc>
          <w:tcPr>
            <w:tcW w:w="4337" w:type="dxa"/>
          </w:tcPr>
          <w:p w14:paraId="38AD39D7" w14:textId="77777777" w:rsidR="004C33DB" w:rsidRPr="008A3554" w:rsidRDefault="004C33DB" w:rsidP="00F53D80">
            <w:pPr>
              <w:pStyle w:val="Tabletext"/>
              <w:rPr>
                <w:szCs w:val="20"/>
                <w:lang w:val="es-ES" w:eastAsia="ja-JP"/>
              </w:rPr>
            </w:pPr>
          </w:p>
        </w:tc>
      </w:tr>
      <w:tr w:rsidR="004C33DB" w:rsidRPr="00C3730D" w14:paraId="6A2757AC" w14:textId="77777777" w:rsidTr="0095267A">
        <w:tblPrEx>
          <w:tblCellMar>
            <w:left w:w="31" w:type="dxa"/>
            <w:right w:w="31" w:type="dxa"/>
          </w:tblCellMar>
        </w:tblPrEx>
        <w:trPr>
          <w:cantSplit/>
          <w:trHeight w:val="20"/>
          <w:jc w:val="center"/>
        </w:trPr>
        <w:tc>
          <w:tcPr>
            <w:tcW w:w="3970" w:type="dxa"/>
          </w:tcPr>
          <w:p w14:paraId="1694536C" w14:textId="77777777" w:rsidR="004C33DB" w:rsidRPr="008A3554" w:rsidRDefault="004C33DB" w:rsidP="00F53D80">
            <w:pPr>
              <w:pStyle w:val="Tabletext"/>
              <w:rPr>
                <w:szCs w:val="20"/>
                <w:lang w:val="es-ES"/>
              </w:rPr>
            </w:pPr>
          </w:p>
        </w:tc>
        <w:tc>
          <w:tcPr>
            <w:tcW w:w="4337" w:type="dxa"/>
          </w:tcPr>
          <w:p w14:paraId="53511F37" w14:textId="77777777" w:rsidR="004C33DB" w:rsidRPr="008A3554" w:rsidRDefault="004C33DB" w:rsidP="00F53D80">
            <w:pPr>
              <w:pStyle w:val="Tabletext"/>
              <w:rPr>
                <w:szCs w:val="20"/>
                <w:lang w:val="es-ES" w:eastAsia="ja-JP"/>
              </w:rPr>
            </w:pPr>
          </w:p>
        </w:tc>
      </w:tr>
      <w:tr w:rsidR="004C33DB" w:rsidRPr="00C3730D" w14:paraId="01E8865A" w14:textId="77777777" w:rsidTr="0095267A">
        <w:trPr>
          <w:cantSplit/>
          <w:trHeight w:val="20"/>
          <w:jc w:val="center"/>
        </w:trPr>
        <w:tc>
          <w:tcPr>
            <w:tcW w:w="8307" w:type="dxa"/>
            <w:gridSpan w:val="2"/>
            <w:tcBorders>
              <w:bottom w:val="single" w:sz="4" w:space="0" w:color="auto"/>
            </w:tcBorders>
          </w:tcPr>
          <w:p w14:paraId="025B4166" w14:textId="77777777" w:rsidR="004C33DB" w:rsidRPr="008A3554" w:rsidRDefault="004C33DB" w:rsidP="00F53D80">
            <w:pPr>
              <w:pStyle w:val="Tabletext"/>
              <w:rPr>
                <w:szCs w:val="20"/>
                <w:lang w:val="es-ES"/>
              </w:rPr>
            </w:pPr>
            <w:r w:rsidRPr="008A3554">
              <w:rPr>
                <w:szCs w:val="20"/>
                <w:lang w:val="es-ES"/>
              </w:rPr>
              <w:t xml:space="preserve">2) </w:t>
            </w:r>
            <w:r w:rsidRPr="008A3554">
              <w:rPr>
                <w:i/>
                <w:iCs/>
                <w:szCs w:val="20"/>
                <w:u w:val="single"/>
                <w:lang w:val="es-ES"/>
              </w:rPr>
              <w:t>Contacto para la concesión de licencias de frecuencias</w:t>
            </w:r>
            <w:r w:rsidRPr="008A3554">
              <w:rPr>
                <w:szCs w:val="20"/>
                <w:u w:val="single"/>
                <w:lang w:val="es-ES"/>
              </w:rPr>
              <w:t xml:space="preserve"> </w:t>
            </w:r>
            <w:r w:rsidRPr="008A3554">
              <w:rPr>
                <w:szCs w:val="20"/>
                <w:lang w:val="es-ES"/>
              </w:rPr>
              <w:t>– Nombre de la entidad</w:t>
            </w:r>
          </w:p>
        </w:tc>
      </w:tr>
      <w:tr w:rsidR="004C33DB" w:rsidRPr="008A3554" w14:paraId="39E491A4" w14:textId="77777777" w:rsidTr="0095267A">
        <w:trPr>
          <w:cantSplit/>
          <w:trHeight w:val="20"/>
          <w:jc w:val="center"/>
        </w:trPr>
        <w:tc>
          <w:tcPr>
            <w:tcW w:w="3970" w:type="dxa"/>
            <w:tcBorders>
              <w:top w:val="single" w:sz="4" w:space="0" w:color="auto"/>
            </w:tcBorders>
          </w:tcPr>
          <w:p w14:paraId="5076E930" w14:textId="77777777" w:rsidR="004C33DB" w:rsidRPr="008A3554" w:rsidRDefault="004C33DB" w:rsidP="00F53D80">
            <w:pPr>
              <w:pStyle w:val="Tabletext"/>
              <w:rPr>
                <w:szCs w:val="20"/>
                <w:lang w:val="es-ES"/>
              </w:rPr>
            </w:pPr>
            <w:r w:rsidRPr="008A3554">
              <w:rPr>
                <w:szCs w:val="20"/>
                <w:lang w:val="es-ES"/>
              </w:rPr>
              <w:t>Dirección:</w:t>
            </w:r>
          </w:p>
        </w:tc>
        <w:tc>
          <w:tcPr>
            <w:tcW w:w="4337" w:type="dxa"/>
            <w:tcBorders>
              <w:top w:val="single" w:sz="4" w:space="0" w:color="auto"/>
            </w:tcBorders>
          </w:tcPr>
          <w:p w14:paraId="7CDCB3A4" w14:textId="77777777" w:rsidR="004C33DB" w:rsidRPr="008A3554" w:rsidRDefault="004C33DB" w:rsidP="00F53D80">
            <w:pPr>
              <w:pStyle w:val="Tabletext"/>
              <w:rPr>
                <w:szCs w:val="20"/>
                <w:lang w:val="es-ES"/>
              </w:rPr>
            </w:pPr>
          </w:p>
        </w:tc>
      </w:tr>
      <w:tr w:rsidR="004C33DB" w:rsidRPr="008A3554" w14:paraId="5F50B2A8" w14:textId="77777777" w:rsidTr="0095267A">
        <w:trPr>
          <w:cantSplit/>
          <w:trHeight w:val="20"/>
          <w:jc w:val="center"/>
        </w:trPr>
        <w:tc>
          <w:tcPr>
            <w:tcW w:w="3970" w:type="dxa"/>
            <w:tcBorders>
              <w:top w:val="single" w:sz="4" w:space="0" w:color="auto"/>
            </w:tcBorders>
          </w:tcPr>
          <w:p w14:paraId="10B40C2F" w14:textId="77777777" w:rsidR="004C33DB" w:rsidRPr="008A3554" w:rsidRDefault="004C33DB" w:rsidP="00F53D80">
            <w:pPr>
              <w:pStyle w:val="Tabletext"/>
              <w:rPr>
                <w:szCs w:val="20"/>
                <w:lang w:val="es-ES"/>
              </w:rPr>
            </w:pPr>
            <w:r w:rsidRPr="008A3554">
              <w:rPr>
                <w:szCs w:val="20"/>
                <w:lang w:val="es-ES"/>
              </w:rPr>
              <w:t>Correo-e:</w:t>
            </w:r>
          </w:p>
        </w:tc>
        <w:tc>
          <w:tcPr>
            <w:tcW w:w="4337" w:type="dxa"/>
            <w:tcBorders>
              <w:top w:val="single" w:sz="4" w:space="0" w:color="auto"/>
            </w:tcBorders>
          </w:tcPr>
          <w:p w14:paraId="6644251D" w14:textId="77777777" w:rsidR="004C33DB" w:rsidRPr="008A3554" w:rsidRDefault="004C33DB" w:rsidP="00F53D80">
            <w:pPr>
              <w:pStyle w:val="Tabletext"/>
              <w:rPr>
                <w:szCs w:val="20"/>
                <w:lang w:val="es-ES"/>
              </w:rPr>
            </w:pPr>
          </w:p>
        </w:tc>
      </w:tr>
      <w:tr w:rsidR="004C33DB" w:rsidRPr="008A3554" w14:paraId="7B5355D6" w14:textId="77777777" w:rsidTr="0095267A">
        <w:trPr>
          <w:cantSplit/>
          <w:trHeight w:val="20"/>
          <w:jc w:val="center"/>
        </w:trPr>
        <w:tc>
          <w:tcPr>
            <w:tcW w:w="3970" w:type="dxa"/>
          </w:tcPr>
          <w:p w14:paraId="35E2D12A" w14:textId="77777777" w:rsidR="004C33DB" w:rsidRPr="008A3554" w:rsidRDefault="004C33DB" w:rsidP="00F53D80">
            <w:pPr>
              <w:pStyle w:val="Tabletext"/>
              <w:rPr>
                <w:szCs w:val="20"/>
                <w:lang w:val="es-ES" w:eastAsia="ja-JP"/>
              </w:rPr>
            </w:pPr>
            <w:r w:rsidRPr="008A3554">
              <w:rPr>
                <w:szCs w:val="20"/>
                <w:lang w:val="es-ES" w:eastAsia="ja-JP"/>
              </w:rPr>
              <w:t>Web-URL:</w:t>
            </w:r>
          </w:p>
        </w:tc>
        <w:tc>
          <w:tcPr>
            <w:tcW w:w="4337" w:type="dxa"/>
          </w:tcPr>
          <w:p w14:paraId="597F14F1" w14:textId="77777777" w:rsidR="004C33DB" w:rsidRPr="008A3554" w:rsidRDefault="004C33DB" w:rsidP="00F53D80">
            <w:pPr>
              <w:pStyle w:val="Tabletext"/>
              <w:rPr>
                <w:szCs w:val="20"/>
                <w:u w:val="single"/>
                <w:lang w:val="es-ES"/>
              </w:rPr>
            </w:pPr>
          </w:p>
        </w:tc>
      </w:tr>
      <w:tr w:rsidR="004C33DB" w:rsidRPr="00C3730D" w14:paraId="74DCFBFF" w14:textId="77777777" w:rsidTr="0095267A">
        <w:trPr>
          <w:cantSplit/>
          <w:trHeight w:val="20"/>
          <w:jc w:val="center"/>
        </w:trPr>
        <w:tc>
          <w:tcPr>
            <w:tcW w:w="3970" w:type="dxa"/>
          </w:tcPr>
          <w:p w14:paraId="4710EF59" w14:textId="77777777" w:rsidR="004C33DB" w:rsidRPr="008A3554" w:rsidRDefault="004C33DB" w:rsidP="00F53D80">
            <w:pPr>
              <w:pStyle w:val="Tabletext"/>
              <w:rPr>
                <w:szCs w:val="20"/>
                <w:lang w:val="es-ES" w:eastAsia="ja-JP"/>
              </w:rPr>
            </w:pPr>
            <w:r w:rsidRPr="008A3554">
              <w:rPr>
                <w:szCs w:val="20"/>
                <w:lang w:val="es-ES" w:eastAsia="ja-JP"/>
              </w:rPr>
              <w:t>Web-URL de información sobre concesión de licencias:</w:t>
            </w:r>
          </w:p>
        </w:tc>
        <w:tc>
          <w:tcPr>
            <w:tcW w:w="4337" w:type="dxa"/>
          </w:tcPr>
          <w:p w14:paraId="6FBB05DE" w14:textId="77777777" w:rsidR="004C33DB" w:rsidRPr="008A3554" w:rsidRDefault="004C33DB" w:rsidP="00F53D80">
            <w:pPr>
              <w:pStyle w:val="Tabletext"/>
              <w:rPr>
                <w:szCs w:val="20"/>
                <w:lang w:val="es-ES" w:eastAsia="ja-JP"/>
              </w:rPr>
            </w:pPr>
          </w:p>
        </w:tc>
      </w:tr>
      <w:tr w:rsidR="004C33DB" w:rsidRPr="00C3730D" w14:paraId="4353B293" w14:textId="77777777" w:rsidTr="0095267A">
        <w:trPr>
          <w:cantSplit/>
          <w:trHeight w:val="20"/>
          <w:jc w:val="center"/>
        </w:trPr>
        <w:tc>
          <w:tcPr>
            <w:tcW w:w="8307" w:type="dxa"/>
            <w:gridSpan w:val="2"/>
            <w:tcBorders>
              <w:bottom w:val="single" w:sz="4" w:space="0" w:color="auto"/>
            </w:tcBorders>
          </w:tcPr>
          <w:p w14:paraId="5CBC6AA2" w14:textId="77777777" w:rsidR="004C33DB" w:rsidRPr="008A3554" w:rsidRDefault="004C33DB" w:rsidP="00F53D80">
            <w:pPr>
              <w:pStyle w:val="Tabletext"/>
              <w:rPr>
                <w:szCs w:val="20"/>
                <w:u w:val="single"/>
                <w:lang w:val="es-ES"/>
              </w:rPr>
            </w:pPr>
            <w:r w:rsidRPr="008A3554">
              <w:rPr>
                <w:szCs w:val="20"/>
                <w:lang w:val="es-ES"/>
              </w:rPr>
              <w:br w:type="page"/>
            </w:r>
            <w:r w:rsidRPr="008A3554">
              <w:rPr>
                <w:szCs w:val="20"/>
                <w:lang w:val="es-ES"/>
              </w:rPr>
              <w:br w:type="page"/>
              <w:t xml:space="preserve">3) </w:t>
            </w:r>
            <w:r w:rsidRPr="008A3554">
              <w:rPr>
                <w:i/>
                <w:iCs/>
                <w:szCs w:val="20"/>
                <w:lang w:val="es-ES"/>
              </w:rPr>
              <w:t xml:space="preserve">Guía sobre el equipo de RF – [Indicar tipo; </w:t>
            </w:r>
            <w:proofErr w:type="spellStart"/>
            <w:r w:rsidRPr="008A3554">
              <w:rPr>
                <w:i/>
                <w:iCs/>
                <w:szCs w:val="20"/>
                <w:lang w:val="es-ES"/>
              </w:rPr>
              <w:t>p.e</w:t>
            </w:r>
            <w:proofErr w:type="spellEnd"/>
            <w:r w:rsidRPr="008A3554">
              <w:rPr>
                <w:i/>
                <w:iCs/>
                <w:szCs w:val="20"/>
                <w:lang w:val="es-ES"/>
              </w:rPr>
              <w:t>. micrófono inalámbrico (incl. IEM), cámara inalámbrica…]</w:t>
            </w:r>
          </w:p>
        </w:tc>
      </w:tr>
      <w:tr w:rsidR="004C33DB" w:rsidRPr="00C3730D" w14:paraId="1CFF1C1F" w14:textId="77777777" w:rsidTr="0095267A">
        <w:trPr>
          <w:cantSplit/>
          <w:trHeight w:val="20"/>
          <w:jc w:val="center"/>
        </w:trPr>
        <w:tc>
          <w:tcPr>
            <w:tcW w:w="3970" w:type="dxa"/>
            <w:tcBorders>
              <w:top w:val="single" w:sz="4" w:space="0" w:color="auto"/>
            </w:tcBorders>
          </w:tcPr>
          <w:p w14:paraId="7CF6968D" w14:textId="77777777" w:rsidR="004C33DB" w:rsidRPr="008A3554" w:rsidRDefault="004C33DB" w:rsidP="00F53D80">
            <w:pPr>
              <w:pStyle w:val="Tabletext"/>
              <w:rPr>
                <w:szCs w:val="20"/>
                <w:lang w:val="es-ES"/>
              </w:rPr>
            </w:pPr>
            <w:r w:rsidRPr="008A3554">
              <w:rPr>
                <w:szCs w:val="20"/>
                <w:lang w:val="es-ES"/>
              </w:rPr>
              <w:t>Banda(s) de frecuencia (MHz):</w:t>
            </w:r>
          </w:p>
        </w:tc>
        <w:tc>
          <w:tcPr>
            <w:tcW w:w="4337" w:type="dxa"/>
            <w:tcBorders>
              <w:top w:val="single" w:sz="4" w:space="0" w:color="auto"/>
            </w:tcBorders>
          </w:tcPr>
          <w:p w14:paraId="1AFAA7AB" w14:textId="77777777" w:rsidR="004C33DB" w:rsidRPr="008A3554" w:rsidRDefault="004C33DB" w:rsidP="00F53D80">
            <w:pPr>
              <w:pStyle w:val="Tabletext"/>
              <w:rPr>
                <w:szCs w:val="20"/>
                <w:lang w:val="es-ES"/>
              </w:rPr>
            </w:pPr>
          </w:p>
        </w:tc>
      </w:tr>
      <w:tr w:rsidR="004C33DB" w:rsidRPr="00C3730D" w14:paraId="359E2C7B" w14:textId="77777777" w:rsidTr="0095267A">
        <w:trPr>
          <w:cantSplit/>
          <w:trHeight w:val="20"/>
          <w:jc w:val="center"/>
        </w:trPr>
        <w:tc>
          <w:tcPr>
            <w:tcW w:w="3970" w:type="dxa"/>
          </w:tcPr>
          <w:p w14:paraId="01E6924E" w14:textId="77777777" w:rsidR="004C33DB" w:rsidRPr="008A3554" w:rsidRDefault="004C33DB" w:rsidP="00F53D80">
            <w:pPr>
              <w:pStyle w:val="Tabletext"/>
              <w:rPr>
                <w:szCs w:val="20"/>
                <w:lang w:val="es-ES"/>
              </w:rPr>
            </w:pPr>
          </w:p>
        </w:tc>
        <w:tc>
          <w:tcPr>
            <w:tcW w:w="4337" w:type="dxa"/>
          </w:tcPr>
          <w:p w14:paraId="058760EE" w14:textId="77777777" w:rsidR="004C33DB" w:rsidRPr="008A3554" w:rsidRDefault="004C33DB" w:rsidP="00F53D80">
            <w:pPr>
              <w:pStyle w:val="Tabletext"/>
              <w:rPr>
                <w:szCs w:val="20"/>
                <w:lang w:val="es-ES" w:eastAsia="ja-JP"/>
              </w:rPr>
            </w:pPr>
          </w:p>
        </w:tc>
      </w:tr>
      <w:tr w:rsidR="004C33DB" w:rsidRPr="00C3730D" w14:paraId="7FAA0D49" w14:textId="77777777" w:rsidTr="0095267A">
        <w:trPr>
          <w:cantSplit/>
          <w:trHeight w:val="20"/>
          <w:jc w:val="center"/>
        </w:trPr>
        <w:tc>
          <w:tcPr>
            <w:tcW w:w="3970" w:type="dxa"/>
          </w:tcPr>
          <w:p w14:paraId="101D46FD" w14:textId="77777777" w:rsidR="004C33DB" w:rsidRPr="008A3554" w:rsidDel="00526674" w:rsidRDefault="004C33DB" w:rsidP="00F53D80">
            <w:pPr>
              <w:pStyle w:val="Tabletext"/>
              <w:rPr>
                <w:szCs w:val="20"/>
                <w:lang w:val="es-ES"/>
              </w:rPr>
            </w:pPr>
          </w:p>
        </w:tc>
        <w:tc>
          <w:tcPr>
            <w:tcW w:w="4337" w:type="dxa"/>
          </w:tcPr>
          <w:p w14:paraId="4E391A12" w14:textId="77777777" w:rsidR="004C33DB" w:rsidRPr="008A3554" w:rsidRDefault="004C33DB" w:rsidP="00F53D80">
            <w:pPr>
              <w:pStyle w:val="Tabletext"/>
              <w:rPr>
                <w:szCs w:val="20"/>
                <w:lang w:val="es-ES" w:eastAsia="ja-JP"/>
              </w:rPr>
            </w:pPr>
          </w:p>
        </w:tc>
      </w:tr>
      <w:tr w:rsidR="004C33DB" w:rsidRPr="00C3730D" w14:paraId="698333B7" w14:textId="77777777" w:rsidTr="0095267A">
        <w:trPr>
          <w:cantSplit/>
          <w:trHeight w:val="20"/>
          <w:jc w:val="center"/>
        </w:trPr>
        <w:tc>
          <w:tcPr>
            <w:tcW w:w="3970" w:type="dxa"/>
          </w:tcPr>
          <w:p w14:paraId="39CCA72D" w14:textId="77777777" w:rsidR="004C33DB" w:rsidRPr="008A3554" w:rsidDel="00526674" w:rsidRDefault="004C33DB" w:rsidP="00F53D80">
            <w:pPr>
              <w:pStyle w:val="Tabletext"/>
              <w:rPr>
                <w:szCs w:val="20"/>
                <w:lang w:val="es-ES"/>
              </w:rPr>
            </w:pPr>
          </w:p>
        </w:tc>
        <w:tc>
          <w:tcPr>
            <w:tcW w:w="4337" w:type="dxa"/>
          </w:tcPr>
          <w:p w14:paraId="7B363459" w14:textId="77777777" w:rsidR="004C33DB" w:rsidRPr="008A3554" w:rsidRDefault="004C33DB" w:rsidP="00F53D80">
            <w:pPr>
              <w:pStyle w:val="Tabletext"/>
              <w:rPr>
                <w:szCs w:val="20"/>
                <w:lang w:val="es-ES" w:eastAsia="ja-JP"/>
              </w:rPr>
            </w:pPr>
          </w:p>
        </w:tc>
      </w:tr>
      <w:tr w:rsidR="004C33DB" w:rsidRPr="00C3730D" w14:paraId="6A42E5D2" w14:textId="77777777" w:rsidTr="0095267A">
        <w:trPr>
          <w:cantSplit/>
          <w:trHeight w:val="20"/>
          <w:jc w:val="center"/>
        </w:trPr>
        <w:tc>
          <w:tcPr>
            <w:tcW w:w="3970" w:type="dxa"/>
          </w:tcPr>
          <w:p w14:paraId="6963D735" w14:textId="77777777" w:rsidR="004C33DB" w:rsidRPr="008A3554" w:rsidDel="00526674" w:rsidRDefault="004C33DB" w:rsidP="00F53D80">
            <w:pPr>
              <w:pStyle w:val="Tabletext"/>
              <w:rPr>
                <w:szCs w:val="20"/>
                <w:lang w:val="es-ES"/>
              </w:rPr>
            </w:pPr>
          </w:p>
        </w:tc>
        <w:tc>
          <w:tcPr>
            <w:tcW w:w="4337" w:type="dxa"/>
          </w:tcPr>
          <w:p w14:paraId="36440364" w14:textId="77777777" w:rsidR="004C33DB" w:rsidRPr="008A3554" w:rsidRDefault="004C33DB" w:rsidP="00F53D80">
            <w:pPr>
              <w:pStyle w:val="Tabletext"/>
              <w:rPr>
                <w:szCs w:val="20"/>
                <w:lang w:val="es-ES" w:eastAsia="ja-JP"/>
              </w:rPr>
            </w:pPr>
          </w:p>
        </w:tc>
      </w:tr>
      <w:tr w:rsidR="004C33DB" w:rsidRPr="00C3730D" w14:paraId="6DFFC191" w14:textId="77777777" w:rsidTr="0095267A">
        <w:trPr>
          <w:cantSplit/>
          <w:trHeight w:val="20"/>
          <w:jc w:val="center"/>
        </w:trPr>
        <w:tc>
          <w:tcPr>
            <w:tcW w:w="3970" w:type="dxa"/>
          </w:tcPr>
          <w:p w14:paraId="2377A8F8" w14:textId="77777777" w:rsidR="004C33DB" w:rsidRPr="008A3554" w:rsidRDefault="004C33DB" w:rsidP="00F53D80">
            <w:pPr>
              <w:pStyle w:val="Tabletext"/>
              <w:rPr>
                <w:szCs w:val="20"/>
                <w:lang w:val="es-ES"/>
              </w:rPr>
            </w:pPr>
          </w:p>
        </w:tc>
        <w:tc>
          <w:tcPr>
            <w:tcW w:w="4337" w:type="dxa"/>
          </w:tcPr>
          <w:p w14:paraId="4099F95A" w14:textId="77777777" w:rsidR="004C33DB" w:rsidRPr="008A3554" w:rsidRDefault="004C33DB" w:rsidP="00F53D80">
            <w:pPr>
              <w:pStyle w:val="Tabletext"/>
              <w:rPr>
                <w:szCs w:val="20"/>
                <w:lang w:val="es-ES" w:eastAsia="ja-JP"/>
              </w:rPr>
            </w:pPr>
          </w:p>
        </w:tc>
      </w:tr>
      <w:tr w:rsidR="004C33DB" w:rsidRPr="00C3730D" w14:paraId="4A77722E" w14:textId="77777777" w:rsidTr="0095267A">
        <w:tblPrEx>
          <w:tblCellMar>
            <w:left w:w="31" w:type="dxa"/>
            <w:right w:w="31" w:type="dxa"/>
          </w:tblCellMar>
        </w:tblPrEx>
        <w:trPr>
          <w:cantSplit/>
          <w:trHeight w:val="20"/>
          <w:jc w:val="center"/>
        </w:trPr>
        <w:tc>
          <w:tcPr>
            <w:tcW w:w="3970" w:type="dxa"/>
          </w:tcPr>
          <w:p w14:paraId="07B1C9A5" w14:textId="77777777" w:rsidR="004C33DB" w:rsidRPr="008A3554" w:rsidRDefault="004C33DB" w:rsidP="00F53D80">
            <w:pPr>
              <w:pStyle w:val="Tabletext"/>
              <w:rPr>
                <w:szCs w:val="20"/>
                <w:lang w:val="es-ES"/>
              </w:rPr>
            </w:pPr>
            <w:r w:rsidRPr="008A3554">
              <w:rPr>
                <w:szCs w:val="20"/>
                <w:lang w:val="es-ES"/>
              </w:rPr>
              <w:t>Requisitos de la licencia / reglas de explotación:</w:t>
            </w:r>
          </w:p>
        </w:tc>
        <w:tc>
          <w:tcPr>
            <w:tcW w:w="4337" w:type="dxa"/>
          </w:tcPr>
          <w:p w14:paraId="4A917D0F" w14:textId="77777777" w:rsidR="004C33DB" w:rsidRPr="008A3554" w:rsidRDefault="004C33DB" w:rsidP="00F53D80">
            <w:pPr>
              <w:pStyle w:val="Tabletext"/>
              <w:rPr>
                <w:szCs w:val="20"/>
                <w:lang w:val="es-ES" w:eastAsia="ja-JP"/>
              </w:rPr>
            </w:pPr>
          </w:p>
        </w:tc>
      </w:tr>
      <w:tr w:rsidR="004C33DB" w:rsidRPr="00C3730D" w14:paraId="3E333B73" w14:textId="77777777" w:rsidTr="0095267A">
        <w:trPr>
          <w:cantSplit/>
          <w:trHeight w:val="20"/>
          <w:jc w:val="center"/>
        </w:trPr>
        <w:tc>
          <w:tcPr>
            <w:tcW w:w="3970" w:type="dxa"/>
            <w:tcBorders>
              <w:top w:val="single" w:sz="4" w:space="0" w:color="auto"/>
              <w:bottom w:val="nil"/>
            </w:tcBorders>
          </w:tcPr>
          <w:p w14:paraId="63641E5C" w14:textId="77777777" w:rsidR="004C33DB" w:rsidRPr="008A3554" w:rsidRDefault="004C33DB" w:rsidP="00F53D80">
            <w:pPr>
              <w:pStyle w:val="Tabletext"/>
              <w:rPr>
                <w:szCs w:val="20"/>
                <w:lang w:val="es-ES"/>
              </w:rPr>
            </w:pPr>
          </w:p>
        </w:tc>
        <w:tc>
          <w:tcPr>
            <w:tcW w:w="4337" w:type="dxa"/>
            <w:tcBorders>
              <w:top w:val="single" w:sz="4" w:space="0" w:color="auto"/>
              <w:bottom w:val="nil"/>
            </w:tcBorders>
          </w:tcPr>
          <w:p w14:paraId="12ED8C7C" w14:textId="77777777" w:rsidR="004C33DB" w:rsidRPr="008A3554" w:rsidRDefault="004C33DB" w:rsidP="00F53D80">
            <w:pPr>
              <w:pStyle w:val="Tabletext"/>
              <w:rPr>
                <w:szCs w:val="20"/>
                <w:lang w:val="es-ES"/>
              </w:rPr>
            </w:pPr>
          </w:p>
        </w:tc>
      </w:tr>
      <w:tr w:rsidR="004C33DB" w:rsidRPr="00C3730D" w14:paraId="555F8043" w14:textId="77777777" w:rsidTr="0095267A">
        <w:trPr>
          <w:cantSplit/>
          <w:trHeight w:val="20"/>
          <w:jc w:val="center"/>
        </w:trPr>
        <w:tc>
          <w:tcPr>
            <w:tcW w:w="3970" w:type="dxa"/>
            <w:tcBorders>
              <w:top w:val="single" w:sz="4" w:space="0" w:color="auto"/>
              <w:bottom w:val="nil"/>
            </w:tcBorders>
          </w:tcPr>
          <w:p w14:paraId="4E7C92C7" w14:textId="77777777" w:rsidR="004C33DB" w:rsidRPr="008A3554" w:rsidDel="00CC12CF" w:rsidRDefault="004C33DB" w:rsidP="00F53D80">
            <w:pPr>
              <w:pStyle w:val="Tabletext"/>
              <w:rPr>
                <w:szCs w:val="20"/>
                <w:lang w:val="es-ES"/>
              </w:rPr>
            </w:pPr>
          </w:p>
        </w:tc>
        <w:tc>
          <w:tcPr>
            <w:tcW w:w="4337" w:type="dxa"/>
            <w:tcBorders>
              <w:top w:val="single" w:sz="4" w:space="0" w:color="auto"/>
              <w:bottom w:val="nil"/>
            </w:tcBorders>
          </w:tcPr>
          <w:p w14:paraId="1C17BAA1" w14:textId="77777777" w:rsidR="004C33DB" w:rsidRPr="008A3554" w:rsidRDefault="004C33DB" w:rsidP="00F53D80">
            <w:pPr>
              <w:pStyle w:val="Tabletext"/>
              <w:rPr>
                <w:szCs w:val="20"/>
                <w:lang w:val="es-ES"/>
              </w:rPr>
            </w:pPr>
          </w:p>
        </w:tc>
      </w:tr>
      <w:tr w:rsidR="004C33DB" w:rsidRPr="00C3730D" w14:paraId="2CEA2899" w14:textId="77777777" w:rsidTr="0095267A">
        <w:trPr>
          <w:cantSplit/>
          <w:trHeight w:val="20"/>
          <w:jc w:val="center"/>
        </w:trPr>
        <w:tc>
          <w:tcPr>
            <w:tcW w:w="3970" w:type="dxa"/>
            <w:tcBorders>
              <w:top w:val="single" w:sz="4" w:space="0" w:color="auto"/>
              <w:bottom w:val="nil"/>
            </w:tcBorders>
          </w:tcPr>
          <w:p w14:paraId="4BC87902" w14:textId="77777777" w:rsidR="004C33DB" w:rsidRPr="008A3554" w:rsidRDefault="004C33DB" w:rsidP="00F53D80">
            <w:pPr>
              <w:pStyle w:val="Tabletext"/>
              <w:rPr>
                <w:szCs w:val="20"/>
                <w:lang w:val="es-ES"/>
              </w:rPr>
            </w:pPr>
          </w:p>
        </w:tc>
        <w:tc>
          <w:tcPr>
            <w:tcW w:w="4337" w:type="dxa"/>
            <w:tcBorders>
              <w:top w:val="single" w:sz="4" w:space="0" w:color="auto"/>
              <w:bottom w:val="nil"/>
            </w:tcBorders>
          </w:tcPr>
          <w:p w14:paraId="64D7266E" w14:textId="77777777" w:rsidR="004C33DB" w:rsidRPr="008A3554" w:rsidRDefault="004C33DB" w:rsidP="00F53D80">
            <w:pPr>
              <w:pStyle w:val="Tabletext"/>
              <w:rPr>
                <w:szCs w:val="20"/>
                <w:lang w:val="es-ES"/>
              </w:rPr>
            </w:pPr>
          </w:p>
        </w:tc>
      </w:tr>
      <w:tr w:rsidR="004C33DB" w:rsidRPr="008A3554" w14:paraId="4038DBAD" w14:textId="77777777" w:rsidTr="0095267A">
        <w:tblPrEx>
          <w:tblCellMar>
            <w:left w:w="31" w:type="dxa"/>
            <w:right w:w="31" w:type="dxa"/>
          </w:tblCellMar>
        </w:tblPrEx>
        <w:trPr>
          <w:cantSplit/>
          <w:trHeight w:val="20"/>
          <w:jc w:val="center"/>
        </w:trPr>
        <w:tc>
          <w:tcPr>
            <w:tcW w:w="8307" w:type="dxa"/>
            <w:gridSpan w:val="2"/>
          </w:tcPr>
          <w:p w14:paraId="3EA67AD5" w14:textId="27E7830C" w:rsidR="004C33DB" w:rsidRPr="008A3554" w:rsidRDefault="004C33DB" w:rsidP="00F53D80">
            <w:pPr>
              <w:pStyle w:val="Tabletext"/>
              <w:rPr>
                <w:szCs w:val="20"/>
                <w:u w:val="single"/>
                <w:lang w:val="es-ES"/>
              </w:rPr>
            </w:pPr>
            <w:r w:rsidRPr="008A3554">
              <w:rPr>
                <w:szCs w:val="20"/>
                <w:lang w:val="es-ES"/>
              </w:rPr>
              <w:t xml:space="preserve">4) </w:t>
            </w:r>
            <w:r w:rsidRPr="008A3554">
              <w:rPr>
                <w:i/>
                <w:iCs/>
                <w:szCs w:val="20"/>
                <w:u w:val="single"/>
                <w:lang w:val="es-ES"/>
              </w:rPr>
              <w:t>Información adicional</w:t>
            </w:r>
          </w:p>
          <w:p w14:paraId="55D5536F" w14:textId="77777777" w:rsidR="004C33DB" w:rsidRDefault="004C33DB" w:rsidP="00F53D80">
            <w:pPr>
              <w:pStyle w:val="Tabletext"/>
              <w:rPr>
                <w:szCs w:val="20"/>
                <w:lang w:val="es-ES"/>
              </w:rPr>
            </w:pPr>
          </w:p>
          <w:p w14:paraId="13C32396" w14:textId="4F359656" w:rsidR="008A3554" w:rsidRPr="008A3554" w:rsidRDefault="008A3554" w:rsidP="00F53D80">
            <w:pPr>
              <w:pStyle w:val="Tabletext"/>
              <w:rPr>
                <w:szCs w:val="20"/>
                <w:lang w:val="es-ES"/>
              </w:rPr>
            </w:pPr>
          </w:p>
        </w:tc>
      </w:tr>
    </w:tbl>
    <w:bookmarkEnd w:id="1"/>
    <w:p w14:paraId="60505FCD" w14:textId="77777777" w:rsidR="004C33DB" w:rsidRPr="00C30950" w:rsidRDefault="004C33DB" w:rsidP="004C33DB">
      <w:pPr>
        <w:spacing w:before="120"/>
        <w:jc w:val="center"/>
        <w:rPr>
          <w:rFonts w:asciiTheme="minorHAnsi" w:hAnsiTheme="minorHAnsi"/>
          <w:sz w:val="16"/>
          <w:szCs w:val="16"/>
          <w:lang w:val="es-ES"/>
        </w:rPr>
      </w:pPr>
      <w:r w:rsidRPr="00C30950">
        <w:rPr>
          <w:rFonts w:asciiTheme="minorHAnsi" w:hAnsiTheme="minorHAnsi"/>
          <w:sz w:val="16"/>
          <w:szCs w:val="16"/>
          <w:lang w:val="es-ES"/>
        </w:rPr>
        <w:t>________________________</w:t>
      </w:r>
    </w:p>
    <w:sectPr w:rsidR="004C33DB" w:rsidRPr="00C30950" w:rsidSect="00031E6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59A3" w14:textId="77777777" w:rsidR="004C33DB" w:rsidRDefault="004C33DB">
      <w:r>
        <w:separator/>
      </w:r>
    </w:p>
  </w:endnote>
  <w:endnote w:type="continuationSeparator" w:id="0">
    <w:p w14:paraId="71C5FC42" w14:textId="77777777" w:rsidR="004C33DB" w:rsidRDefault="004C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6FDA" w14:textId="6B3C47FD" w:rsidR="004C33DB" w:rsidRPr="00F53D80" w:rsidRDefault="00F53D80" w:rsidP="00335B3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 xml:space="preserve">Unión Internacional de Telecomunicaciones • Place des </w:t>
    </w:r>
    <w:proofErr w:type="spellStart"/>
    <w:r w:rsidRPr="00AD3765">
      <w:rPr>
        <w:color w:val="4F81BD" w:themeColor="accent1"/>
        <w:sz w:val="18"/>
        <w:szCs w:val="18"/>
        <w:lang w:val="es-ES_tradnl"/>
      </w:rPr>
      <w:t>Nations</w:t>
    </w:r>
    <w:proofErr w:type="spellEnd"/>
    <w:r w:rsidRPr="00AD3765">
      <w:rPr>
        <w:color w:val="4F81BD" w:themeColor="accent1"/>
        <w:sz w:val="18"/>
        <w:szCs w:val="18"/>
        <w:lang w:val="es-ES_tradnl"/>
      </w:rPr>
      <w:t xml:space="preserve">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 xml:space="preserve">Tel: +41 22 730 5111 • Correo-e: </w:t>
    </w:r>
    <w:r w:rsidR="00C3730D">
      <w:fldChar w:fldCharType="begin"/>
    </w:r>
    <w:r w:rsidR="00C3730D" w:rsidRPr="00C3730D">
      <w:rPr>
        <w:lang w:val="fr-CH"/>
      </w:rPr>
      <w:instrText xml:space="preserve"> HYPERLINK "mailto:itumail@itu.int" </w:instrText>
    </w:r>
    <w:r w:rsidR="00C3730D">
      <w:fldChar w:fldCharType="separate"/>
    </w:r>
    <w:r w:rsidRPr="00AD3765">
      <w:rPr>
        <w:color w:val="4F81BD" w:themeColor="accent1"/>
        <w:sz w:val="18"/>
        <w:szCs w:val="18"/>
        <w:u w:val="single"/>
        <w:lang w:val="es-ES_tradnl"/>
      </w:rPr>
      <w:t>itumail@itu.int</w:t>
    </w:r>
    <w:r w:rsidR="00C3730D">
      <w:rPr>
        <w:color w:val="4F81BD" w:themeColor="accent1"/>
        <w:sz w:val="18"/>
        <w:szCs w:val="18"/>
        <w:u w:val="single"/>
        <w:lang w:val="es-ES_tradnl"/>
      </w:rPr>
      <w:fldChar w:fldCharType="end"/>
    </w:r>
    <w:r w:rsidRPr="00AD3765">
      <w:rPr>
        <w:color w:val="4F81BD" w:themeColor="accent1"/>
        <w:sz w:val="18"/>
        <w:szCs w:val="18"/>
        <w:lang w:val="es-ES_tradnl"/>
      </w:rPr>
      <w:t xml:space="preserve"> • Fax: +41 22 733 7256 • </w:t>
    </w:r>
    <w:hyperlink r:id="rId1" w:history="1">
      <w:r w:rsidRPr="00AD3765">
        <w:rPr>
          <w:color w:val="4F81BD" w:themeColor="accent1"/>
          <w:sz w:val="18"/>
          <w:szCs w:val="18"/>
          <w:lang w:val="es-ES_tradnl"/>
        </w:rPr>
        <w:t>www.itu.int</w:t>
      </w:r>
    </w:hyperlink>
    <w:r w:rsidRPr="00AD3765">
      <w:rPr>
        <w:color w:val="4F81BD" w:themeColor="accent1"/>
        <w:sz w:val="18"/>
        <w:szCs w:val="18"/>
        <w:lang w:val="es-ES_trad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4039" w14:textId="77777777" w:rsidR="00AF052B" w:rsidRDefault="00AF0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F5CC" w14:textId="77777777" w:rsidR="00AF052B" w:rsidRDefault="00AF0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81B7" w14:textId="14E084A0" w:rsidR="00AF052B" w:rsidRPr="00135A4D" w:rsidRDefault="00AF052B" w:rsidP="00F53D80">
    <w:pPr>
      <w:pStyle w:val="Footer"/>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BEDD" w14:textId="77777777" w:rsidR="004C33DB" w:rsidRDefault="004C33DB">
      <w:r>
        <w:t>____________________</w:t>
      </w:r>
    </w:p>
  </w:footnote>
  <w:footnote w:type="continuationSeparator" w:id="0">
    <w:p w14:paraId="145EF2D2" w14:textId="77777777" w:rsidR="004C33DB" w:rsidRDefault="004C33DB">
      <w:r>
        <w:continuationSeparator/>
      </w:r>
    </w:p>
  </w:footnote>
  <w:footnote w:id="1">
    <w:p w14:paraId="6BAE4718" w14:textId="2EFCD002" w:rsidR="004C33DB" w:rsidRPr="00041BA2" w:rsidRDefault="004C33DB" w:rsidP="00700B92">
      <w:pPr>
        <w:pStyle w:val="FootnoteText"/>
        <w:ind w:left="0" w:firstLine="0"/>
        <w:rPr>
          <w:rFonts w:asciiTheme="minorHAnsi" w:hAnsiTheme="minorHAnsi" w:cstheme="minorHAnsi"/>
          <w:sz w:val="18"/>
          <w:szCs w:val="18"/>
          <w:lang w:val="es-ES"/>
        </w:rPr>
      </w:pPr>
      <w:r w:rsidRPr="00041BA2">
        <w:rPr>
          <w:rStyle w:val="FootnoteReference"/>
          <w:rFonts w:asciiTheme="minorHAnsi" w:hAnsiTheme="minorHAnsi" w:cstheme="minorHAnsi"/>
          <w:szCs w:val="18"/>
          <w:lang w:val="es-ES"/>
        </w:rPr>
        <w:footnoteRef/>
      </w:r>
      <w:r w:rsidRPr="00041BA2">
        <w:rPr>
          <w:rFonts w:asciiTheme="minorHAnsi" w:hAnsiTheme="minorHAnsi" w:cstheme="minorHAnsi"/>
          <w:sz w:val="18"/>
          <w:szCs w:val="18"/>
          <w:lang w:val="es-ES"/>
        </w:rPr>
        <w:tab/>
        <w:t xml:space="preserve">Resolución UIT-R 59-2, </w:t>
      </w:r>
      <w:r w:rsidRPr="00041BA2">
        <w:rPr>
          <w:rFonts w:asciiTheme="minorHAnsi" w:hAnsiTheme="minorHAnsi" w:cstheme="minorHAnsi"/>
          <w:i/>
          <w:iCs/>
          <w:sz w:val="18"/>
          <w:szCs w:val="18"/>
          <w:lang w:val="es-ES"/>
        </w:rPr>
        <w:t>consider</w:t>
      </w:r>
      <w:r>
        <w:rPr>
          <w:rFonts w:asciiTheme="minorHAnsi" w:hAnsiTheme="minorHAnsi" w:cstheme="minorHAnsi"/>
          <w:i/>
          <w:iCs/>
          <w:sz w:val="18"/>
          <w:szCs w:val="18"/>
          <w:lang w:val="es-ES"/>
        </w:rPr>
        <w:t>ando</w:t>
      </w:r>
      <w:r w:rsidRPr="00041BA2">
        <w:rPr>
          <w:rFonts w:asciiTheme="minorHAnsi" w:hAnsiTheme="minorHAnsi" w:cstheme="minorHAnsi"/>
          <w:i/>
          <w:iCs/>
          <w:sz w:val="18"/>
          <w:szCs w:val="18"/>
          <w:lang w:val="es-ES"/>
        </w:rPr>
        <w:t xml:space="preserve"> a)</w:t>
      </w:r>
      <w:r w:rsidRPr="00041BA2">
        <w:rPr>
          <w:rFonts w:asciiTheme="minorHAnsi" w:hAnsiTheme="minorHAnsi" w:cstheme="minorHAnsi"/>
          <w:sz w:val="18"/>
          <w:szCs w:val="18"/>
          <w:lang w:val="es-ES"/>
        </w:rPr>
        <w:t xml:space="preserve">: </w:t>
      </w:r>
      <w:r w:rsidR="00F53D80">
        <w:rPr>
          <w:rFonts w:asciiTheme="minorHAnsi" w:hAnsiTheme="minorHAnsi" w:cstheme="minorHAnsi"/>
          <w:sz w:val="18"/>
          <w:szCs w:val="18"/>
          <w:lang w:val="es-ES"/>
        </w:rPr>
        <w:t>"</w:t>
      </w:r>
      <w:r w:rsidRPr="00041BA2">
        <w:rPr>
          <w:rFonts w:asciiTheme="minorHAnsi" w:hAnsiTheme="minorHAnsi" w:cstheme="minorHAnsi"/>
          <w:sz w:val="18"/>
          <w:szCs w:val="18"/>
          <w:lang w:val="es-ES"/>
        </w:rPr>
        <w:t>que con la utilización de equipos de radiocomunicaciones terrenales portátiles y transportables por parte de servicios auxiliares de la radiodifusión y la realización de programas (SAB/SAP), incluidos la producción electrónica en directo, la radiodifusión de televisión en exteriores, los micrófonos inalámbricos y la producción y radiodifusión en exteriores, denominados comúnmente periodismo electrónico (ENG)…</w:t>
      </w:r>
      <w:r w:rsidR="00F53D80">
        <w:rPr>
          <w:rFonts w:asciiTheme="minorHAnsi" w:hAnsiTheme="minorHAnsi" w:cstheme="minorHAnsi"/>
          <w:sz w:val="18"/>
          <w:szCs w:val="18"/>
          <w:lang w:val="es-ES"/>
        </w:rPr>
        <w:t>"</w:t>
      </w:r>
      <w:r w:rsidRPr="00041BA2">
        <w:rPr>
          <w:rFonts w:asciiTheme="minorHAnsi" w:hAnsiTheme="minorHAnsi" w:cstheme="minorHAnsi"/>
          <w:sz w:val="18"/>
          <w:szCs w:val="18"/>
          <w:lang w:val="es-ES" w:eastAsia="nl-NL"/>
        </w:rPr>
        <w:t>.</w:t>
      </w:r>
    </w:p>
  </w:footnote>
  <w:footnote w:id="2">
    <w:p w14:paraId="06782127" w14:textId="46904658" w:rsidR="004C33DB" w:rsidRPr="00D678B7" w:rsidRDefault="004C33DB" w:rsidP="00700B92">
      <w:pPr>
        <w:pStyle w:val="FootnoteText"/>
        <w:ind w:left="0" w:firstLine="0"/>
        <w:rPr>
          <w:rFonts w:asciiTheme="minorHAnsi" w:hAnsiTheme="minorHAnsi" w:cstheme="minorHAnsi"/>
          <w:sz w:val="18"/>
          <w:szCs w:val="18"/>
          <w:lang w:val="es-ES"/>
        </w:rPr>
      </w:pPr>
      <w:r w:rsidRPr="00D678B7">
        <w:rPr>
          <w:rStyle w:val="FootnoteReference"/>
          <w:rFonts w:asciiTheme="minorHAnsi" w:hAnsiTheme="minorHAnsi" w:cstheme="minorHAnsi"/>
          <w:szCs w:val="18"/>
          <w:lang w:val="es-ES"/>
        </w:rPr>
        <w:footnoteRef/>
      </w:r>
      <w:r w:rsidRPr="00D678B7">
        <w:rPr>
          <w:rFonts w:asciiTheme="minorHAnsi" w:hAnsiTheme="minorHAnsi" w:cstheme="minorHAnsi"/>
          <w:sz w:val="18"/>
          <w:szCs w:val="18"/>
          <w:lang w:val="es-ES"/>
        </w:rPr>
        <w:tab/>
      </w:r>
      <w:r>
        <w:rPr>
          <w:rFonts w:asciiTheme="minorHAnsi" w:hAnsiTheme="minorHAnsi" w:cstheme="minorHAnsi"/>
          <w:sz w:val="18"/>
          <w:szCs w:val="18"/>
          <w:lang w:val="es-ES"/>
        </w:rPr>
        <w:t>E</w:t>
      </w:r>
      <w:r w:rsidRPr="00D678B7">
        <w:rPr>
          <w:rFonts w:asciiTheme="minorHAnsi" w:hAnsiTheme="minorHAnsi" w:cstheme="minorHAnsi"/>
          <w:sz w:val="18"/>
          <w:szCs w:val="18"/>
          <w:lang w:val="es-ES" w:eastAsia="nl-NL"/>
        </w:rPr>
        <w:t xml:space="preserve">quipos de radiocomunicaciones terrenales portátiles y transportables </w:t>
      </w:r>
      <w:r>
        <w:rPr>
          <w:rFonts w:asciiTheme="minorHAnsi" w:hAnsiTheme="minorHAnsi" w:cstheme="minorHAnsi"/>
          <w:sz w:val="18"/>
          <w:szCs w:val="18"/>
          <w:lang w:val="es-ES" w:eastAsia="nl-NL"/>
        </w:rPr>
        <w:t xml:space="preserve">utilizados </w:t>
      </w:r>
      <w:r w:rsidRPr="00D678B7">
        <w:rPr>
          <w:rFonts w:asciiTheme="minorHAnsi" w:hAnsiTheme="minorHAnsi" w:cstheme="minorHAnsi"/>
          <w:sz w:val="18"/>
          <w:szCs w:val="18"/>
          <w:lang w:val="es-ES" w:eastAsia="nl-NL"/>
        </w:rPr>
        <w:t>por servicios auxiliares de la radiodifusión y la realización de programas (SAB/SAP), incluidos la producción electrónica en directo, la radiodifusión de televisión en exteriores, los micrófonos inalámbricos y la producción y radiodifusión en exteriores, denominados comúnmente periodismo electrónico (ENG).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9B4D" w14:textId="77777777" w:rsidR="004C33DB" w:rsidRPr="00FC6F6B" w:rsidRDefault="004C33DB" w:rsidP="006A2291">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A634" w14:textId="77777777" w:rsidR="004C33DB" w:rsidRPr="00AF3325" w:rsidRDefault="004C33DB"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C33DB" w14:paraId="283CB577" w14:textId="77777777" w:rsidTr="00F000CB">
      <w:tc>
        <w:tcPr>
          <w:tcW w:w="9923" w:type="dxa"/>
        </w:tcPr>
        <w:p w14:paraId="05ABBB4A" w14:textId="77777777" w:rsidR="004C33DB" w:rsidRDefault="004C33DB" w:rsidP="006A2291">
          <w:pPr>
            <w:pStyle w:val="Header"/>
            <w:tabs>
              <w:tab w:val="clear" w:pos="794"/>
              <w:tab w:val="clear" w:pos="4820"/>
            </w:tabs>
            <w:spacing w:line="360" w:lineRule="auto"/>
            <w:jc w:val="center"/>
          </w:pPr>
          <w:r w:rsidRPr="008E52B1">
            <w:rPr>
              <w:noProof/>
              <w:color w:val="3399FF"/>
            </w:rPr>
            <w:drawing>
              <wp:inline distT="0" distB="0" distL="0" distR="0" wp14:anchorId="5975881E" wp14:editId="0CF3BA13">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C0A56D2" w14:textId="77777777" w:rsidR="004C33DB" w:rsidRPr="0051612A" w:rsidRDefault="004C33DB" w:rsidP="00516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5D25"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54F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FE1B" w14:textId="4FD262BC" w:rsidR="00E915AF" w:rsidRPr="00135A4D" w:rsidRDefault="00700B92" w:rsidP="00700B9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5A4D"/>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33DB"/>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65F0"/>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00B92"/>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A3554"/>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3027"/>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730D"/>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37F9"/>
    <w:rsid w:val="00F424BF"/>
    <w:rsid w:val="00F44FC3"/>
    <w:rsid w:val="00F46107"/>
    <w:rsid w:val="00F468C5"/>
    <w:rsid w:val="00F52F39"/>
    <w:rsid w:val="00F53D80"/>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DB0F3"/>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Footnote Reference/,Footnote symbol,Style 12,(NECG) Footnote Reference,Style 124,o,fr,Style 13,FR,Style 17,Footnote,Appel note de bas de p1,Appel note de bas de p2,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4C33DB"/>
    <w:rPr>
      <w:color w:val="605E5C"/>
      <w:shd w:val="clear" w:color="auto" w:fill="E1DFDD"/>
    </w:rPr>
  </w:style>
  <w:style w:type="character" w:customStyle="1" w:styleId="AnnexNoTitleChar">
    <w:name w:val="Annex_NoTitle Char"/>
    <w:basedOn w:val="DefaultParagraphFont"/>
    <w:link w:val="AnnexNoTitle"/>
    <w:locked/>
    <w:rsid w:val="004C33DB"/>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4C33DB"/>
    <w:rPr>
      <w:szCs w:val="22"/>
      <w:lang w:val="en-US" w:eastAsia="en-US"/>
    </w:rPr>
  </w:style>
  <w:style w:type="character" w:customStyle="1" w:styleId="FooterChar">
    <w:name w:val="Footer Char"/>
    <w:aliases w:val="pie de página Char"/>
    <w:basedOn w:val="DefaultParagraphFont"/>
    <w:link w:val="Footer"/>
    <w:rsid w:val="004C33D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opb/res/R-RES-R.59-2-2019-MSW-E.docx"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itu.int/en/ties-services/Pages/default.asp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ED60-A74F-4B82-B81F-D6AD247F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616</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5</cp:revision>
  <cp:lastPrinted>2013-03-08T10:15:00Z</cp:lastPrinted>
  <dcterms:created xsi:type="dcterms:W3CDTF">2021-12-17T10:33:00Z</dcterms:created>
  <dcterms:modified xsi:type="dcterms:W3CDTF">2021-12-21T13:47:00Z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