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713D229" w14:textId="77777777" w:rsidTr="00153E23">
        <w:tc>
          <w:tcPr>
            <w:tcW w:w="5000" w:type="pct"/>
            <w:gridSpan w:val="3"/>
            <w:shd w:val="clear" w:color="auto" w:fill="auto"/>
          </w:tcPr>
          <w:p w14:paraId="73DED1E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627FCA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AA426B3" w14:textId="77777777" w:rsidTr="00153E23">
        <w:tc>
          <w:tcPr>
            <w:tcW w:w="2707" w:type="pct"/>
            <w:gridSpan w:val="2"/>
            <w:shd w:val="clear" w:color="auto" w:fill="auto"/>
          </w:tcPr>
          <w:p w14:paraId="1E721350" w14:textId="7E5DC5AB" w:rsidR="000F7BBE" w:rsidRPr="008D4CC1" w:rsidRDefault="000F7BBE" w:rsidP="00D2610D">
            <w:pPr>
              <w:spacing w:before="80" w:line="300" w:lineRule="exact"/>
              <w:rPr>
                <w:position w:val="2"/>
                <w:lang w:bidi="ar-EG"/>
              </w:rPr>
            </w:pPr>
            <w:r w:rsidRPr="008D4CC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95BA22E" w14:textId="3DBB3FC4" w:rsidR="000F7BBE" w:rsidRPr="008D4CC1" w:rsidRDefault="000F7BBE" w:rsidP="00D2610D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D4CC1">
              <w:rPr>
                <w:b/>
                <w:bCs/>
                <w:position w:val="2"/>
                <w:lang w:val="en-GB" w:bidi="ar-EG"/>
              </w:rPr>
              <w:t>CACE/</w:t>
            </w:r>
            <w:r w:rsidR="00BA3F43">
              <w:rPr>
                <w:b/>
                <w:bCs/>
                <w:lang w:bidi="ar-EG"/>
              </w:rPr>
              <w:t>1015</w:t>
            </w:r>
          </w:p>
        </w:tc>
        <w:tc>
          <w:tcPr>
            <w:tcW w:w="2293" w:type="pct"/>
            <w:shd w:val="clear" w:color="auto" w:fill="auto"/>
          </w:tcPr>
          <w:p w14:paraId="6B698870" w14:textId="7DDC4F97" w:rsidR="000F7BBE" w:rsidRPr="008D4CC1" w:rsidRDefault="00BA3F43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31</w:t>
            </w:r>
            <w:r>
              <w:rPr>
                <w:rFonts w:hint="cs"/>
                <w:position w:val="2"/>
                <w:rtl/>
                <w:lang w:val="fr-FR" w:bidi="ar-EG"/>
              </w:rPr>
              <w:t xml:space="preserve"> يناير</w:t>
            </w:r>
            <w:r w:rsidR="000F7BBE" w:rsidRPr="008D4CC1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018DE2A2" w14:textId="77777777" w:rsidTr="00153E23">
        <w:tc>
          <w:tcPr>
            <w:tcW w:w="5000" w:type="pct"/>
            <w:gridSpan w:val="3"/>
            <w:shd w:val="clear" w:color="auto" w:fill="auto"/>
          </w:tcPr>
          <w:p w14:paraId="166D7E2B" w14:textId="77777777" w:rsidR="000F7BBE" w:rsidRPr="000F7BBE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65DADD" w14:textId="77777777" w:rsidTr="00153E23">
        <w:tc>
          <w:tcPr>
            <w:tcW w:w="5000" w:type="pct"/>
            <w:gridSpan w:val="3"/>
            <w:shd w:val="clear" w:color="auto" w:fill="auto"/>
          </w:tcPr>
          <w:p w14:paraId="3B3C1E5E" w14:textId="77777777" w:rsidR="000F7BBE" w:rsidRPr="000F7BBE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4CC1" w14:paraId="5B2108A0" w14:textId="77777777" w:rsidTr="00153E23">
        <w:tc>
          <w:tcPr>
            <w:tcW w:w="5000" w:type="pct"/>
            <w:gridSpan w:val="3"/>
            <w:shd w:val="clear" w:color="auto" w:fill="auto"/>
          </w:tcPr>
          <w:p w14:paraId="3A89FFA4" w14:textId="277ED471" w:rsidR="000F7BBE" w:rsidRPr="008D4CC1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B52BD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B52BD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B52BD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8D4CC1">
              <w:rPr>
                <w:b/>
                <w:bCs/>
                <w:position w:val="2"/>
                <w:rtl/>
              </w:rPr>
              <w:br/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BA3F43">
              <w:rPr>
                <w:b/>
                <w:bCs/>
                <w:position w:val="2"/>
                <w:lang w:val="en-GB" w:bidi="ar-EG"/>
              </w:rPr>
              <w:t>4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8D4CC1" w14:paraId="56236B41" w14:textId="77777777" w:rsidTr="00153E23">
        <w:tc>
          <w:tcPr>
            <w:tcW w:w="5000" w:type="pct"/>
            <w:gridSpan w:val="3"/>
            <w:shd w:val="clear" w:color="auto" w:fill="auto"/>
          </w:tcPr>
          <w:p w14:paraId="1D54B7FF" w14:textId="77777777" w:rsidR="000F7BBE" w:rsidRPr="008D4CC1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4CC1" w14:paraId="6D7644AD" w14:textId="77777777" w:rsidTr="00153E23">
        <w:tc>
          <w:tcPr>
            <w:tcW w:w="5000" w:type="pct"/>
            <w:gridSpan w:val="3"/>
            <w:shd w:val="clear" w:color="auto" w:fill="auto"/>
          </w:tcPr>
          <w:p w14:paraId="27D6909B" w14:textId="77777777" w:rsidR="000F7BBE" w:rsidRPr="008D4CC1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A7545" w14:paraId="0A6FD9C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D358DCA" w14:textId="77777777" w:rsidR="000F7BBE" w:rsidRPr="008D4CC1" w:rsidRDefault="000F7BBE" w:rsidP="00FE001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8D4CC1">
              <w:rPr>
                <w:position w:val="2"/>
                <w:rtl/>
              </w:rPr>
              <w:t>الموضوع</w:t>
            </w:r>
            <w:r w:rsidRPr="008D4CC1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30E2006" w14:textId="432945FD" w:rsidR="005026B0" w:rsidRPr="0061786C" w:rsidRDefault="005026B0" w:rsidP="00FE0017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A3F43" w:rsidRPr="0061786C">
              <w:rPr>
                <w:b/>
                <w:bCs/>
                <w:lang w:val="fr-FR"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</w:t>
            </w:r>
            <w:r w:rsidR="00BA3F43">
              <w:rPr>
                <w:rFonts w:hint="cs"/>
                <w:b/>
                <w:bCs/>
                <w:rtl/>
              </w:rPr>
              <w:t>للاتصالات الراديوية (الخدمات الساتلية)</w:t>
            </w:r>
          </w:p>
          <w:p w14:paraId="44B5B865" w14:textId="27129222" w:rsidR="000F7BBE" w:rsidRPr="0061786C" w:rsidRDefault="005026B0" w:rsidP="00BA3F43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position w:val="2"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الموافقة على</w:t>
            </w:r>
            <w:r w:rsidR="003E013D">
              <w:rPr>
                <w:rFonts w:hint="cs"/>
                <w:b/>
                <w:bCs/>
                <w:rtl/>
              </w:rPr>
              <w:t xml:space="preserve"> </w:t>
            </w:r>
            <w:r w:rsidR="00BA3F43">
              <w:rPr>
                <w:rFonts w:hint="cs"/>
                <w:b/>
                <w:bCs/>
                <w:rtl/>
              </w:rPr>
              <w:t>مراجعة توصيتين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2D2DE847" w14:textId="1A3EBA85" w:rsidR="003E013D" w:rsidRDefault="00A76E29" w:rsidP="00A76E29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50645E06" w14:textId="02FBBE0F" w:rsidR="005026B0" w:rsidRPr="00696AE2" w:rsidRDefault="003E013D" w:rsidP="005026B0">
      <w:pPr>
        <w:rPr>
          <w:rtl/>
          <w:lang w:bidi="ar-EG"/>
        </w:rPr>
      </w:pPr>
      <w:r w:rsidRPr="00696AE2">
        <w:rPr>
          <w:rFonts w:hint="cs"/>
          <w:rtl/>
        </w:rPr>
        <w:t>تم</w:t>
      </w:r>
      <w:r w:rsidR="005026B0" w:rsidRPr="00696AE2">
        <w:rPr>
          <w:rFonts w:hint="cs"/>
          <w:rtl/>
        </w:rPr>
        <w:t xml:space="preserve"> </w:t>
      </w:r>
      <w:r w:rsidRPr="00696AE2">
        <w:rPr>
          <w:rFonts w:hint="cs"/>
          <w:rtl/>
          <w:lang w:bidi="ar-EG"/>
        </w:rPr>
        <w:t>بموجب</w:t>
      </w:r>
      <w:r w:rsidR="005026B0" w:rsidRPr="00696AE2">
        <w:rPr>
          <w:rtl/>
          <w:lang w:bidi="ar-EG"/>
        </w:rPr>
        <w:t xml:space="preserve"> </w:t>
      </w:r>
      <w:r w:rsidR="005026B0" w:rsidRPr="00696AE2">
        <w:rPr>
          <w:rFonts w:hint="cs"/>
          <w:rtl/>
          <w:lang w:bidi="ar-EG"/>
        </w:rPr>
        <w:t>الرسالة</w:t>
      </w:r>
      <w:r w:rsidR="005026B0" w:rsidRPr="00696AE2">
        <w:rPr>
          <w:rtl/>
          <w:lang w:bidi="ar-EG"/>
        </w:rPr>
        <w:t xml:space="preserve"> الإدارية</w:t>
      </w:r>
      <w:r w:rsidR="005026B0" w:rsidRPr="00696AE2">
        <w:rPr>
          <w:rFonts w:hint="cs"/>
          <w:rtl/>
          <w:lang w:bidi="ar-EG"/>
        </w:rPr>
        <w:t xml:space="preserve"> </w:t>
      </w:r>
      <w:r w:rsidRPr="00696AE2">
        <w:rPr>
          <w:rFonts w:hint="cs"/>
          <w:rtl/>
          <w:lang w:bidi="ar-EG"/>
        </w:rPr>
        <w:t>المعممة</w:t>
      </w:r>
      <w:r w:rsidR="005026B0" w:rsidRPr="00696AE2">
        <w:rPr>
          <w:rtl/>
          <w:lang w:bidi="ar-EG"/>
        </w:rPr>
        <w:t xml:space="preserve"> </w:t>
      </w:r>
      <w:hyperlink r:id="rId8" w:history="1">
        <w:r w:rsidR="005026B0" w:rsidRPr="0061786C">
          <w:rPr>
            <w:rStyle w:val="Hyperlink"/>
            <w:lang w:val="fr-FR"/>
          </w:rPr>
          <w:t>CACE/</w:t>
        </w:r>
        <w:r w:rsidR="00BA3F43" w:rsidRPr="0061786C">
          <w:rPr>
            <w:rStyle w:val="Hyperlink"/>
            <w:lang w:val="fr-FR"/>
          </w:rPr>
          <w:t>1003</w:t>
        </w:r>
      </w:hyperlink>
      <w:r w:rsidR="005026B0" w:rsidRPr="00696AE2">
        <w:rPr>
          <w:rtl/>
          <w:lang w:bidi="ar-EG"/>
        </w:rPr>
        <w:t xml:space="preserve"> </w:t>
      </w:r>
      <w:r w:rsidRPr="00696AE2">
        <w:rPr>
          <w:rFonts w:hint="cs"/>
          <w:rtl/>
          <w:lang w:bidi="ar-EG"/>
        </w:rPr>
        <w:t>المؤرخة</w:t>
      </w:r>
      <w:r w:rsidR="005026B0" w:rsidRPr="00696AE2">
        <w:rPr>
          <w:rtl/>
          <w:lang w:bidi="ar-EG"/>
        </w:rPr>
        <w:t xml:space="preserve"> </w:t>
      </w:r>
      <w:r w:rsidR="00BA3F43" w:rsidRPr="0061786C">
        <w:rPr>
          <w:lang w:val="fr-FR" w:bidi="ar-EG"/>
        </w:rPr>
        <w:t>26</w:t>
      </w:r>
      <w:r w:rsidR="00BA3F43" w:rsidRPr="00696AE2">
        <w:rPr>
          <w:rFonts w:hint="cs"/>
          <w:rtl/>
          <w:lang w:bidi="ar-EG"/>
        </w:rPr>
        <w:t xml:space="preserve"> نوفمبر</w:t>
      </w:r>
      <w:r w:rsidR="005026B0" w:rsidRPr="00696AE2">
        <w:rPr>
          <w:rFonts w:hint="cs"/>
          <w:rtl/>
          <w:lang w:bidi="ar-EG"/>
        </w:rPr>
        <w:t xml:space="preserve"> </w:t>
      </w:r>
      <w:r w:rsidR="00BA3F43" w:rsidRPr="0061786C">
        <w:rPr>
          <w:lang w:val="fr-FR"/>
        </w:rPr>
        <w:t>2021</w:t>
      </w:r>
      <w:r w:rsidR="005026B0" w:rsidRPr="00696AE2">
        <w:rPr>
          <w:rtl/>
          <w:lang w:bidi="ar-EG"/>
        </w:rPr>
        <w:t xml:space="preserve">، </w:t>
      </w:r>
      <w:r w:rsidRPr="00696AE2">
        <w:rPr>
          <w:rFonts w:hint="cs"/>
          <w:rtl/>
          <w:lang w:bidi="ar-EG"/>
        </w:rPr>
        <w:t xml:space="preserve">تقديم </w:t>
      </w:r>
      <w:r w:rsidR="00BA3F43" w:rsidRPr="00696AE2">
        <w:rPr>
          <w:rFonts w:hint="cs"/>
          <w:rtl/>
          <w:lang w:bidi="ar-EG"/>
        </w:rPr>
        <w:t>مشروعي مراجعة توصيتين</w:t>
      </w:r>
      <w:r w:rsidR="005026B0" w:rsidRPr="00696AE2">
        <w:rPr>
          <w:rFonts w:hint="cs"/>
          <w:rtl/>
          <w:lang w:bidi="ar-SY"/>
        </w:rPr>
        <w:t xml:space="preserve"> </w:t>
      </w:r>
      <w:r w:rsidR="005026B0" w:rsidRPr="00696AE2">
        <w:rPr>
          <w:rFonts w:hint="cs"/>
          <w:rtl/>
          <w:lang w:bidi="ar-EG"/>
        </w:rPr>
        <w:t xml:space="preserve">لقطاع الاتصالات الراديوية </w:t>
      </w:r>
      <w:r w:rsidR="005026B0" w:rsidRPr="00696AE2">
        <w:rPr>
          <w:rtl/>
          <w:lang w:bidi="ar-EG"/>
        </w:rPr>
        <w:t xml:space="preserve">للموافقة </w:t>
      </w:r>
      <w:r w:rsidR="00696AE2" w:rsidRPr="00696AE2">
        <w:rPr>
          <w:rFonts w:hint="cs"/>
          <w:rtl/>
          <w:lang w:bidi="ar-EG"/>
        </w:rPr>
        <w:t>عليهما</w:t>
      </w:r>
      <w:r w:rsidR="005026B0" w:rsidRPr="00696AE2">
        <w:rPr>
          <w:rtl/>
          <w:lang w:bidi="ar-EG"/>
        </w:rPr>
        <w:t xml:space="preserve"> </w:t>
      </w:r>
      <w:r w:rsidR="005026B0" w:rsidRPr="00696AE2">
        <w:rPr>
          <w:rFonts w:hint="cs"/>
          <w:rtl/>
        </w:rPr>
        <w:t xml:space="preserve">باتباع الإجراء </w:t>
      </w:r>
      <w:r w:rsidRPr="00696AE2">
        <w:rPr>
          <w:rFonts w:hint="cs"/>
          <w:rtl/>
        </w:rPr>
        <w:t>المنصوص</w:t>
      </w:r>
      <w:r w:rsidR="005026B0" w:rsidRPr="00696AE2">
        <w:rPr>
          <w:rFonts w:hint="cs"/>
          <w:rtl/>
        </w:rPr>
        <w:t xml:space="preserve"> عليه في</w:t>
      </w:r>
      <w:r w:rsidR="00A76E29" w:rsidRPr="00696AE2">
        <w:rPr>
          <w:rFonts w:hint="eastAsia"/>
          <w:rtl/>
        </w:rPr>
        <w:t> </w:t>
      </w:r>
      <w:r w:rsidR="005026B0" w:rsidRPr="00696AE2">
        <w:rPr>
          <w:rFonts w:hint="cs"/>
          <w:rtl/>
        </w:rPr>
        <w:t>القرار</w:t>
      </w:r>
      <w:r w:rsidR="005026B0" w:rsidRPr="00696AE2">
        <w:rPr>
          <w:rFonts w:hint="eastAsia"/>
          <w:rtl/>
        </w:rPr>
        <w:t> </w:t>
      </w:r>
      <w:r w:rsidR="005026B0" w:rsidRPr="0061786C">
        <w:rPr>
          <w:lang w:val="fr-FR"/>
        </w:rPr>
        <w:t>ITU</w:t>
      </w:r>
      <w:r w:rsidR="005026B0" w:rsidRPr="0061786C">
        <w:rPr>
          <w:lang w:val="fr-FR"/>
        </w:rPr>
        <w:noBreakHyphen/>
        <w:t>R 1</w:t>
      </w:r>
      <w:r w:rsidR="005026B0" w:rsidRPr="0061786C">
        <w:rPr>
          <w:lang w:val="fr-FR"/>
        </w:rPr>
        <w:noBreakHyphen/>
        <w:t>8</w:t>
      </w:r>
      <w:r w:rsidR="005026B0" w:rsidRPr="00696AE2">
        <w:rPr>
          <w:rFonts w:hint="cs"/>
          <w:rtl/>
        </w:rPr>
        <w:t xml:space="preserve"> (الفقرة</w:t>
      </w:r>
      <w:r w:rsidR="005026B0" w:rsidRPr="00696AE2">
        <w:rPr>
          <w:rFonts w:hint="eastAsia"/>
          <w:rtl/>
        </w:rPr>
        <w:t> </w:t>
      </w:r>
      <w:r w:rsidR="005026B0" w:rsidRPr="0061786C">
        <w:rPr>
          <w:lang w:val="fr-FR"/>
        </w:rPr>
        <w:t>3.2.6.A2</w:t>
      </w:r>
      <w:r w:rsidR="005026B0" w:rsidRPr="00696AE2">
        <w:rPr>
          <w:rFonts w:hint="cs"/>
          <w:rtl/>
          <w:lang w:bidi="ar-EG"/>
        </w:rPr>
        <w:t>).</w:t>
      </w:r>
    </w:p>
    <w:p w14:paraId="3577FD9F" w14:textId="49B2445E" w:rsidR="005026B0" w:rsidRPr="00696AE2" w:rsidRDefault="005026B0" w:rsidP="005026B0">
      <w:pPr>
        <w:rPr>
          <w:rtl/>
        </w:rPr>
      </w:pPr>
      <w:r w:rsidRPr="00696AE2">
        <w:rPr>
          <w:rFonts w:hint="cs"/>
          <w:rtl/>
        </w:rPr>
        <w:t xml:space="preserve">وقد </w:t>
      </w:r>
      <w:r w:rsidR="003E013D" w:rsidRPr="00696AE2">
        <w:rPr>
          <w:rFonts w:hint="cs"/>
          <w:rtl/>
        </w:rPr>
        <w:t>تحققت</w:t>
      </w:r>
      <w:r w:rsidRPr="00696AE2">
        <w:rPr>
          <w:rFonts w:hint="cs"/>
          <w:rtl/>
        </w:rPr>
        <w:t xml:space="preserve"> الشروط التي </w:t>
      </w:r>
      <w:r w:rsidR="003E013D" w:rsidRPr="00696AE2">
        <w:rPr>
          <w:rFonts w:hint="cs"/>
          <w:rtl/>
        </w:rPr>
        <w:t>تحكم</w:t>
      </w:r>
      <w:r w:rsidRPr="00696AE2">
        <w:rPr>
          <w:rFonts w:hint="cs"/>
          <w:rtl/>
        </w:rPr>
        <w:t xml:space="preserve"> هذا الإجراء في</w:t>
      </w:r>
      <w:r w:rsidRPr="00696AE2">
        <w:rPr>
          <w:rFonts w:hint="eastAsia"/>
          <w:rtl/>
        </w:rPr>
        <w:t> </w:t>
      </w:r>
      <w:r w:rsidR="00696AE2" w:rsidRPr="00696AE2">
        <w:t>26</w:t>
      </w:r>
      <w:r w:rsidRPr="00696AE2">
        <w:rPr>
          <w:rFonts w:hint="cs"/>
          <w:rtl/>
        </w:rPr>
        <w:t xml:space="preserve"> </w:t>
      </w:r>
      <w:r w:rsidR="00696AE2" w:rsidRPr="00696AE2">
        <w:rPr>
          <w:rFonts w:hint="cs"/>
          <w:rtl/>
        </w:rPr>
        <w:t>يناير</w:t>
      </w:r>
      <w:r w:rsidRPr="00696AE2">
        <w:rPr>
          <w:rFonts w:hint="cs"/>
          <w:rtl/>
        </w:rPr>
        <w:t xml:space="preserve"> </w:t>
      </w:r>
      <w:r w:rsidR="00696AE2" w:rsidRPr="00696AE2">
        <w:t>2022</w:t>
      </w:r>
      <w:r w:rsidRPr="00696AE2">
        <w:rPr>
          <w:rFonts w:hint="cs"/>
          <w:rtl/>
        </w:rPr>
        <w:t>.</w:t>
      </w:r>
    </w:p>
    <w:p w14:paraId="3D37F477" w14:textId="38AC1426" w:rsidR="008D4CC1" w:rsidRPr="00A76E29" w:rsidRDefault="005026B0" w:rsidP="00933CD2">
      <w:pPr>
        <w:rPr>
          <w:spacing w:val="-2"/>
          <w:rtl/>
        </w:rPr>
      </w:pPr>
      <w:r w:rsidRPr="00696AE2">
        <w:rPr>
          <w:rFonts w:hint="cs"/>
          <w:spacing w:val="-2"/>
          <w:rtl/>
        </w:rPr>
        <w:t xml:space="preserve">وسينشر </w:t>
      </w:r>
      <w:r w:rsidR="00B21FE4" w:rsidRPr="00696AE2">
        <w:rPr>
          <w:rFonts w:hint="cs"/>
          <w:spacing w:val="-2"/>
          <w:rtl/>
        </w:rPr>
        <w:t>الاتحاد</w:t>
      </w:r>
      <w:r w:rsidRPr="00696AE2">
        <w:rPr>
          <w:rFonts w:hint="cs"/>
          <w:spacing w:val="-2"/>
          <w:rtl/>
        </w:rPr>
        <w:t xml:space="preserve"> </w:t>
      </w:r>
      <w:r w:rsidR="00696AE2" w:rsidRPr="00696AE2">
        <w:rPr>
          <w:rFonts w:hint="cs"/>
          <w:spacing w:val="-2"/>
          <w:rtl/>
        </w:rPr>
        <w:t>التوصيتين</w:t>
      </w:r>
      <w:r w:rsidRPr="00696AE2">
        <w:rPr>
          <w:rFonts w:hint="cs"/>
          <w:spacing w:val="-2"/>
          <w:rtl/>
        </w:rPr>
        <w:t xml:space="preserve"> </w:t>
      </w:r>
      <w:r w:rsidR="00B21FE4" w:rsidRPr="00696AE2">
        <w:rPr>
          <w:rFonts w:hint="cs"/>
          <w:spacing w:val="-2"/>
          <w:rtl/>
        </w:rPr>
        <w:t>الموافَق</w:t>
      </w:r>
      <w:r w:rsidRPr="00696AE2">
        <w:rPr>
          <w:rFonts w:hint="cs"/>
          <w:spacing w:val="-2"/>
          <w:rtl/>
        </w:rPr>
        <w:t xml:space="preserve"> عليه</w:t>
      </w:r>
      <w:r w:rsidR="00696AE2" w:rsidRPr="00696AE2">
        <w:rPr>
          <w:rFonts w:hint="cs"/>
          <w:spacing w:val="-2"/>
          <w:rtl/>
        </w:rPr>
        <w:t>م</w:t>
      </w:r>
      <w:r w:rsidRPr="00696AE2">
        <w:rPr>
          <w:rFonts w:hint="cs"/>
          <w:spacing w:val="-2"/>
          <w:rtl/>
        </w:rPr>
        <w:t xml:space="preserve">ا، ويتضمن </w:t>
      </w:r>
      <w:r w:rsidR="00B21FE4" w:rsidRPr="00696AE2">
        <w:rPr>
          <w:rFonts w:hint="cs"/>
          <w:spacing w:val="-2"/>
          <w:rtl/>
        </w:rPr>
        <w:t>الملحق</w:t>
      </w:r>
      <w:r w:rsidR="00696AE2" w:rsidRPr="00696AE2">
        <w:rPr>
          <w:rFonts w:hint="cs"/>
          <w:spacing w:val="-2"/>
          <w:rtl/>
          <w:lang w:bidi="ar-EG"/>
        </w:rPr>
        <w:t xml:space="preserve"> </w:t>
      </w:r>
      <w:r w:rsidRPr="00696AE2">
        <w:rPr>
          <w:rFonts w:hint="cs"/>
          <w:spacing w:val="-2"/>
          <w:rtl/>
        </w:rPr>
        <w:t>بهذه الرسالة</w:t>
      </w:r>
      <w:r w:rsidRPr="00696AE2">
        <w:rPr>
          <w:rFonts w:hint="cs"/>
          <w:spacing w:val="-2"/>
          <w:rtl/>
          <w:lang w:bidi="ar-EG"/>
        </w:rPr>
        <w:t xml:space="preserve"> </w:t>
      </w:r>
      <w:r w:rsidR="00B21FE4" w:rsidRPr="00696AE2">
        <w:rPr>
          <w:rFonts w:hint="cs"/>
          <w:spacing w:val="-2"/>
          <w:rtl/>
          <w:lang w:bidi="ar-EG"/>
        </w:rPr>
        <w:t>المعممة</w:t>
      </w:r>
      <w:r w:rsidRPr="00696AE2">
        <w:rPr>
          <w:rFonts w:hint="cs"/>
          <w:spacing w:val="-2"/>
          <w:rtl/>
          <w:lang w:bidi="ar-EG"/>
        </w:rPr>
        <w:t xml:space="preserve"> </w:t>
      </w:r>
      <w:r w:rsidR="00696AE2" w:rsidRPr="00696AE2">
        <w:rPr>
          <w:rFonts w:hint="cs"/>
          <w:spacing w:val="-2"/>
          <w:rtl/>
          <w:lang w:bidi="ar-EG"/>
        </w:rPr>
        <w:t>عنوان كل من التوصيتين والرقم المخصص</w:t>
      </w:r>
      <w:r w:rsidR="00696AE2">
        <w:rPr>
          <w:rFonts w:hint="cs"/>
          <w:spacing w:val="-2"/>
          <w:rtl/>
          <w:lang w:bidi="ar-EG"/>
        </w:rPr>
        <w:t xml:space="preserve"> لكل منهما</w:t>
      </w:r>
      <w:r w:rsidRPr="00A76E29">
        <w:rPr>
          <w:rFonts w:hint="cs"/>
          <w:spacing w:val="-2"/>
          <w:rtl/>
        </w:rPr>
        <w:t>.</w:t>
      </w:r>
    </w:p>
    <w:p w14:paraId="71748A4E" w14:textId="77777777" w:rsidR="00F16820" w:rsidRPr="00F16820" w:rsidRDefault="00F16820" w:rsidP="00933CD2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EEAC401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6CE0F771" w14:textId="2C5CF6C2" w:rsidR="005026B0" w:rsidRDefault="005026B0" w:rsidP="00DA7545">
      <w:pPr>
        <w:spacing w:before="1440"/>
        <w:jc w:val="left"/>
        <w:rPr>
          <w:rtl/>
          <w:lang w:bidi="ar-EG"/>
        </w:rPr>
      </w:pPr>
      <w:r w:rsidRPr="00696AE2">
        <w:rPr>
          <w:rFonts w:hint="cs"/>
          <w:b/>
          <w:bCs/>
          <w:rtl/>
        </w:rPr>
        <w:t>الملحقات:</w:t>
      </w:r>
      <w:r w:rsidRPr="00696AE2">
        <w:rPr>
          <w:rFonts w:hint="cs"/>
          <w:rtl/>
        </w:rPr>
        <w:t xml:space="preserve"> </w:t>
      </w:r>
      <w:r w:rsidR="00696AE2" w:rsidRPr="00696AE2">
        <w:t>1</w:t>
      </w:r>
    </w:p>
    <w:p w14:paraId="07AEFCBA" w14:textId="77777777" w:rsidR="00F16820" w:rsidRDefault="00F16820" w:rsidP="00DA7545">
      <w:pPr>
        <w:tabs>
          <w:tab w:val="clear" w:pos="794"/>
        </w:tabs>
        <w:bidi w:val="0"/>
        <w:spacing w:before="144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  <w:bookmarkStart w:id="0" w:name="_GoBack"/>
      <w:bookmarkEnd w:id="0"/>
    </w:p>
    <w:p w14:paraId="3A1C6BE5" w14:textId="22245DC6" w:rsidR="00F16820" w:rsidRPr="00F16820" w:rsidRDefault="00F16820" w:rsidP="002527C5">
      <w:pPr>
        <w:pStyle w:val="AnnexNotitle"/>
        <w:rPr>
          <w:rtl/>
        </w:rPr>
      </w:pPr>
      <w:r w:rsidRPr="00F16820">
        <w:rPr>
          <w:rFonts w:hint="cs"/>
          <w:rtl/>
        </w:rPr>
        <w:lastRenderedPageBreak/>
        <w:t xml:space="preserve">الملحق </w:t>
      </w:r>
      <w:r w:rsidR="002527C5">
        <w:rPr>
          <w:rtl/>
        </w:rPr>
        <w:br/>
      </w:r>
      <w:r w:rsidR="002527C5">
        <w:rPr>
          <w:rtl/>
        </w:rPr>
        <w:br/>
      </w:r>
      <w:r w:rsidR="00696AE2">
        <w:rPr>
          <w:rFonts w:hint="cs"/>
          <w:rtl/>
        </w:rPr>
        <w:t>عنوان كل من توصيتي</w:t>
      </w:r>
      <w:r w:rsidR="005026B0" w:rsidRPr="005026B0">
        <w:rPr>
          <w:rFonts w:hint="cs"/>
          <w:rtl/>
        </w:rPr>
        <w:t xml:space="preserve"> قطاع الاتصالات الراديوية الموافَق عليه</w:t>
      </w:r>
      <w:r w:rsidR="00696AE2">
        <w:rPr>
          <w:rFonts w:hint="cs"/>
          <w:rtl/>
        </w:rPr>
        <w:t>م</w:t>
      </w:r>
      <w:r w:rsidR="005026B0" w:rsidRPr="005026B0">
        <w:rPr>
          <w:rFonts w:hint="cs"/>
          <w:rtl/>
        </w:rPr>
        <w:t>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F75985" w:rsidRPr="00266E7D" w14:paraId="7BCBCBE0" w14:textId="42A5D17E" w:rsidTr="00A76E29">
        <w:trPr>
          <w:jc w:val="center"/>
        </w:trPr>
        <w:tc>
          <w:tcPr>
            <w:tcW w:w="2688" w:type="dxa"/>
          </w:tcPr>
          <w:p w14:paraId="4051DEE2" w14:textId="77777777" w:rsidR="00F75985" w:rsidRPr="00933CD2" w:rsidRDefault="00F75985" w:rsidP="00A76E29">
            <w:pPr>
              <w:pStyle w:val="TableHead"/>
            </w:pPr>
            <w:r w:rsidRPr="00933CD2">
              <w:rPr>
                <w:rFonts w:hint="cs"/>
                <w:rtl/>
              </w:rPr>
              <w:t xml:space="preserve">توصية قطاع الاتصالات الراديوية </w:t>
            </w:r>
            <w:r w:rsidRPr="00933CD2">
              <w:t>(ITU-R)</w:t>
            </w:r>
          </w:p>
        </w:tc>
        <w:tc>
          <w:tcPr>
            <w:tcW w:w="4252" w:type="dxa"/>
          </w:tcPr>
          <w:p w14:paraId="1FE0528E" w14:textId="77777777" w:rsidR="00F75985" w:rsidRPr="00933CD2" w:rsidRDefault="00F75985" w:rsidP="00A76E29">
            <w:pPr>
              <w:pStyle w:val="TableHead"/>
              <w:rPr>
                <w:rtl/>
              </w:rPr>
            </w:pPr>
            <w:r w:rsidRPr="00933CD2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</w:tcPr>
          <w:p w14:paraId="6E62AFF4" w14:textId="33BBB71E" w:rsidR="00F75985" w:rsidRPr="00933CD2" w:rsidRDefault="00B21FE4" w:rsidP="00A76E29">
            <w:pPr>
              <w:pStyle w:val="TableHead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F75985" w:rsidRPr="00696AE2" w14:paraId="4B6FF73C" w14:textId="5B051408" w:rsidTr="00F75985">
        <w:trPr>
          <w:jc w:val="center"/>
        </w:trPr>
        <w:tc>
          <w:tcPr>
            <w:tcW w:w="2688" w:type="dxa"/>
          </w:tcPr>
          <w:p w14:paraId="54595CB7" w14:textId="1633E47F" w:rsidR="00F75985" w:rsidRPr="00696AE2" w:rsidRDefault="00696AE2" w:rsidP="00A76E29">
            <w:pPr>
              <w:pStyle w:val="Tabletexte"/>
              <w:jc w:val="center"/>
              <w:rPr>
                <w:rtl/>
                <w:lang w:bidi="ar-EG"/>
              </w:rPr>
            </w:pPr>
            <w:r w:rsidRPr="00696AE2">
              <w:t>M.1787-4</w:t>
            </w:r>
          </w:p>
        </w:tc>
        <w:tc>
          <w:tcPr>
            <w:tcW w:w="4252" w:type="dxa"/>
          </w:tcPr>
          <w:p w14:paraId="0346BA91" w14:textId="220769BA" w:rsidR="00F75985" w:rsidRPr="00626BF5" w:rsidRDefault="00CA5728" w:rsidP="00CA5728">
            <w:pPr>
              <w:pStyle w:val="Tabletexte"/>
              <w:rPr>
                <w:spacing w:val="-4"/>
                <w:rtl/>
                <w:lang w:bidi="ar-EG"/>
              </w:rPr>
            </w:pPr>
            <w:r w:rsidRPr="00626BF5">
              <w:rPr>
                <w:rFonts w:hint="cs"/>
                <w:spacing w:val="-4"/>
                <w:rtl/>
              </w:rPr>
              <w:t xml:space="preserve">وصف الأنظمة والشبكات في خدمة الملاحة الراديوية الساتلية (فضاء-أرض وفضاء-فضاء) والخصائص التقنية لمحطات الإرسال الفضائية العاملة في النطاقات </w:t>
            </w:r>
            <w:r w:rsidRPr="00626BF5">
              <w:rPr>
                <w:spacing w:val="-4"/>
              </w:rPr>
              <w:t>MHz 1 215</w:t>
            </w:r>
            <w:r w:rsidRPr="00626BF5">
              <w:rPr>
                <w:spacing w:val="-4"/>
              </w:rPr>
              <w:noBreakHyphen/>
              <w:t>1 164</w:t>
            </w:r>
            <w:r w:rsidRPr="00626BF5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Pr="00626BF5">
              <w:rPr>
                <w:spacing w:val="-4"/>
                <w:lang w:bidi="ar-EG"/>
              </w:rPr>
              <w:t>MHz 1 300</w:t>
            </w:r>
            <w:r w:rsidRPr="00626BF5">
              <w:rPr>
                <w:spacing w:val="-4"/>
                <w:lang w:bidi="ar-EG"/>
              </w:rPr>
              <w:noBreakHyphen/>
              <w:t>1 215</w:t>
            </w:r>
            <w:r w:rsidRPr="00626BF5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Pr="00626BF5">
              <w:rPr>
                <w:spacing w:val="-4"/>
                <w:lang w:bidi="ar-EG"/>
              </w:rPr>
              <w:t>MHz 1 610</w:t>
            </w:r>
            <w:r w:rsidRPr="00626BF5">
              <w:rPr>
                <w:spacing w:val="-4"/>
                <w:lang w:bidi="ar-EG"/>
              </w:rPr>
              <w:noBreakHyphen/>
              <w:t>1 559</w:t>
            </w:r>
          </w:p>
        </w:tc>
        <w:tc>
          <w:tcPr>
            <w:tcW w:w="2689" w:type="dxa"/>
          </w:tcPr>
          <w:p w14:paraId="6CDE626D" w14:textId="29930264" w:rsidR="00F75985" w:rsidRPr="00696AE2" w:rsidRDefault="00696AE2" w:rsidP="00A76E29">
            <w:pPr>
              <w:pStyle w:val="Tabletexte"/>
              <w:jc w:val="center"/>
            </w:pPr>
            <w:r>
              <w:t>4</w:t>
            </w:r>
            <w:r w:rsidR="00F75985" w:rsidRPr="00696AE2">
              <w:t>/</w:t>
            </w:r>
            <w:r>
              <w:t>28</w:t>
            </w:r>
            <w:r w:rsidR="00F75985" w:rsidRPr="00696AE2">
              <w:t>(Rev.1)</w:t>
            </w:r>
          </w:p>
        </w:tc>
      </w:tr>
      <w:tr w:rsidR="00696AE2" w:rsidRPr="00696AE2" w14:paraId="761B6B16" w14:textId="77777777" w:rsidTr="00F75985">
        <w:trPr>
          <w:jc w:val="center"/>
        </w:trPr>
        <w:tc>
          <w:tcPr>
            <w:tcW w:w="2688" w:type="dxa"/>
          </w:tcPr>
          <w:p w14:paraId="33041217" w14:textId="4C79791E" w:rsidR="00696AE2" w:rsidRPr="00696AE2" w:rsidRDefault="00696AE2" w:rsidP="00A76E29">
            <w:pPr>
              <w:pStyle w:val="Tabletexte"/>
              <w:jc w:val="center"/>
              <w:rPr>
                <w:lang w:bidi="ar-EG"/>
              </w:rPr>
            </w:pPr>
            <w:r w:rsidRPr="00696AE2">
              <w:rPr>
                <w:lang w:bidi="ar-EG"/>
              </w:rPr>
              <w:t>M.1902-2</w:t>
            </w:r>
          </w:p>
        </w:tc>
        <w:tc>
          <w:tcPr>
            <w:tcW w:w="4252" w:type="dxa"/>
          </w:tcPr>
          <w:p w14:paraId="3E36DDC3" w14:textId="60A2E45F" w:rsidR="00696AE2" w:rsidRPr="00696AE2" w:rsidRDefault="00D9343C" w:rsidP="00A01CF0">
            <w:pPr>
              <w:pStyle w:val="Tabletexte"/>
            </w:pPr>
            <w:r>
              <w:rPr>
                <w:rFonts w:hint="cs"/>
                <w:rtl/>
                <w:lang w:bidi="ar-SA"/>
              </w:rPr>
              <w:t>الخصائص</w:t>
            </w:r>
            <w:r w:rsidR="00A01CF0">
              <w:rPr>
                <w:rFonts w:hint="cs"/>
                <w:rtl/>
              </w:rPr>
              <w:t xml:space="preserve"> ومعايير </w:t>
            </w:r>
            <w:r w:rsidR="001F6445">
              <w:rPr>
                <w:rFonts w:hint="cs"/>
                <w:rtl/>
              </w:rPr>
              <w:t>ال</w:t>
            </w:r>
            <w:r w:rsidR="00A01CF0">
              <w:rPr>
                <w:rFonts w:hint="cs"/>
                <w:rtl/>
              </w:rPr>
              <w:t xml:space="preserve">حماية </w:t>
            </w:r>
            <w:r w:rsidR="001F6445">
              <w:rPr>
                <w:rFonts w:hint="cs"/>
                <w:rtl/>
              </w:rPr>
              <w:t>ل</w:t>
            </w:r>
            <w:r w:rsidR="00A01CF0">
              <w:rPr>
                <w:rFonts w:hint="cs"/>
                <w:rtl/>
              </w:rPr>
              <w:t>محطات الاستقبال الأرضية في</w:t>
            </w:r>
            <w:r w:rsidR="00A01CF0">
              <w:rPr>
                <w:rFonts w:hint="eastAsia"/>
                <w:rtl/>
              </w:rPr>
              <w:t> </w:t>
            </w:r>
            <w:r w:rsidR="00A01CF0">
              <w:rPr>
                <w:rFonts w:hint="cs"/>
                <w:rtl/>
              </w:rPr>
              <w:t xml:space="preserve">خدمة الملاحة الراديوية الساتلية (فضاء-أرض) العاملة في النطاق </w:t>
            </w:r>
            <w:r w:rsidR="00A01CF0">
              <w:t>MHz 1 300</w:t>
            </w:r>
            <w:r w:rsidR="00A01CF0">
              <w:noBreakHyphen/>
              <w:t>1 215</w:t>
            </w:r>
          </w:p>
        </w:tc>
        <w:tc>
          <w:tcPr>
            <w:tcW w:w="2689" w:type="dxa"/>
          </w:tcPr>
          <w:p w14:paraId="59E660C6" w14:textId="5C5C7EBE" w:rsidR="00696AE2" w:rsidRPr="00696AE2" w:rsidRDefault="00696AE2" w:rsidP="00A76E29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4/30(Rev.1)</w:t>
            </w:r>
          </w:p>
        </w:tc>
      </w:tr>
    </w:tbl>
    <w:p w14:paraId="0333C6A3" w14:textId="6CC26998" w:rsidR="00F16820" w:rsidRPr="008D662C" w:rsidRDefault="008D662C" w:rsidP="008D662C">
      <w:pPr>
        <w:spacing w:before="600"/>
        <w:jc w:val="center"/>
        <w:rPr>
          <w:rtl/>
        </w:rPr>
      </w:pPr>
      <w:r w:rsidRPr="008D662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F16820" w:rsidRPr="008D662C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03B9" w14:textId="77777777" w:rsidR="00B96019" w:rsidRDefault="00B96019" w:rsidP="006C3242">
      <w:pPr>
        <w:spacing w:before="0" w:line="240" w:lineRule="auto"/>
      </w:pPr>
      <w:r>
        <w:separator/>
      </w:r>
    </w:p>
  </w:endnote>
  <w:endnote w:type="continuationSeparator" w:id="0">
    <w:p w14:paraId="1834C6B0" w14:textId="77777777" w:rsidR="00B96019" w:rsidRDefault="00B9601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1955" w14:textId="77777777" w:rsidR="00D2610D" w:rsidRPr="00FC09E8" w:rsidRDefault="00D2610D" w:rsidP="00D2610D">
    <w:pPr>
      <w:tabs>
        <w:tab w:val="clear" w:pos="794"/>
      </w:tabs>
      <w:bidi w:val="0"/>
      <w:spacing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1714" w14:textId="77777777" w:rsidR="00B96019" w:rsidRDefault="00B96019" w:rsidP="006C3242">
      <w:pPr>
        <w:spacing w:before="0" w:line="240" w:lineRule="auto"/>
      </w:pPr>
      <w:r>
        <w:separator/>
      </w:r>
    </w:p>
  </w:footnote>
  <w:footnote w:type="continuationSeparator" w:id="0">
    <w:p w14:paraId="5BAE2DAD" w14:textId="77777777" w:rsidR="00B96019" w:rsidRDefault="00B9601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559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A336" w14:textId="77777777" w:rsidR="000F7BBE" w:rsidRDefault="000F7BBE" w:rsidP="005019EA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ADC0F44" wp14:editId="77428BA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19"/>
    <w:rsid w:val="00010F4C"/>
    <w:rsid w:val="00011F9C"/>
    <w:rsid w:val="000438B0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1F6445"/>
    <w:rsid w:val="00201C53"/>
    <w:rsid w:val="002154EE"/>
    <w:rsid w:val="002276D2"/>
    <w:rsid w:val="0023283D"/>
    <w:rsid w:val="002527C5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658AD"/>
    <w:rsid w:val="00383829"/>
    <w:rsid w:val="003E013D"/>
    <w:rsid w:val="003F4B29"/>
    <w:rsid w:val="00412F33"/>
    <w:rsid w:val="0042686F"/>
    <w:rsid w:val="004317D8"/>
    <w:rsid w:val="00434183"/>
    <w:rsid w:val="00443869"/>
    <w:rsid w:val="00447F32"/>
    <w:rsid w:val="004E11DC"/>
    <w:rsid w:val="005019EA"/>
    <w:rsid w:val="005026B0"/>
    <w:rsid w:val="0051160F"/>
    <w:rsid w:val="00525DDD"/>
    <w:rsid w:val="005409AC"/>
    <w:rsid w:val="0055516A"/>
    <w:rsid w:val="0058491B"/>
    <w:rsid w:val="00592EA5"/>
    <w:rsid w:val="005A3170"/>
    <w:rsid w:val="005C37F3"/>
    <w:rsid w:val="005C421A"/>
    <w:rsid w:val="005E546B"/>
    <w:rsid w:val="0061786C"/>
    <w:rsid w:val="00626BF5"/>
    <w:rsid w:val="00677396"/>
    <w:rsid w:val="0069200F"/>
    <w:rsid w:val="00696AE2"/>
    <w:rsid w:val="006A65CB"/>
    <w:rsid w:val="006C3242"/>
    <w:rsid w:val="006C7CC0"/>
    <w:rsid w:val="006F63F7"/>
    <w:rsid w:val="00701C78"/>
    <w:rsid w:val="007025C7"/>
    <w:rsid w:val="00706D7A"/>
    <w:rsid w:val="00722F0D"/>
    <w:rsid w:val="0074420E"/>
    <w:rsid w:val="00744B8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12E3"/>
    <w:rsid w:val="008513CB"/>
    <w:rsid w:val="008A7F84"/>
    <w:rsid w:val="008D4CC1"/>
    <w:rsid w:val="008D662C"/>
    <w:rsid w:val="008D67A3"/>
    <w:rsid w:val="0091702E"/>
    <w:rsid w:val="00923B0C"/>
    <w:rsid w:val="00933CD2"/>
    <w:rsid w:val="0094021C"/>
    <w:rsid w:val="00952F86"/>
    <w:rsid w:val="00982B28"/>
    <w:rsid w:val="009D313F"/>
    <w:rsid w:val="00A01CF0"/>
    <w:rsid w:val="00A47A5A"/>
    <w:rsid w:val="00A6683B"/>
    <w:rsid w:val="00A76E29"/>
    <w:rsid w:val="00A97F94"/>
    <w:rsid w:val="00AA7EA2"/>
    <w:rsid w:val="00AB03CC"/>
    <w:rsid w:val="00B03099"/>
    <w:rsid w:val="00B05BC8"/>
    <w:rsid w:val="00B21FE4"/>
    <w:rsid w:val="00B52BD3"/>
    <w:rsid w:val="00B54863"/>
    <w:rsid w:val="00B64B47"/>
    <w:rsid w:val="00B96019"/>
    <w:rsid w:val="00BA1B05"/>
    <w:rsid w:val="00BA3F43"/>
    <w:rsid w:val="00BC0193"/>
    <w:rsid w:val="00C002DE"/>
    <w:rsid w:val="00C20AF9"/>
    <w:rsid w:val="00C33EEF"/>
    <w:rsid w:val="00C37BD6"/>
    <w:rsid w:val="00C53BF8"/>
    <w:rsid w:val="00C66157"/>
    <w:rsid w:val="00C674FE"/>
    <w:rsid w:val="00C67501"/>
    <w:rsid w:val="00C75633"/>
    <w:rsid w:val="00CA5728"/>
    <w:rsid w:val="00CD109A"/>
    <w:rsid w:val="00CE2EE1"/>
    <w:rsid w:val="00CE3349"/>
    <w:rsid w:val="00CE36E5"/>
    <w:rsid w:val="00CF27F5"/>
    <w:rsid w:val="00CF3FFD"/>
    <w:rsid w:val="00D10CCF"/>
    <w:rsid w:val="00D12345"/>
    <w:rsid w:val="00D2610D"/>
    <w:rsid w:val="00D77D0F"/>
    <w:rsid w:val="00D9343C"/>
    <w:rsid w:val="00DA1CF0"/>
    <w:rsid w:val="00DA7545"/>
    <w:rsid w:val="00DC1E02"/>
    <w:rsid w:val="00DC24B4"/>
    <w:rsid w:val="00DC5FB0"/>
    <w:rsid w:val="00DF16DC"/>
    <w:rsid w:val="00E1092E"/>
    <w:rsid w:val="00E1763E"/>
    <w:rsid w:val="00E45211"/>
    <w:rsid w:val="00E473C5"/>
    <w:rsid w:val="00E92863"/>
    <w:rsid w:val="00EB796D"/>
    <w:rsid w:val="00F058DC"/>
    <w:rsid w:val="00F16820"/>
    <w:rsid w:val="00F24FC4"/>
    <w:rsid w:val="00F2676C"/>
    <w:rsid w:val="00F62ACA"/>
    <w:rsid w:val="00F75985"/>
    <w:rsid w:val="00F84366"/>
    <w:rsid w:val="00F85089"/>
    <w:rsid w:val="00F974C5"/>
    <w:rsid w:val="00FA6F46"/>
    <w:rsid w:val="00FC4306"/>
    <w:rsid w:val="00FE0017"/>
    <w:rsid w:val="00FE5872"/>
    <w:rsid w:val="00FE7FC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23819A"/>
  <w15:chartTrackingRefBased/>
  <w15:docId w15:val="{AA9C6CF2-75F6-4C12-A427-2B40B28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D2610D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10D"/>
    <w:rPr>
      <w:color w:val="605E5C"/>
      <w:shd w:val="clear" w:color="auto" w:fill="E1DFDD"/>
    </w:rPr>
  </w:style>
  <w:style w:type="paragraph" w:customStyle="1" w:styleId="AnnexNotitle">
    <w:name w:val="Annex_No &amp; title"/>
    <w:basedOn w:val="Annextitle"/>
    <w:qFormat/>
    <w:rsid w:val="005C421A"/>
    <w:pPr>
      <w:spacing w:before="360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3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29EB-62AF-42EA-86B1-FAF593C7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Panoussopoulos, Sonia</cp:lastModifiedBy>
  <cp:revision>8</cp:revision>
  <dcterms:created xsi:type="dcterms:W3CDTF">2022-01-26T19:47:00Z</dcterms:created>
  <dcterms:modified xsi:type="dcterms:W3CDTF">2022-01-28T16:06:00Z</dcterms:modified>
</cp:coreProperties>
</file>