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13322A" w14:paraId="772DB8A7" w14:textId="77777777" w:rsidTr="00306452">
        <w:trPr>
          <w:jc w:val="center"/>
        </w:trPr>
        <w:tc>
          <w:tcPr>
            <w:tcW w:w="9889" w:type="dxa"/>
            <w:gridSpan w:val="3"/>
            <w:shd w:val="clear" w:color="auto" w:fill="auto"/>
          </w:tcPr>
          <w:p w14:paraId="69E5859C" w14:textId="77777777" w:rsidR="00E53DCE" w:rsidRPr="0013322A" w:rsidRDefault="00A96D3A" w:rsidP="00C718BB">
            <w:pPr>
              <w:spacing w:before="0" w:line="240" w:lineRule="auto"/>
              <w:jc w:val="left"/>
              <w:rPr>
                <w:rFonts w:cstheme="minorHAnsi"/>
                <w:b/>
                <w:bCs/>
                <w:color w:val="808080"/>
                <w:sz w:val="28"/>
                <w:szCs w:val="28"/>
                <w:lang w:val="es-ES_tradnl"/>
              </w:rPr>
            </w:pPr>
            <w:r w:rsidRPr="0013322A">
              <w:rPr>
                <w:rFonts w:cstheme="minorHAnsi"/>
                <w:b/>
                <w:bCs/>
                <w:color w:val="808080"/>
                <w:sz w:val="28"/>
                <w:szCs w:val="28"/>
                <w:lang w:val="es-ES_tradnl"/>
              </w:rPr>
              <w:t>Oficina de Radiocomunicaciones (BR)</w:t>
            </w:r>
          </w:p>
          <w:p w14:paraId="2543B2A0" w14:textId="77777777" w:rsidR="00E53DCE" w:rsidRPr="0013322A" w:rsidRDefault="00E53DCE" w:rsidP="00C718BB">
            <w:pPr>
              <w:spacing w:before="0" w:line="240" w:lineRule="auto"/>
              <w:jc w:val="left"/>
              <w:rPr>
                <w:rFonts w:cstheme="minorHAnsi"/>
                <w:b/>
                <w:bCs/>
                <w:color w:val="808080"/>
                <w:sz w:val="28"/>
                <w:szCs w:val="28"/>
                <w:lang w:val="es-ES_tradnl"/>
              </w:rPr>
            </w:pPr>
          </w:p>
          <w:p w14:paraId="31286EC1" w14:textId="77777777" w:rsidR="00E53DCE" w:rsidRPr="0013322A" w:rsidRDefault="00E53DCE" w:rsidP="00C718BB">
            <w:pPr>
              <w:spacing w:before="0" w:line="240" w:lineRule="auto"/>
              <w:jc w:val="left"/>
              <w:rPr>
                <w:rFonts w:cs="Times New Roman Bold"/>
                <w:b/>
                <w:bCs/>
                <w:color w:val="808080"/>
                <w:sz w:val="28"/>
                <w:szCs w:val="28"/>
                <w:lang w:val="es-ES_tradnl"/>
              </w:rPr>
            </w:pPr>
          </w:p>
        </w:tc>
      </w:tr>
      <w:tr w:rsidR="00E53DCE" w:rsidRPr="0013322A" w14:paraId="64B1BC72" w14:textId="77777777" w:rsidTr="00306452">
        <w:trPr>
          <w:jc w:val="center"/>
        </w:trPr>
        <w:tc>
          <w:tcPr>
            <w:tcW w:w="7054" w:type="dxa"/>
            <w:gridSpan w:val="2"/>
            <w:shd w:val="clear" w:color="auto" w:fill="auto"/>
          </w:tcPr>
          <w:p w14:paraId="3011D701" w14:textId="18D0F922" w:rsidR="00E53DCE" w:rsidRPr="0013322A" w:rsidRDefault="00A96D3A" w:rsidP="00C718BB">
            <w:pPr>
              <w:spacing w:before="0" w:line="240" w:lineRule="auto"/>
              <w:jc w:val="left"/>
              <w:rPr>
                <w:szCs w:val="24"/>
                <w:lang w:val="es-ES_tradnl"/>
              </w:rPr>
            </w:pPr>
            <w:r w:rsidRPr="0013322A">
              <w:rPr>
                <w:szCs w:val="24"/>
                <w:lang w:val="es-ES_tradnl"/>
              </w:rPr>
              <w:t>Circular Administrativa</w:t>
            </w:r>
          </w:p>
          <w:p w14:paraId="3772106A" w14:textId="5082ED2A" w:rsidR="00E53DCE" w:rsidRPr="0013322A" w:rsidRDefault="001B3D4D" w:rsidP="00C718BB">
            <w:pPr>
              <w:spacing w:before="0" w:line="240" w:lineRule="auto"/>
              <w:jc w:val="left"/>
              <w:rPr>
                <w:b/>
                <w:bCs/>
                <w:szCs w:val="24"/>
                <w:lang w:val="es-ES_tradnl"/>
              </w:rPr>
            </w:pPr>
            <w:r w:rsidRPr="0013322A">
              <w:rPr>
                <w:b/>
                <w:bCs/>
                <w:szCs w:val="24"/>
                <w:lang w:val="es-ES_tradnl"/>
              </w:rPr>
              <w:t>CACE/</w:t>
            </w:r>
            <w:r w:rsidR="005563E9" w:rsidRPr="0013322A">
              <w:rPr>
                <w:b/>
                <w:bCs/>
                <w:szCs w:val="24"/>
                <w:lang w:val="es-ES_tradnl"/>
              </w:rPr>
              <w:t>1041</w:t>
            </w:r>
          </w:p>
        </w:tc>
        <w:tc>
          <w:tcPr>
            <w:tcW w:w="2835" w:type="dxa"/>
            <w:shd w:val="clear" w:color="auto" w:fill="auto"/>
          </w:tcPr>
          <w:p w14:paraId="2DEC7E30" w14:textId="0B432D9A" w:rsidR="00E53DCE" w:rsidRPr="0013322A" w:rsidRDefault="00A96D3A" w:rsidP="00C718BB">
            <w:pPr>
              <w:spacing w:before="0" w:line="240" w:lineRule="auto"/>
              <w:jc w:val="right"/>
              <w:rPr>
                <w:szCs w:val="24"/>
                <w:lang w:val="es-ES_tradnl"/>
              </w:rPr>
            </w:pPr>
            <w:r w:rsidRPr="0013322A">
              <w:rPr>
                <w:bCs/>
                <w:szCs w:val="24"/>
                <w:lang w:val="es-ES_tradnl"/>
              </w:rPr>
              <w:t>1</w:t>
            </w:r>
            <w:r w:rsidR="00AD223D">
              <w:rPr>
                <w:bCs/>
                <w:szCs w:val="24"/>
                <w:lang w:val="es-ES_tradnl"/>
              </w:rPr>
              <w:t>9</w:t>
            </w:r>
            <w:r w:rsidRPr="0013322A">
              <w:rPr>
                <w:bCs/>
                <w:szCs w:val="24"/>
                <w:lang w:val="es-ES_tradnl"/>
              </w:rPr>
              <w:t xml:space="preserve"> de </w:t>
            </w:r>
            <w:r w:rsidR="005563E9" w:rsidRPr="0013322A">
              <w:rPr>
                <w:bCs/>
                <w:szCs w:val="24"/>
                <w:lang w:val="es-ES_tradnl"/>
              </w:rPr>
              <w:t>octubre</w:t>
            </w:r>
            <w:r w:rsidRPr="0013322A">
              <w:rPr>
                <w:bCs/>
                <w:szCs w:val="24"/>
                <w:lang w:val="es-ES_tradnl"/>
              </w:rPr>
              <w:t xml:space="preserve"> de 20</w:t>
            </w:r>
            <w:r w:rsidR="002B7EE0" w:rsidRPr="0013322A">
              <w:rPr>
                <w:bCs/>
                <w:szCs w:val="24"/>
                <w:lang w:val="es-ES_tradnl"/>
              </w:rPr>
              <w:t>2</w:t>
            </w:r>
            <w:r w:rsidR="005563E9" w:rsidRPr="0013322A">
              <w:rPr>
                <w:bCs/>
                <w:szCs w:val="24"/>
                <w:lang w:val="es-ES_tradnl"/>
              </w:rPr>
              <w:t>2</w:t>
            </w:r>
          </w:p>
        </w:tc>
      </w:tr>
      <w:tr w:rsidR="00E53DCE" w:rsidRPr="0013322A" w14:paraId="73754B03" w14:textId="77777777" w:rsidTr="00306452">
        <w:trPr>
          <w:jc w:val="center"/>
        </w:trPr>
        <w:tc>
          <w:tcPr>
            <w:tcW w:w="9889" w:type="dxa"/>
            <w:gridSpan w:val="3"/>
            <w:shd w:val="clear" w:color="auto" w:fill="auto"/>
          </w:tcPr>
          <w:p w14:paraId="1197466C" w14:textId="77777777" w:rsidR="00E53DCE" w:rsidRPr="0013322A" w:rsidRDefault="00E53DCE" w:rsidP="00C718BB">
            <w:pPr>
              <w:spacing w:before="0" w:line="240" w:lineRule="auto"/>
              <w:jc w:val="left"/>
              <w:rPr>
                <w:rFonts w:cs="Arial"/>
                <w:szCs w:val="24"/>
                <w:lang w:val="es-ES_tradnl"/>
              </w:rPr>
            </w:pPr>
          </w:p>
        </w:tc>
      </w:tr>
      <w:tr w:rsidR="00E53DCE" w:rsidRPr="0013322A" w14:paraId="2269DA3C" w14:textId="77777777" w:rsidTr="00306452">
        <w:trPr>
          <w:jc w:val="center"/>
        </w:trPr>
        <w:tc>
          <w:tcPr>
            <w:tcW w:w="9889" w:type="dxa"/>
            <w:gridSpan w:val="3"/>
            <w:shd w:val="clear" w:color="auto" w:fill="auto"/>
          </w:tcPr>
          <w:p w14:paraId="75CBB19D" w14:textId="77777777" w:rsidR="00E53DCE" w:rsidRPr="0013322A" w:rsidRDefault="00E53DCE" w:rsidP="00C718BB">
            <w:pPr>
              <w:spacing w:before="0" w:line="240" w:lineRule="auto"/>
              <w:jc w:val="left"/>
              <w:rPr>
                <w:szCs w:val="24"/>
                <w:lang w:val="es-ES_tradnl"/>
              </w:rPr>
            </w:pPr>
          </w:p>
        </w:tc>
      </w:tr>
      <w:tr w:rsidR="005B1059" w:rsidRPr="00AD223D" w14:paraId="707482E7" w14:textId="77777777" w:rsidTr="00306452">
        <w:trPr>
          <w:jc w:val="center"/>
        </w:trPr>
        <w:tc>
          <w:tcPr>
            <w:tcW w:w="9889" w:type="dxa"/>
            <w:gridSpan w:val="3"/>
            <w:shd w:val="clear" w:color="auto" w:fill="auto"/>
          </w:tcPr>
          <w:p w14:paraId="7D2430E4" w14:textId="67C847E9" w:rsidR="005B1059" w:rsidRPr="0013322A" w:rsidRDefault="005B1059" w:rsidP="00C718BB">
            <w:pPr>
              <w:spacing w:before="0" w:line="240" w:lineRule="auto"/>
              <w:jc w:val="left"/>
              <w:rPr>
                <w:b/>
                <w:bCs/>
                <w:szCs w:val="24"/>
                <w:lang w:val="es-ES_tradnl"/>
              </w:rPr>
            </w:pPr>
            <w:r w:rsidRPr="0013322A">
              <w:rPr>
                <w:b/>
                <w:bCs/>
                <w:lang w:val="es-ES_tradnl"/>
              </w:rPr>
              <w:t xml:space="preserve">A las Administraciones de los Estados Miembros de la UIT, a los Miembros del Sector de Radiocomunicaciones, a los Asociados del UIT-R que participan en los trabajos de la </w:t>
            </w:r>
            <w:r w:rsidRPr="0013322A">
              <w:rPr>
                <w:b/>
                <w:bCs/>
                <w:lang w:val="es-ES_tradnl"/>
              </w:rPr>
              <w:br/>
              <w:t>Comisión de Estudio 6 de Radiocomunicaciones y a las Instituciones Académicas de la UIT</w:t>
            </w:r>
          </w:p>
        </w:tc>
      </w:tr>
      <w:tr w:rsidR="005B1059" w:rsidRPr="00AD223D" w14:paraId="5640DD4E" w14:textId="77777777" w:rsidTr="00306452">
        <w:trPr>
          <w:jc w:val="center"/>
        </w:trPr>
        <w:tc>
          <w:tcPr>
            <w:tcW w:w="9889" w:type="dxa"/>
            <w:gridSpan w:val="3"/>
            <w:shd w:val="clear" w:color="auto" w:fill="auto"/>
          </w:tcPr>
          <w:p w14:paraId="40CEBD4C" w14:textId="77777777" w:rsidR="005B1059" w:rsidRPr="0013322A" w:rsidRDefault="005B1059" w:rsidP="00C718BB">
            <w:pPr>
              <w:spacing w:before="0" w:line="240" w:lineRule="auto"/>
              <w:jc w:val="left"/>
              <w:rPr>
                <w:szCs w:val="24"/>
                <w:lang w:val="es-ES_tradnl"/>
              </w:rPr>
            </w:pPr>
          </w:p>
        </w:tc>
      </w:tr>
      <w:tr w:rsidR="005B1059" w:rsidRPr="00AD223D" w14:paraId="1A2AED82" w14:textId="77777777" w:rsidTr="00306452">
        <w:trPr>
          <w:jc w:val="center"/>
        </w:trPr>
        <w:tc>
          <w:tcPr>
            <w:tcW w:w="9889" w:type="dxa"/>
            <w:gridSpan w:val="3"/>
            <w:shd w:val="clear" w:color="auto" w:fill="auto"/>
          </w:tcPr>
          <w:p w14:paraId="1176EB3B" w14:textId="77777777" w:rsidR="005B1059" w:rsidRPr="0013322A" w:rsidRDefault="005B1059" w:rsidP="00C718BB">
            <w:pPr>
              <w:spacing w:before="0" w:line="240" w:lineRule="auto"/>
              <w:jc w:val="left"/>
              <w:rPr>
                <w:szCs w:val="24"/>
                <w:lang w:val="es-ES_tradnl"/>
              </w:rPr>
            </w:pPr>
          </w:p>
        </w:tc>
      </w:tr>
      <w:tr w:rsidR="00CB11EC" w:rsidRPr="00AD223D" w14:paraId="351BDEF6" w14:textId="77777777" w:rsidTr="00C256BC">
        <w:trPr>
          <w:trHeight w:val="1773"/>
          <w:jc w:val="center"/>
        </w:trPr>
        <w:tc>
          <w:tcPr>
            <w:tcW w:w="1526" w:type="dxa"/>
            <w:shd w:val="clear" w:color="auto" w:fill="auto"/>
          </w:tcPr>
          <w:p w14:paraId="7BE65B1B" w14:textId="77777777" w:rsidR="00CB11EC" w:rsidRPr="0013322A" w:rsidRDefault="00CB11EC" w:rsidP="00C718BB">
            <w:pPr>
              <w:tabs>
                <w:tab w:val="clear" w:pos="1588"/>
                <w:tab w:val="left" w:pos="1560"/>
              </w:tabs>
              <w:spacing w:before="0" w:line="240" w:lineRule="auto"/>
              <w:jc w:val="left"/>
              <w:rPr>
                <w:szCs w:val="24"/>
                <w:lang w:val="es-ES_tradnl"/>
              </w:rPr>
            </w:pPr>
            <w:r w:rsidRPr="0013322A">
              <w:rPr>
                <w:szCs w:val="24"/>
                <w:lang w:val="es-ES_tradnl"/>
              </w:rPr>
              <w:t>Asunto:</w:t>
            </w:r>
          </w:p>
        </w:tc>
        <w:tc>
          <w:tcPr>
            <w:tcW w:w="8363" w:type="dxa"/>
            <w:gridSpan w:val="2"/>
            <w:shd w:val="clear" w:color="auto" w:fill="auto"/>
          </w:tcPr>
          <w:p w14:paraId="17A1DA4B" w14:textId="5F2A030A" w:rsidR="00CB11EC" w:rsidRPr="0013322A" w:rsidRDefault="00CB11EC" w:rsidP="00C718BB">
            <w:pPr>
              <w:tabs>
                <w:tab w:val="clear" w:pos="1588"/>
                <w:tab w:val="left" w:pos="1560"/>
              </w:tabs>
              <w:spacing w:before="0" w:line="240" w:lineRule="auto"/>
              <w:rPr>
                <w:b/>
                <w:bCs/>
                <w:szCs w:val="24"/>
                <w:lang w:val="es-ES_tradnl"/>
              </w:rPr>
            </w:pPr>
            <w:r w:rsidRPr="0013322A">
              <w:rPr>
                <w:b/>
                <w:bCs/>
                <w:szCs w:val="24"/>
                <w:lang w:val="es-ES_tradnl"/>
              </w:rPr>
              <w:t>Comisión de Estudio 6 de Radiocomunicaciones (Servicio de radiodifusión)</w:t>
            </w:r>
          </w:p>
          <w:p w14:paraId="4F421491" w14:textId="2A14FB6A" w:rsidR="00CB11EC" w:rsidRPr="0013322A" w:rsidRDefault="00CB11EC" w:rsidP="002E045B">
            <w:pPr>
              <w:pStyle w:val="enumlev1"/>
              <w:jc w:val="left"/>
              <w:rPr>
                <w:b/>
                <w:bCs/>
                <w:lang w:val="es-ES_tradnl"/>
              </w:rPr>
            </w:pPr>
            <w:r w:rsidRPr="0013322A">
              <w:rPr>
                <w:b/>
                <w:bCs/>
                <w:lang w:val="es-ES_tradnl"/>
              </w:rPr>
              <w:t>–</w:t>
            </w:r>
            <w:r w:rsidRPr="0013322A">
              <w:rPr>
                <w:b/>
                <w:bCs/>
                <w:lang w:val="es-ES_tradnl"/>
              </w:rPr>
              <w:tab/>
              <w:t>Propuesta de adopción de 2 proyectos de nueva Recomendación UIT-R y 6</w:t>
            </w:r>
            <w:r w:rsidR="00193FEC" w:rsidRPr="0013322A">
              <w:rPr>
                <w:b/>
                <w:bCs/>
                <w:lang w:val="es-ES_tradnl"/>
              </w:rPr>
              <w:t> </w:t>
            </w:r>
            <w:r w:rsidRPr="0013322A">
              <w:rPr>
                <w:b/>
                <w:bCs/>
                <w:lang w:val="es-ES_tradnl"/>
              </w:rPr>
              <w:t>proyectos de Recomendación UIT-R revisada y su aprobación simultánea por correspondencia de conformidad con el § A2.6.2.4 de la Resolución UIT</w:t>
            </w:r>
            <w:r w:rsidRPr="0013322A">
              <w:rPr>
                <w:b/>
                <w:bCs/>
                <w:lang w:val="es-ES_tradnl"/>
              </w:rPr>
              <w:noBreakHyphen/>
              <w:t>R 1</w:t>
            </w:r>
            <w:r w:rsidRPr="0013322A">
              <w:rPr>
                <w:b/>
                <w:bCs/>
                <w:lang w:val="es-ES_tradnl"/>
              </w:rPr>
              <w:noBreakHyphen/>
              <w:t>8 (Procedimiento para la adopción y aprobación simultánea por correspondencia)</w:t>
            </w:r>
          </w:p>
        </w:tc>
      </w:tr>
      <w:tr w:rsidR="005B1059" w:rsidRPr="00AD223D" w14:paraId="445961ED" w14:textId="77777777" w:rsidTr="00306452">
        <w:trPr>
          <w:jc w:val="center"/>
        </w:trPr>
        <w:tc>
          <w:tcPr>
            <w:tcW w:w="9889" w:type="dxa"/>
            <w:gridSpan w:val="3"/>
            <w:shd w:val="clear" w:color="auto" w:fill="auto"/>
          </w:tcPr>
          <w:p w14:paraId="6A4DC3B2" w14:textId="77777777" w:rsidR="005B1059" w:rsidRPr="0013322A" w:rsidRDefault="005B1059" w:rsidP="00C718BB">
            <w:pPr>
              <w:tabs>
                <w:tab w:val="clear" w:pos="1588"/>
                <w:tab w:val="left" w:pos="1560"/>
              </w:tabs>
              <w:spacing w:before="0" w:line="240" w:lineRule="auto"/>
              <w:jc w:val="left"/>
              <w:rPr>
                <w:szCs w:val="24"/>
                <w:lang w:val="es-ES_tradnl"/>
              </w:rPr>
            </w:pPr>
          </w:p>
        </w:tc>
      </w:tr>
    </w:tbl>
    <w:p w14:paraId="06A64330" w14:textId="739B8159" w:rsidR="005B1059" w:rsidRPr="0013322A" w:rsidRDefault="005B1059" w:rsidP="00193FEC">
      <w:pPr>
        <w:spacing w:before="480" w:line="240" w:lineRule="auto"/>
        <w:rPr>
          <w:lang w:val="es-ES_tradnl"/>
        </w:rPr>
      </w:pPr>
      <w:r w:rsidRPr="0013322A">
        <w:rPr>
          <w:lang w:val="es-ES_tradnl"/>
        </w:rPr>
        <w:t>En la reunión de la Comisión de Estudio 6 de Radiocomunicaciones celebrada el 30 de septiembre de 2022, la Comisión de Estudio decidió solicitar la adopción de 2 proyectos de nueva Recomendación UIT-R y de 6 proyectos de Recomendación UIT-R revisada por correspondencia (§ A2.6.2 de la Resolución UIT</w:t>
      </w:r>
      <w:r w:rsidRPr="0013322A">
        <w:rPr>
          <w:lang w:val="es-ES_tradnl"/>
        </w:rPr>
        <w:noBreakHyphen/>
        <w:t>R 1</w:t>
      </w:r>
      <w:r w:rsidRPr="0013322A">
        <w:rPr>
          <w:lang w:val="es-ES_tradnl"/>
        </w:rPr>
        <w:noBreakHyphen/>
        <w:t>8) y además decidió aplicar el procedimiento de adopción y aprobación simultáneas por correspondencia (PAAS, § A2.6.2.4 de la Resolución UIT</w:t>
      </w:r>
      <w:r w:rsidRPr="0013322A">
        <w:rPr>
          <w:lang w:val="es-ES_tradnl"/>
        </w:rPr>
        <w:noBreakHyphen/>
        <w:t>R 1</w:t>
      </w:r>
      <w:r w:rsidRPr="0013322A">
        <w:rPr>
          <w:lang w:val="es-ES_tradnl"/>
        </w:rPr>
        <w:noBreakHyphen/>
        <w:t>8</w:t>
      </w:r>
      <w:r w:rsidR="00E30A6A" w:rsidRPr="0013322A">
        <w:rPr>
          <w:lang w:val="es-ES_tradnl"/>
        </w:rPr>
        <w:t>)</w:t>
      </w:r>
      <w:r w:rsidRPr="0013322A">
        <w:rPr>
          <w:lang w:val="es-ES_tradnl"/>
        </w:rPr>
        <w:t xml:space="preserve">. Los títulos y resúmenes de los proyectos de Recomendación aparecen en el Anexo a la presente </w:t>
      </w:r>
      <w:r w:rsidR="00193FEC" w:rsidRPr="0013322A">
        <w:rPr>
          <w:lang w:val="es-ES_tradnl"/>
        </w:rPr>
        <w:t>c</w:t>
      </w:r>
      <w:r w:rsidRPr="0013322A">
        <w:rPr>
          <w:lang w:val="es-ES_tradnl"/>
        </w:rPr>
        <w:t xml:space="preserve">arta. </w:t>
      </w:r>
      <w:r w:rsidR="00E614DF" w:rsidRPr="003E36BD">
        <w:rPr>
          <w:lang w:val="es-ES_tradnl"/>
        </w:rPr>
        <w:t>Todo Estado Miembro que formule una objeción contra la adopción de un proyecto de Recomendación debe informar al Director y al Presidente de la Comisión de Estudio de los motivos de dicha objeción.</w:t>
      </w:r>
    </w:p>
    <w:p w14:paraId="336C3D90" w14:textId="6C05CF76" w:rsidR="005B1059" w:rsidRPr="0013322A" w:rsidRDefault="005B1059" w:rsidP="00C718BB">
      <w:pPr>
        <w:spacing w:line="240" w:lineRule="auto"/>
        <w:rPr>
          <w:lang w:val="es-ES_tradnl"/>
        </w:rPr>
      </w:pPr>
      <w:r w:rsidRPr="0013322A">
        <w:rPr>
          <w:lang w:val="es-ES_tradnl"/>
        </w:rPr>
        <w:t xml:space="preserve">El </w:t>
      </w:r>
      <w:r w:rsidR="0045044A" w:rsidRPr="0013322A">
        <w:rPr>
          <w:lang w:val="es-ES_tradnl"/>
        </w:rPr>
        <w:t>per</w:t>
      </w:r>
      <w:r w:rsidR="00193FEC" w:rsidRPr="0013322A">
        <w:rPr>
          <w:lang w:val="es-ES_tradnl"/>
        </w:rPr>
        <w:t>i</w:t>
      </w:r>
      <w:r w:rsidR="0045044A" w:rsidRPr="0013322A">
        <w:rPr>
          <w:lang w:val="es-ES_tradnl"/>
        </w:rPr>
        <w:t>odo</w:t>
      </w:r>
      <w:r w:rsidRPr="0013322A">
        <w:rPr>
          <w:lang w:val="es-ES_tradnl"/>
        </w:rPr>
        <w:t xml:space="preserve"> de consideración se extenderá durante 2 meses finalizando el </w:t>
      </w:r>
      <w:r w:rsidRPr="0013322A">
        <w:rPr>
          <w:u w:val="single"/>
          <w:lang w:val="es-ES_tradnl"/>
        </w:rPr>
        <w:t>1</w:t>
      </w:r>
      <w:r w:rsidR="003E5047">
        <w:rPr>
          <w:u w:val="single"/>
          <w:lang w:val="es-ES_tradnl"/>
        </w:rPr>
        <w:t>9</w:t>
      </w:r>
      <w:r w:rsidRPr="0013322A">
        <w:rPr>
          <w:u w:val="single"/>
          <w:lang w:val="es-ES_tradnl"/>
        </w:rPr>
        <w:t xml:space="preserve"> de diciembre de 2022</w:t>
      </w:r>
      <w:r w:rsidRPr="0013322A">
        <w:rPr>
          <w:lang w:val="es-ES_tradnl"/>
        </w:rPr>
        <w:t xml:space="preserve">. Si durante este </w:t>
      </w:r>
      <w:r w:rsidR="0045044A" w:rsidRPr="0013322A">
        <w:rPr>
          <w:lang w:val="es-ES_tradnl"/>
        </w:rPr>
        <w:t>per</w:t>
      </w:r>
      <w:r w:rsidR="00193FEC" w:rsidRPr="0013322A">
        <w:rPr>
          <w:lang w:val="es-ES_tradnl"/>
        </w:rPr>
        <w:t>i</w:t>
      </w:r>
      <w:r w:rsidR="0045044A" w:rsidRPr="0013322A">
        <w:rPr>
          <w:lang w:val="es-ES_tradnl"/>
        </w:rPr>
        <w:t>odo</w:t>
      </w:r>
      <w:r w:rsidRPr="0013322A">
        <w:rPr>
          <w:lang w:val="es-ES_tradnl"/>
        </w:rPr>
        <w:t xml:space="preserve"> no se reciben objeciones de los Estados Miembros, se considerarán adoptados los proyectos de Recomendación por la Comisión de Estudio 6. Además, dado que se ha seguido el procedimiento de PAAS, los proyectos de Recomendación también se considerarán aprobados.</w:t>
      </w:r>
    </w:p>
    <w:p w14:paraId="5A828ED5" w14:textId="13A97CA3" w:rsidR="005B1059" w:rsidRPr="0013322A" w:rsidRDefault="005B1059" w:rsidP="00C718BB">
      <w:pPr>
        <w:spacing w:line="240" w:lineRule="auto"/>
        <w:rPr>
          <w:lang w:val="es-ES_tradnl"/>
        </w:rPr>
      </w:pPr>
      <w:r w:rsidRPr="0013322A">
        <w:rPr>
          <w:lang w:val="es-ES_tradnl"/>
        </w:rPr>
        <w:t xml:space="preserve">Tras la fecha límite mencionada, los resultados de los procedimientos arriba citados se comunicarán mediante Circular Administrativa y se publicarán las Recomendaciones aprobadas tan pronto como sea posible (véase </w:t>
      </w:r>
      <w:hyperlink r:id="rId8" w:history="1">
        <w:r w:rsidR="006E70E1" w:rsidRPr="0013322A">
          <w:rPr>
            <w:rStyle w:val="Hyperlink"/>
            <w:szCs w:val="24"/>
            <w:lang w:val="es-ES_tradnl"/>
          </w:rPr>
          <w:t>https://www.itu.int/pub/R-REC/es</w:t>
        </w:r>
      </w:hyperlink>
      <w:r w:rsidRPr="0013322A">
        <w:rPr>
          <w:lang w:val="es-ES_tradnl"/>
        </w:rPr>
        <w:t>).</w:t>
      </w:r>
    </w:p>
    <w:p w14:paraId="3CEEFEFC" w14:textId="44AFB2BA" w:rsidR="005B1059" w:rsidRPr="0013322A" w:rsidRDefault="005B1059" w:rsidP="00CB11EC">
      <w:pPr>
        <w:keepNext/>
        <w:keepLines/>
        <w:spacing w:line="240" w:lineRule="auto"/>
        <w:rPr>
          <w:szCs w:val="24"/>
          <w:lang w:val="es-ES_tradnl"/>
        </w:rPr>
      </w:pPr>
      <w:r w:rsidRPr="0013322A">
        <w:rPr>
          <w:szCs w:val="24"/>
          <w:lang w:val="es-ES_tradnl"/>
        </w:rPr>
        <w:lastRenderedPageBreak/>
        <w:t>Se solicita a toda organización miembro de la UIT que tenga conocimiento de una patente, de su propiedad o de propiedad ajena, que cubra total o parcialmente elementos de los proyectos de Recomendación mencionados en esta carta, que comunique dicha información a la Secretaría tan pronto como sea posible. La Política común en materia de patentes para UIT</w:t>
      </w:r>
      <w:r w:rsidRPr="0013322A">
        <w:rPr>
          <w:szCs w:val="24"/>
          <w:lang w:val="es-ES_tradnl"/>
        </w:rPr>
        <w:noBreakHyphen/>
        <w:t>T/UIT</w:t>
      </w:r>
      <w:r w:rsidRPr="0013322A">
        <w:rPr>
          <w:szCs w:val="24"/>
          <w:lang w:val="es-ES_tradnl"/>
        </w:rPr>
        <w:noBreakHyphen/>
        <w:t xml:space="preserve">R/ISO/CEI puede consultarse en </w:t>
      </w:r>
      <w:hyperlink r:id="rId9" w:history="1">
        <w:r w:rsidR="006E70E1" w:rsidRPr="0013322A">
          <w:rPr>
            <w:rStyle w:val="Hyperlink"/>
            <w:szCs w:val="24"/>
            <w:lang w:val="es-ES_tradnl"/>
          </w:rPr>
          <w:t>https://www.itu.int/es/ITU-T/ipr/Pages/policy.aspx</w:t>
        </w:r>
      </w:hyperlink>
      <w:r w:rsidRPr="0013322A">
        <w:rPr>
          <w:szCs w:val="24"/>
          <w:lang w:val="es-ES_tradnl"/>
        </w:rPr>
        <w:t>.</w:t>
      </w:r>
    </w:p>
    <w:p w14:paraId="37B8DBD2" w14:textId="77777777" w:rsidR="005B1059" w:rsidRPr="0013322A" w:rsidRDefault="005B1059" w:rsidP="00E30A6A">
      <w:pPr>
        <w:keepNext/>
        <w:keepLines/>
        <w:spacing w:before="1440" w:after="600" w:line="240" w:lineRule="auto"/>
        <w:jc w:val="left"/>
        <w:rPr>
          <w:szCs w:val="24"/>
          <w:lang w:val="es-ES_tradnl"/>
        </w:rPr>
      </w:pPr>
      <w:r w:rsidRPr="0013322A">
        <w:rPr>
          <w:szCs w:val="24"/>
          <w:lang w:val="es-ES_tradnl"/>
        </w:rPr>
        <w:t>Mario Maniewicz</w:t>
      </w:r>
      <w:r w:rsidRPr="0013322A">
        <w:rPr>
          <w:szCs w:val="24"/>
          <w:lang w:val="es-ES_tradnl"/>
        </w:rPr>
        <w:br/>
        <w:t>Director</w:t>
      </w:r>
    </w:p>
    <w:p w14:paraId="49D5CBB3" w14:textId="77777777" w:rsidR="005B1059" w:rsidRPr="0013322A" w:rsidRDefault="005B1059" w:rsidP="00E30A6A">
      <w:pPr>
        <w:spacing w:before="960" w:after="600" w:line="240" w:lineRule="auto"/>
        <w:jc w:val="left"/>
        <w:rPr>
          <w:szCs w:val="24"/>
          <w:lang w:val="es-ES_tradnl"/>
        </w:rPr>
      </w:pPr>
      <w:r w:rsidRPr="0013322A">
        <w:rPr>
          <w:b/>
          <w:bCs/>
          <w:szCs w:val="24"/>
          <w:lang w:val="es-ES_tradnl"/>
        </w:rPr>
        <w:t>Anexo:</w:t>
      </w:r>
      <w:r w:rsidRPr="0013322A">
        <w:rPr>
          <w:szCs w:val="24"/>
          <w:lang w:val="es-ES_tradnl"/>
        </w:rPr>
        <w:t xml:space="preserve"> </w:t>
      </w:r>
      <w:r w:rsidRPr="0013322A">
        <w:rPr>
          <w:szCs w:val="24"/>
          <w:lang w:val="es-ES_tradnl"/>
        </w:rPr>
        <w:tab/>
        <w:t>Títulos y resúmenes de los proyectos de Recomendación</w:t>
      </w:r>
    </w:p>
    <w:p w14:paraId="29F465A6" w14:textId="77D0EE2B" w:rsidR="005B1059" w:rsidRPr="0013322A" w:rsidRDefault="005B1059" w:rsidP="00E30A6A">
      <w:pPr>
        <w:spacing w:before="960" w:line="240" w:lineRule="auto"/>
        <w:jc w:val="left"/>
        <w:rPr>
          <w:szCs w:val="24"/>
          <w:lang w:val="es-ES_tradnl"/>
        </w:rPr>
      </w:pPr>
      <w:r w:rsidRPr="0013322A">
        <w:rPr>
          <w:b/>
          <w:bCs/>
          <w:szCs w:val="24"/>
          <w:lang w:val="es-ES_tradnl"/>
        </w:rPr>
        <w:t>Documentos:</w:t>
      </w:r>
      <w:r w:rsidRPr="0013322A">
        <w:rPr>
          <w:szCs w:val="24"/>
          <w:lang w:val="es-ES_tradnl"/>
        </w:rPr>
        <w:t xml:space="preserve"> </w:t>
      </w:r>
      <w:r w:rsidRPr="0013322A">
        <w:rPr>
          <w:szCs w:val="24"/>
          <w:lang w:val="es-ES_tradnl"/>
        </w:rPr>
        <w:tab/>
        <w:t xml:space="preserve">Documentos </w:t>
      </w:r>
      <w:hyperlink r:id="rId10" w:history="1">
        <w:r w:rsidRPr="0013322A">
          <w:rPr>
            <w:rStyle w:val="Hyperlink"/>
            <w:szCs w:val="24"/>
            <w:lang w:val="es-ES_tradnl"/>
          </w:rPr>
          <w:t>6/254(Rev.1)</w:t>
        </w:r>
      </w:hyperlink>
      <w:r w:rsidRPr="0013322A">
        <w:rPr>
          <w:szCs w:val="24"/>
          <w:lang w:val="es-ES_tradnl"/>
        </w:rPr>
        <w:t xml:space="preserve">, </w:t>
      </w:r>
      <w:hyperlink r:id="rId11" w:history="1">
        <w:r w:rsidRPr="0013322A">
          <w:rPr>
            <w:rStyle w:val="Hyperlink"/>
            <w:szCs w:val="24"/>
            <w:lang w:val="es-ES_tradnl"/>
          </w:rPr>
          <w:t>6/260</w:t>
        </w:r>
      </w:hyperlink>
      <w:r w:rsidRPr="0013322A">
        <w:rPr>
          <w:szCs w:val="24"/>
          <w:lang w:val="es-ES_tradnl"/>
        </w:rPr>
        <w:t xml:space="preserve">, </w:t>
      </w:r>
      <w:hyperlink r:id="rId12" w:history="1">
        <w:r w:rsidRPr="0013322A">
          <w:rPr>
            <w:rStyle w:val="Hyperlink"/>
            <w:szCs w:val="24"/>
            <w:lang w:val="es-ES_tradnl"/>
          </w:rPr>
          <w:t>6/262</w:t>
        </w:r>
      </w:hyperlink>
      <w:r w:rsidRPr="0013322A">
        <w:rPr>
          <w:szCs w:val="24"/>
          <w:lang w:val="es-ES_tradnl"/>
        </w:rPr>
        <w:t xml:space="preserve">, </w:t>
      </w:r>
      <w:hyperlink r:id="rId13" w:history="1">
        <w:r w:rsidRPr="0013322A">
          <w:rPr>
            <w:rStyle w:val="Hyperlink"/>
            <w:szCs w:val="24"/>
            <w:lang w:val="es-ES_tradnl"/>
          </w:rPr>
          <w:t>6/264</w:t>
        </w:r>
      </w:hyperlink>
      <w:r w:rsidRPr="0013322A">
        <w:rPr>
          <w:szCs w:val="24"/>
          <w:lang w:val="es-ES_tradnl"/>
        </w:rPr>
        <w:t xml:space="preserve">, </w:t>
      </w:r>
      <w:hyperlink r:id="rId14" w:history="1">
        <w:r w:rsidRPr="0013322A">
          <w:rPr>
            <w:rStyle w:val="Hyperlink"/>
            <w:szCs w:val="24"/>
            <w:lang w:val="es-ES_tradnl"/>
          </w:rPr>
          <w:t>6/265</w:t>
        </w:r>
      </w:hyperlink>
      <w:r w:rsidRPr="0013322A">
        <w:rPr>
          <w:szCs w:val="24"/>
          <w:lang w:val="es-ES_tradnl"/>
        </w:rPr>
        <w:t xml:space="preserve">, </w:t>
      </w:r>
      <w:hyperlink r:id="rId15" w:history="1">
        <w:r w:rsidRPr="0013322A">
          <w:rPr>
            <w:rStyle w:val="Hyperlink"/>
            <w:szCs w:val="24"/>
            <w:lang w:val="es-ES_tradnl"/>
          </w:rPr>
          <w:t>6/270</w:t>
        </w:r>
      </w:hyperlink>
      <w:r w:rsidRPr="0013322A">
        <w:rPr>
          <w:szCs w:val="24"/>
          <w:lang w:val="es-ES_tradnl"/>
        </w:rPr>
        <w:t xml:space="preserve">, </w:t>
      </w:r>
      <w:hyperlink r:id="rId16" w:history="1">
        <w:r w:rsidRPr="0013322A">
          <w:rPr>
            <w:rStyle w:val="Hyperlink"/>
            <w:szCs w:val="24"/>
            <w:lang w:val="es-ES_tradnl"/>
          </w:rPr>
          <w:t>6/275</w:t>
        </w:r>
      </w:hyperlink>
      <w:r w:rsidRPr="0013322A">
        <w:rPr>
          <w:szCs w:val="24"/>
          <w:lang w:val="es-ES_tradnl"/>
        </w:rPr>
        <w:t xml:space="preserve">, </w:t>
      </w:r>
      <w:hyperlink r:id="rId17" w:history="1">
        <w:r w:rsidRPr="0013322A">
          <w:rPr>
            <w:rStyle w:val="Hyperlink"/>
            <w:szCs w:val="24"/>
            <w:lang w:val="es-ES_tradnl"/>
          </w:rPr>
          <w:t>6/276</w:t>
        </w:r>
      </w:hyperlink>
    </w:p>
    <w:p w14:paraId="1FEC600E" w14:textId="0D35FA87" w:rsidR="005B1059" w:rsidRPr="0013322A" w:rsidRDefault="005B1059" w:rsidP="00E30A6A">
      <w:pPr>
        <w:spacing w:before="240" w:line="240" w:lineRule="auto"/>
        <w:jc w:val="left"/>
        <w:rPr>
          <w:szCs w:val="24"/>
          <w:u w:val="single"/>
          <w:lang w:val="es-ES_tradnl"/>
        </w:rPr>
      </w:pPr>
      <w:r w:rsidRPr="0013322A">
        <w:rPr>
          <w:szCs w:val="24"/>
          <w:lang w:val="es-ES_tradnl"/>
        </w:rPr>
        <w:t xml:space="preserve">Dichos documentos están disponibles en formato electrónico en la dirección: </w:t>
      </w:r>
      <w:hyperlink r:id="rId18" w:history="1">
        <w:r w:rsidR="006E70E1" w:rsidRPr="0013322A">
          <w:rPr>
            <w:rStyle w:val="Hyperlink"/>
            <w:szCs w:val="24"/>
            <w:lang w:val="es-ES_tradnl"/>
          </w:rPr>
          <w:t>https://www.itu.int/md/R19-SG06-C/es</w:t>
        </w:r>
      </w:hyperlink>
    </w:p>
    <w:p w14:paraId="4A2DCF41" w14:textId="77777777" w:rsidR="005B1059" w:rsidRPr="0013322A" w:rsidRDefault="005B1059" w:rsidP="00C718BB">
      <w:pPr>
        <w:spacing w:line="240" w:lineRule="auto"/>
        <w:rPr>
          <w:szCs w:val="24"/>
          <w:lang w:val="es-ES_tradnl"/>
        </w:rPr>
      </w:pPr>
    </w:p>
    <w:p w14:paraId="44F79C5B" w14:textId="5A74C61B" w:rsidR="00E53DCE" w:rsidRPr="0013322A" w:rsidRDefault="005B1059" w:rsidP="00C718BB">
      <w:pPr>
        <w:spacing w:line="240" w:lineRule="auto"/>
        <w:rPr>
          <w:szCs w:val="24"/>
          <w:lang w:val="es-ES_tradnl"/>
        </w:rPr>
      </w:pPr>
      <w:r w:rsidRPr="0013322A">
        <w:rPr>
          <w:szCs w:val="24"/>
          <w:lang w:val="es-ES_tradnl"/>
        </w:rPr>
        <w:br w:type="page"/>
      </w:r>
    </w:p>
    <w:p w14:paraId="6C64D4FF" w14:textId="65A2EE1B" w:rsidR="005512A4" w:rsidRPr="0013322A" w:rsidRDefault="005512A4" w:rsidP="00C718BB">
      <w:pPr>
        <w:pStyle w:val="AnnexNoTitle"/>
        <w:spacing w:line="240" w:lineRule="auto"/>
        <w:rPr>
          <w:sz w:val="28"/>
          <w:szCs w:val="28"/>
          <w:lang w:val="es-ES_tradnl"/>
        </w:rPr>
      </w:pPr>
      <w:r w:rsidRPr="0013322A">
        <w:rPr>
          <w:sz w:val="28"/>
          <w:szCs w:val="28"/>
          <w:lang w:val="es-ES_tradnl"/>
        </w:rPr>
        <w:lastRenderedPageBreak/>
        <w:t>Anexo</w:t>
      </w:r>
      <w:r w:rsidR="009D16A6" w:rsidRPr="0013322A">
        <w:rPr>
          <w:sz w:val="28"/>
          <w:szCs w:val="28"/>
          <w:lang w:val="es-ES_tradnl"/>
        </w:rPr>
        <w:br/>
      </w:r>
      <w:r w:rsidR="00C718BB" w:rsidRPr="0013322A">
        <w:rPr>
          <w:sz w:val="28"/>
          <w:szCs w:val="28"/>
          <w:lang w:val="es-ES_tradnl"/>
        </w:rPr>
        <w:br/>
      </w:r>
      <w:r w:rsidRPr="0013322A">
        <w:rPr>
          <w:sz w:val="28"/>
          <w:szCs w:val="28"/>
          <w:lang w:val="es-ES_tradnl"/>
        </w:rPr>
        <w:t>Títulos y resúmenes de los proyectos de Recomendación UIT-R</w:t>
      </w:r>
    </w:p>
    <w:p w14:paraId="608B62CD" w14:textId="691BD917" w:rsidR="005512A4" w:rsidRPr="0013322A" w:rsidRDefault="00DA3472" w:rsidP="00E30A6A">
      <w:pPr>
        <w:tabs>
          <w:tab w:val="left" w:pos="8505"/>
        </w:tabs>
        <w:spacing w:before="600" w:line="240" w:lineRule="auto"/>
        <w:jc w:val="left"/>
        <w:rPr>
          <w:rFonts w:asciiTheme="minorHAnsi" w:hAnsiTheme="minorHAnsi" w:cstheme="minorHAnsi"/>
          <w:szCs w:val="24"/>
          <w:lang w:val="es-ES_tradnl"/>
        </w:rPr>
      </w:pPr>
      <w:r w:rsidRPr="0013322A">
        <w:rPr>
          <w:rFonts w:asciiTheme="minorHAnsi" w:hAnsiTheme="minorHAnsi" w:cstheme="minorHAnsi"/>
          <w:szCs w:val="24"/>
          <w:u w:val="single"/>
          <w:lang w:val="es-ES_tradnl"/>
        </w:rPr>
        <w:t>Proyecto de nueva Recomendación UIT</w:t>
      </w:r>
      <w:r w:rsidR="005512A4" w:rsidRPr="0013322A">
        <w:rPr>
          <w:rFonts w:asciiTheme="minorHAnsi" w:hAnsiTheme="minorHAnsi" w:cstheme="minorHAnsi"/>
          <w:szCs w:val="24"/>
          <w:u w:val="single"/>
          <w:lang w:val="es-ES_tradnl"/>
        </w:rPr>
        <w:t>-R BT.[CCGP]</w:t>
      </w:r>
      <w:r w:rsidR="005512A4" w:rsidRPr="0013322A">
        <w:rPr>
          <w:rFonts w:asciiTheme="minorHAnsi" w:hAnsiTheme="minorHAnsi" w:cstheme="minorHAnsi"/>
          <w:szCs w:val="24"/>
          <w:lang w:val="es-ES_tradnl"/>
        </w:rPr>
        <w:tab/>
      </w:r>
      <w:bookmarkStart w:id="0" w:name="lt_pId046"/>
      <w:r w:rsidR="005512A4" w:rsidRPr="0013322A">
        <w:rPr>
          <w:rFonts w:asciiTheme="minorHAnsi" w:hAnsiTheme="minorHAnsi" w:cstheme="minorHAnsi"/>
          <w:szCs w:val="24"/>
          <w:lang w:val="es-ES_tradnl"/>
        </w:rPr>
        <w:t>Doc. 6/270</w:t>
      </w:r>
      <w:bookmarkEnd w:id="0"/>
    </w:p>
    <w:p w14:paraId="5E5A3A3F" w14:textId="3727524A" w:rsidR="005512A4" w:rsidRPr="0013322A" w:rsidRDefault="00907147" w:rsidP="00C718BB">
      <w:pPr>
        <w:pStyle w:val="Rectitle"/>
        <w:rPr>
          <w:lang w:val="es-ES_tradnl"/>
        </w:rPr>
      </w:pPr>
      <w:bookmarkStart w:id="1" w:name="lt_pId047"/>
      <w:r w:rsidRPr="0013322A">
        <w:rPr>
          <w:lang w:val="es-ES_tradnl"/>
        </w:rPr>
        <w:t>Utilización de los flujos de trabajo por componentes en</w:t>
      </w:r>
      <w:r w:rsidR="00C718BB" w:rsidRPr="0013322A">
        <w:rPr>
          <w:lang w:val="es-ES_tradnl"/>
        </w:rPr>
        <w:br/>
      </w:r>
      <w:r w:rsidRPr="0013322A">
        <w:rPr>
          <w:lang w:val="es-ES_tradnl"/>
        </w:rPr>
        <w:t>el intercambio de programas de televisión en diferido</w:t>
      </w:r>
      <w:bookmarkEnd w:id="1"/>
    </w:p>
    <w:p w14:paraId="22159155" w14:textId="158BB799" w:rsidR="003F4BD8" w:rsidRPr="0013322A" w:rsidRDefault="00907147" w:rsidP="00EA6E36">
      <w:pPr>
        <w:pStyle w:val="Normalaftertitle"/>
        <w:spacing w:before="240" w:line="240" w:lineRule="auto"/>
        <w:rPr>
          <w:lang w:val="es-ES_tradnl"/>
        </w:rPr>
      </w:pPr>
      <w:r w:rsidRPr="0013322A">
        <w:rPr>
          <w:szCs w:val="24"/>
          <w:lang w:val="es-ES_tradnl"/>
        </w:rPr>
        <w:t>En el Informe UIT</w:t>
      </w:r>
      <w:r w:rsidR="005512A4" w:rsidRPr="0013322A">
        <w:rPr>
          <w:szCs w:val="24"/>
          <w:lang w:val="es-ES_tradnl"/>
        </w:rPr>
        <w:t>-R BT.2400</w:t>
      </w:r>
      <w:r w:rsidR="003F4BD8" w:rsidRPr="0013322A">
        <w:rPr>
          <w:szCs w:val="24"/>
          <w:lang w:val="es-ES_tradnl"/>
        </w:rPr>
        <w:t xml:space="preserve"> </w:t>
      </w:r>
      <w:r w:rsidR="003F4BD8" w:rsidRPr="0013322A">
        <w:rPr>
          <w:i/>
          <w:iCs/>
          <w:lang w:val="es-ES_tradnl"/>
        </w:rPr>
        <w:t>Hipótesis de utilización, requisitos y elementos técnicos de una plataforma mundial para el servicio de radiodifusión</w:t>
      </w:r>
      <w:r w:rsidR="003F4BD8" w:rsidRPr="0013322A">
        <w:rPr>
          <w:lang w:val="es-ES_tradnl"/>
        </w:rPr>
        <w:t xml:space="preserve"> </w:t>
      </w:r>
      <w:r w:rsidRPr="0013322A">
        <w:rPr>
          <w:lang w:val="es-ES_tradnl"/>
        </w:rPr>
        <w:t xml:space="preserve">se afirma que los radiodifusores están produciendo una gran cantidad de contenido y servicios con fines de distribución, no </w:t>
      </w:r>
      <w:r w:rsidR="0045044A" w:rsidRPr="0013322A">
        <w:rPr>
          <w:lang w:val="es-ES_tradnl"/>
        </w:rPr>
        <w:t>sólo</w:t>
      </w:r>
      <w:r w:rsidRPr="0013322A">
        <w:rPr>
          <w:lang w:val="es-ES_tradnl"/>
        </w:rPr>
        <w:t xml:space="preserve"> como programación lineal de radio y televisión tradicional sino también como contenido </w:t>
      </w:r>
      <w:r w:rsidR="00012ED2" w:rsidRPr="0013322A">
        <w:rPr>
          <w:lang w:val="es-ES_tradnl"/>
        </w:rPr>
        <w:t>híbrido a la carta en diferido y servicios de datos</w:t>
      </w:r>
      <w:r w:rsidR="003F4BD8" w:rsidRPr="0013322A">
        <w:rPr>
          <w:lang w:val="es-ES_tradnl"/>
        </w:rPr>
        <w:t>.</w:t>
      </w:r>
    </w:p>
    <w:p w14:paraId="30752DFD" w14:textId="5CC442A6" w:rsidR="003F4BD8" w:rsidRPr="0013322A" w:rsidRDefault="00012ED2" w:rsidP="00C718BB">
      <w:pPr>
        <w:rPr>
          <w:lang w:val="es-ES_tradnl"/>
        </w:rPr>
      </w:pPr>
      <w:bookmarkStart w:id="2" w:name="lt_pId050"/>
      <w:r w:rsidRPr="0013322A">
        <w:rPr>
          <w:lang w:val="es-ES_tradnl"/>
        </w:rPr>
        <w:t>Para aprovechar plenamente las opciones que ofrece una plataforma mundial, es preciso crear medios más fl</w:t>
      </w:r>
      <w:r w:rsidR="001C65D0" w:rsidRPr="0013322A">
        <w:rPr>
          <w:lang w:val="es-ES_tradnl"/>
        </w:rPr>
        <w:t>e</w:t>
      </w:r>
      <w:r w:rsidRPr="0013322A">
        <w:rPr>
          <w:lang w:val="es-ES_tradnl"/>
        </w:rPr>
        <w:t>xibles. El procesamiento de contenido por componentes ofrece la amplia variedad de versiones u opciones localizadas que requeriría la plataforma mundial para el intercambio y la transmisión de contenido local e internacional</w:t>
      </w:r>
      <w:bookmarkStart w:id="3" w:name="lt_pId051"/>
      <w:bookmarkEnd w:id="2"/>
      <w:r w:rsidR="003F4BD8" w:rsidRPr="0013322A">
        <w:rPr>
          <w:lang w:val="es-ES_tradnl"/>
        </w:rPr>
        <w:t>.</w:t>
      </w:r>
      <w:bookmarkEnd w:id="3"/>
    </w:p>
    <w:p w14:paraId="545FC5A4" w14:textId="4E0D45DA" w:rsidR="002317AD" w:rsidRPr="0013322A" w:rsidRDefault="00012ED2" w:rsidP="00C718BB">
      <w:pPr>
        <w:rPr>
          <w:szCs w:val="24"/>
          <w:lang w:val="es-ES_tradnl"/>
        </w:rPr>
      </w:pPr>
      <w:r w:rsidRPr="0013322A">
        <w:rPr>
          <w:lang w:val="es-ES_tradnl"/>
        </w:rPr>
        <w:t>E</w:t>
      </w:r>
      <w:r w:rsidR="00B07B47" w:rsidRPr="0013322A">
        <w:rPr>
          <w:lang w:val="es-ES_tradnl"/>
        </w:rPr>
        <w:t>n e</w:t>
      </w:r>
      <w:r w:rsidRPr="0013322A">
        <w:rPr>
          <w:lang w:val="es-ES_tradnl"/>
        </w:rPr>
        <w:t xml:space="preserve">l </w:t>
      </w:r>
      <w:r w:rsidR="00B07B47" w:rsidRPr="0013322A">
        <w:rPr>
          <w:lang w:val="es-ES_tradnl"/>
        </w:rPr>
        <w:t>p</w:t>
      </w:r>
      <w:r w:rsidRPr="0013322A">
        <w:rPr>
          <w:lang w:val="es-ES_tradnl"/>
        </w:rPr>
        <w:t>royecto de nueva Recomendación UIT</w:t>
      </w:r>
      <w:r w:rsidR="003F4BD8" w:rsidRPr="0013322A">
        <w:rPr>
          <w:lang w:val="es-ES_tradnl"/>
        </w:rPr>
        <w:t>-R BT.[CCGP]</w:t>
      </w:r>
      <w:r w:rsidRPr="0013322A">
        <w:rPr>
          <w:lang w:val="es-ES_tradnl"/>
        </w:rPr>
        <w:t xml:space="preserve">, </w:t>
      </w:r>
      <w:r w:rsidRPr="0013322A">
        <w:rPr>
          <w:i/>
          <w:lang w:val="es-ES_tradnl"/>
        </w:rPr>
        <w:t>Utilización de los flujos de trabajo por component</w:t>
      </w:r>
      <w:r w:rsidR="001C65D0" w:rsidRPr="0013322A">
        <w:rPr>
          <w:i/>
          <w:lang w:val="es-ES_tradnl"/>
        </w:rPr>
        <w:t>e</w:t>
      </w:r>
      <w:r w:rsidRPr="0013322A">
        <w:rPr>
          <w:i/>
          <w:lang w:val="es-ES_tradnl"/>
        </w:rPr>
        <w:t>s en el interca</w:t>
      </w:r>
      <w:r w:rsidR="001C65D0" w:rsidRPr="0013322A">
        <w:rPr>
          <w:i/>
          <w:lang w:val="es-ES_tradnl"/>
        </w:rPr>
        <w:t>m</w:t>
      </w:r>
      <w:r w:rsidRPr="0013322A">
        <w:rPr>
          <w:i/>
          <w:lang w:val="es-ES_tradnl"/>
        </w:rPr>
        <w:t xml:space="preserve">bio de programas de </w:t>
      </w:r>
      <w:r w:rsidR="001C65D0" w:rsidRPr="0013322A">
        <w:rPr>
          <w:i/>
          <w:lang w:val="es-ES_tradnl"/>
        </w:rPr>
        <w:t>televisió</w:t>
      </w:r>
      <w:r w:rsidRPr="0013322A">
        <w:rPr>
          <w:i/>
          <w:lang w:val="es-ES_tradnl"/>
        </w:rPr>
        <w:t>n en diferido</w:t>
      </w:r>
      <w:r w:rsidRPr="0013322A">
        <w:rPr>
          <w:lang w:val="es-ES_tradnl"/>
        </w:rPr>
        <w:t xml:space="preserve">, se describen las reglas de parámetros de los flujos de trabajo por componentes, </w:t>
      </w:r>
      <w:r w:rsidR="00B07B47" w:rsidRPr="0013322A">
        <w:rPr>
          <w:lang w:val="es-ES_tradnl"/>
        </w:rPr>
        <w:t xml:space="preserve">y se ofrece </w:t>
      </w:r>
      <w:r w:rsidRPr="0013322A">
        <w:rPr>
          <w:lang w:val="es-ES_tradnl"/>
        </w:rPr>
        <w:t xml:space="preserve">además un ejemplo informativo de aplicación </w:t>
      </w:r>
      <w:r w:rsidR="001C65D0" w:rsidRPr="0013322A">
        <w:rPr>
          <w:lang w:val="es-ES_tradnl"/>
        </w:rPr>
        <w:t>para el intercambio de programas de televisión en diferido</w:t>
      </w:r>
      <w:r w:rsidR="002317AD" w:rsidRPr="0013322A">
        <w:rPr>
          <w:szCs w:val="24"/>
          <w:lang w:val="es-ES_tradnl"/>
        </w:rPr>
        <w:t>.</w:t>
      </w:r>
    </w:p>
    <w:p w14:paraId="792E0741" w14:textId="366792C0" w:rsidR="002317AD" w:rsidRPr="0013322A" w:rsidRDefault="00DA3472" w:rsidP="00EA6E36">
      <w:pPr>
        <w:tabs>
          <w:tab w:val="clear" w:pos="1985"/>
          <w:tab w:val="left" w:pos="8505"/>
        </w:tabs>
        <w:spacing w:before="480"/>
        <w:rPr>
          <w:szCs w:val="24"/>
          <w:lang w:val="es-ES_tradnl"/>
        </w:rPr>
      </w:pPr>
      <w:bookmarkStart w:id="4" w:name="lt_pId053"/>
      <w:r w:rsidRPr="0013322A">
        <w:rPr>
          <w:szCs w:val="24"/>
          <w:u w:val="single"/>
          <w:lang w:val="es-ES_tradnl"/>
        </w:rPr>
        <w:t>Proyecto de nueva Recomendación UIT</w:t>
      </w:r>
      <w:r w:rsidR="002317AD" w:rsidRPr="0013322A">
        <w:rPr>
          <w:szCs w:val="24"/>
          <w:u w:val="single"/>
          <w:lang w:val="es-ES_tradnl"/>
        </w:rPr>
        <w:t>-R BT.[ARCH4IMMERSIVE]</w:t>
      </w:r>
      <w:bookmarkEnd w:id="4"/>
      <w:r w:rsidR="002317AD" w:rsidRPr="0013322A">
        <w:rPr>
          <w:szCs w:val="24"/>
          <w:lang w:val="es-ES_tradnl"/>
        </w:rPr>
        <w:tab/>
      </w:r>
      <w:bookmarkStart w:id="5" w:name="lt_pId054"/>
      <w:r w:rsidR="002317AD" w:rsidRPr="0013322A">
        <w:rPr>
          <w:szCs w:val="24"/>
          <w:lang w:val="es-ES_tradnl"/>
        </w:rPr>
        <w:t>Doc. 6/276</w:t>
      </w:r>
      <w:bookmarkEnd w:id="5"/>
    </w:p>
    <w:p w14:paraId="3A2F0EAF" w14:textId="26B95B65" w:rsidR="002317AD" w:rsidRPr="0013322A" w:rsidRDefault="002317AD" w:rsidP="00C718BB">
      <w:pPr>
        <w:pStyle w:val="Rectitle"/>
        <w:rPr>
          <w:rFonts w:asciiTheme="minorHAnsi" w:hAnsiTheme="minorHAnsi" w:cstheme="minorHAnsi"/>
          <w:szCs w:val="24"/>
          <w:lang w:val="es-ES_tradnl"/>
        </w:rPr>
      </w:pPr>
      <w:r w:rsidRPr="0013322A">
        <w:rPr>
          <w:rFonts w:asciiTheme="minorHAnsi" w:hAnsiTheme="minorHAnsi" w:cstheme="minorHAnsi"/>
          <w:szCs w:val="24"/>
          <w:lang w:val="es-ES_tradnl"/>
        </w:rPr>
        <w:t>Arquitectura de sistema de alto nivel para la presentación de vídeo</w:t>
      </w:r>
      <w:r w:rsidR="00C718BB" w:rsidRPr="0013322A">
        <w:rPr>
          <w:rFonts w:asciiTheme="minorHAnsi" w:hAnsiTheme="minorHAnsi" w:cstheme="minorHAnsi"/>
          <w:szCs w:val="24"/>
          <w:lang w:val="es-ES_tradnl"/>
        </w:rPr>
        <w:br/>
      </w:r>
      <w:r w:rsidRPr="0013322A">
        <w:rPr>
          <w:rFonts w:asciiTheme="minorHAnsi" w:hAnsiTheme="minorHAnsi" w:cstheme="minorHAnsi"/>
          <w:szCs w:val="24"/>
          <w:lang w:val="es-ES_tradnl"/>
        </w:rPr>
        <w:t xml:space="preserve">inmersivo en </w:t>
      </w:r>
      <w:r w:rsidRPr="0013322A">
        <w:rPr>
          <w:lang w:val="es-ES_tradnl"/>
        </w:rPr>
        <w:t>diversos</w:t>
      </w:r>
      <w:r w:rsidRPr="0013322A">
        <w:rPr>
          <w:rFonts w:asciiTheme="minorHAnsi" w:hAnsiTheme="minorHAnsi" w:cstheme="minorHAnsi"/>
          <w:szCs w:val="24"/>
          <w:lang w:val="es-ES_tradnl"/>
        </w:rPr>
        <w:t xml:space="preserve"> </w:t>
      </w:r>
      <w:r w:rsidRPr="0013322A">
        <w:rPr>
          <w:lang w:val="es-ES_tradnl"/>
        </w:rPr>
        <w:t>tipos</w:t>
      </w:r>
      <w:r w:rsidRPr="0013322A">
        <w:rPr>
          <w:rFonts w:asciiTheme="minorHAnsi" w:hAnsiTheme="minorHAnsi" w:cstheme="minorHAnsi"/>
          <w:szCs w:val="24"/>
          <w:lang w:val="es-ES_tradnl"/>
        </w:rPr>
        <w:t xml:space="preserve"> de </w:t>
      </w:r>
      <w:r w:rsidRPr="0013322A">
        <w:rPr>
          <w:lang w:val="es-ES_tradnl"/>
        </w:rPr>
        <w:t>dispositivos</w:t>
      </w:r>
      <w:r w:rsidRPr="0013322A">
        <w:rPr>
          <w:rFonts w:asciiTheme="minorHAnsi" w:hAnsiTheme="minorHAnsi" w:cstheme="minorHAnsi"/>
          <w:szCs w:val="24"/>
          <w:lang w:val="es-ES_tradnl"/>
        </w:rPr>
        <w:t xml:space="preserve"> de visualización</w:t>
      </w:r>
    </w:p>
    <w:p w14:paraId="12DEC0B6" w14:textId="7DD3AF88" w:rsidR="002317AD" w:rsidRPr="0013322A" w:rsidRDefault="006F04CA" w:rsidP="00EA6E36">
      <w:pPr>
        <w:pStyle w:val="Normalaftertitle"/>
        <w:spacing w:before="240" w:line="240" w:lineRule="auto"/>
        <w:rPr>
          <w:lang w:val="es-ES_tradnl"/>
        </w:rPr>
      </w:pPr>
      <w:bookmarkStart w:id="6" w:name="lt_pId057"/>
      <w:r w:rsidRPr="0013322A">
        <w:rPr>
          <w:lang w:val="es-ES_tradnl"/>
        </w:rPr>
        <w:t>E</w:t>
      </w:r>
      <w:r w:rsidR="00B07B47" w:rsidRPr="0013322A">
        <w:rPr>
          <w:lang w:val="es-ES_tradnl"/>
        </w:rPr>
        <w:t>n</w:t>
      </w:r>
      <w:r w:rsidRPr="0013322A">
        <w:rPr>
          <w:lang w:val="es-ES_tradnl"/>
        </w:rPr>
        <w:t xml:space="preserve"> esta Recomendación se </w:t>
      </w:r>
      <w:r w:rsidR="00B07B47" w:rsidRPr="0013322A">
        <w:rPr>
          <w:lang w:val="es-ES_tradnl"/>
        </w:rPr>
        <w:t>expone</w:t>
      </w:r>
      <w:r w:rsidRPr="0013322A">
        <w:rPr>
          <w:lang w:val="es-ES_tradnl"/>
        </w:rPr>
        <w:t xml:space="preserve"> una arquitectura de sistema de alto nivel para la presentación de vídeo inmersivo con miras a su visualización en distintos tipos de dispositivos</w:t>
      </w:r>
      <w:r w:rsidR="002317AD" w:rsidRPr="0013322A">
        <w:rPr>
          <w:lang w:val="es-ES_tradnl"/>
        </w:rPr>
        <w:t>.</w:t>
      </w:r>
      <w:bookmarkEnd w:id="6"/>
    </w:p>
    <w:p w14:paraId="4FDE0125" w14:textId="0E7EEE18" w:rsidR="002317AD" w:rsidRPr="0013322A" w:rsidRDefault="006F04CA" w:rsidP="00C718BB">
      <w:pPr>
        <w:rPr>
          <w:lang w:val="es-ES_tradnl"/>
        </w:rPr>
      </w:pPr>
      <w:bookmarkStart w:id="7" w:name="lt_pId058"/>
      <w:r w:rsidRPr="0013322A">
        <w:rPr>
          <w:lang w:val="es-ES_tradnl"/>
        </w:rPr>
        <w:t>El v</w:t>
      </w:r>
      <w:r w:rsidR="00FB795C" w:rsidRPr="0013322A">
        <w:rPr>
          <w:lang w:val="es-ES_tradnl"/>
        </w:rPr>
        <w:t>í</w:t>
      </w:r>
      <w:r w:rsidRPr="0013322A">
        <w:rPr>
          <w:lang w:val="es-ES_tradnl"/>
        </w:rPr>
        <w:t>deo inmersivo permite al</w:t>
      </w:r>
      <w:r w:rsidR="00FB795C" w:rsidRPr="0013322A">
        <w:rPr>
          <w:lang w:val="es-ES_tradnl"/>
        </w:rPr>
        <w:t xml:space="preserve"> usuario</w:t>
      </w:r>
      <w:r w:rsidRPr="0013322A">
        <w:rPr>
          <w:lang w:val="es-ES_tradnl"/>
        </w:rPr>
        <w:t xml:space="preserve"> desplazarse por un espacio de </w:t>
      </w:r>
      <w:r w:rsidR="00FB795C" w:rsidRPr="0013322A">
        <w:rPr>
          <w:lang w:val="es-ES_tradnl"/>
        </w:rPr>
        <w:t xml:space="preserve">vídeo </w:t>
      </w:r>
      <w:r w:rsidRPr="0013322A">
        <w:rPr>
          <w:lang w:val="es-ES_tradnl"/>
        </w:rPr>
        <w:t>y visualiz</w:t>
      </w:r>
      <w:r w:rsidR="00FB795C" w:rsidRPr="0013322A">
        <w:rPr>
          <w:lang w:val="es-ES_tradnl"/>
        </w:rPr>
        <w:t>a</w:t>
      </w:r>
      <w:r w:rsidRPr="0013322A">
        <w:rPr>
          <w:lang w:val="es-ES_tradnl"/>
        </w:rPr>
        <w:t xml:space="preserve">r vídeos </w:t>
      </w:r>
      <w:r w:rsidRPr="0013322A">
        <w:rPr>
          <w:color w:val="000000"/>
          <w:lang w:val="es-ES_tradnl"/>
        </w:rPr>
        <w:t xml:space="preserve">de forma omnidireccional desde puntos de vista gratuitos para </w:t>
      </w:r>
      <w:r w:rsidR="00FB795C" w:rsidRPr="0013322A">
        <w:rPr>
          <w:color w:val="000000"/>
          <w:lang w:val="es-ES_tradnl"/>
        </w:rPr>
        <w:t>que parezca que se encuentr</w:t>
      </w:r>
      <w:r w:rsidR="005014F4" w:rsidRPr="0013322A">
        <w:rPr>
          <w:color w:val="000000"/>
          <w:lang w:val="es-ES_tradnl"/>
        </w:rPr>
        <w:t>e</w:t>
      </w:r>
      <w:r w:rsidR="00FB795C" w:rsidRPr="0013322A">
        <w:rPr>
          <w:color w:val="000000"/>
          <w:lang w:val="es-ES_tradnl"/>
        </w:rPr>
        <w:t xml:space="preserve"> en ese espacio</w:t>
      </w:r>
      <w:r w:rsidR="002317AD" w:rsidRPr="0013322A">
        <w:rPr>
          <w:lang w:val="es-ES_tradnl"/>
        </w:rPr>
        <w:t>.</w:t>
      </w:r>
      <w:bookmarkEnd w:id="7"/>
      <w:r w:rsidR="002317AD" w:rsidRPr="0013322A">
        <w:rPr>
          <w:lang w:val="es-ES_tradnl"/>
        </w:rPr>
        <w:t xml:space="preserve"> </w:t>
      </w:r>
      <w:bookmarkStart w:id="8" w:name="lt_pId059"/>
      <w:r w:rsidR="00FB795C" w:rsidRPr="0013322A">
        <w:rPr>
          <w:lang w:val="es-ES_tradnl"/>
        </w:rPr>
        <w:t>El vídeo inmersivo con seis grados de libertad</w:t>
      </w:r>
      <w:r w:rsidR="002317AD" w:rsidRPr="0013322A">
        <w:rPr>
          <w:lang w:val="es-ES_tradnl"/>
        </w:rPr>
        <w:t xml:space="preserve">, </w:t>
      </w:r>
      <w:r w:rsidR="00FB795C" w:rsidRPr="0013322A">
        <w:rPr>
          <w:lang w:val="es-ES_tradnl"/>
        </w:rPr>
        <w:t xml:space="preserve">que posibilitan el movimiento libre de los usuarios por contenido de realidad virtual en </w:t>
      </w:r>
      <w:r w:rsidR="002317AD" w:rsidRPr="0013322A">
        <w:rPr>
          <w:lang w:val="es-ES_tradnl"/>
        </w:rPr>
        <w:t xml:space="preserve">3D </w:t>
      </w:r>
      <w:r w:rsidR="00FB795C" w:rsidRPr="0013322A">
        <w:rPr>
          <w:lang w:val="es-ES_tradnl"/>
        </w:rPr>
        <w:t xml:space="preserve">o por contenido a </w:t>
      </w:r>
      <w:r w:rsidR="002317AD" w:rsidRPr="0013322A">
        <w:rPr>
          <w:lang w:val="es-ES_tradnl"/>
        </w:rPr>
        <w:t>360</w:t>
      </w:r>
      <w:r w:rsidR="00FB795C" w:rsidRPr="0013322A">
        <w:rPr>
          <w:lang w:val="es-ES_tradnl"/>
        </w:rPr>
        <w:t xml:space="preserve"> grados, requiere un mecanismo distinto de la distribución y presentación convencionales del vídeo rectangular en dos dimensiones</w:t>
      </w:r>
      <w:r w:rsidR="002317AD" w:rsidRPr="0013322A">
        <w:rPr>
          <w:lang w:val="es-ES_tradnl"/>
        </w:rPr>
        <w:t>.</w:t>
      </w:r>
      <w:bookmarkEnd w:id="8"/>
      <w:r w:rsidR="002317AD" w:rsidRPr="0013322A">
        <w:rPr>
          <w:lang w:val="es-ES_tradnl"/>
        </w:rPr>
        <w:t xml:space="preserve"> </w:t>
      </w:r>
      <w:bookmarkStart w:id="9" w:name="lt_pId060"/>
      <w:r w:rsidR="00FB795C" w:rsidRPr="0013322A">
        <w:rPr>
          <w:lang w:val="es-ES_tradnl"/>
        </w:rPr>
        <w:t xml:space="preserve">Además, en el </w:t>
      </w:r>
      <w:r w:rsidR="000F08AF" w:rsidRPr="0013322A">
        <w:rPr>
          <w:lang w:val="es-ES_tradnl"/>
        </w:rPr>
        <w:t xml:space="preserve">vídeo </w:t>
      </w:r>
      <w:r w:rsidR="00FB795C" w:rsidRPr="0013322A">
        <w:rPr>
          <w:lang w:val="es-ES_tradnl"/>
        </w:rPr>
        <w:t xml:space="preserve">inmersivo, se espera que se utilicen diferentes tipos de dispositivos, </w:t>
      </w:r>
      <w:r w:rsidR="00803D53" w:rsidRPr="0013322A">
        <w:rPr>
          <w:lang w:val="es-ES_tradnl"/>
        </w:rPr>
        <w:t xml:space="preserve">por ejemplo, para visualización </w:t>
      </w:r>
      <w:r w:rsidR="00FB795C" w:rsidRPr="0013322A">
        <w:rPr>
          <w:lang w:val="es-ES_tradnl"/>
        </w:rPr>
        <w:t>volum</w:t>
      </w:r>
      <w:r w:rsidR="00803D53" w:rsidRPr="0013322A">
        <w:rPr>
          <w:lang w:val="es-ES_tradnl"/>
        </w:rPr>
        <w:t>étrica</w:t>
      </w:r>
      <w:r w:rsidR="00FB795C" w:rsidRPr="0013322A">
        <w:rPr>
          <w:lang w:val="es-ES_tradnl"/>
        </w:rPr>
        <w:t xml:space="preserve"> </w:t>
      </w:r>
      <w:r w:rsidR="00803D53" w:rsidRPr="0013322A">
        <w:rPr>
          <w:lang w:val="es-ES_tradnl"/>
        </w:rPr>
        <w:t xml:space="preserve">y de campos de luz, así como los dispositivos que se emplean actualmente como </w:t>
      </w:r>
      <w:r w:rsidR="00803D53" w:rsidRPr="0013322A">
        <w:rPr>
          <w:color w:val="000000"/>
          <w:lang w:val="es-ES_tradnl"/>
        </w:rPr>
        <w:t>sistemas de presentación montados en la cabeza</w:t>
      </w:r>
      <w:r w:rsidR="002317AD" w:rsidRPr="0013322A">
        <w:rPr>
          <w:lang w:val="es-ES_tradnl"/>
        </w:rPr>
        <w:t xml:space="preserve">, </w:t>
      </w:r>
      <w:r w:rsidR="00803D53" w:rsidRPr="0013322A">
        <w:rPr>
          <w:lang w:val="es-ES_tradnl"/>
        </w:rPr>
        <w:t>gafas de realidad aumentada</w:t>
      </w:r>
      <w:r w:rsidR="002317AD" w:rsidRPr="0013322A">
        <w:rPr>
          <w:lang w:val="es-ES_tradnl"/>
        </w:rPr>
        <w:t xml:space="preserve">, </w:t>
      </w:r>
      <w:r w:rsidR="00803D53" w:rsidRPr="0013322A">
        <w:rPr>
          <w:lang w:val="es-ES_tradnl"/>
        </w:rPr>
        <w:t>teléfonos inteligentes y tabletas, e incluso en aparatos de TV de pantalla plana convencionales</w:t>
      </w:r>
      <w:r w:rsidR="002317AD" w:rsidRPr="0013322A">
        <w:rPr>
          <w:lang w:val="es-ES_tradnl"/>
        </w:rPr>
        <w:t>.</w:t>
      </w:r>
      <w:bookmarkEnd w:id="9"/>
    </w:p>
    <w:p w14:paraId="2E1171E2" w14:textId="77777777" w:rsidR="00EA6E36" w:rsidRPr="0013322A" w:rsidRDefault="00EA6E36">
      <w:pPr>
        <w:tabs>
          <w:tab w:val="clear" w:pos="794"/>
          <w:tab w:val="clear" w:pos="1191"/>
          <w:tab w:val="clear" w:pos="1588"/>
          <w:tab w:val="clear" w:pos="1985"/>
        </w:tabs>
        <w:overflowPunct/>
        <w:autoSpaceDE/>
        <w:autoSpaceDN/>
        <w:adjustRightInd/>
        <w:spacing w:before="0" w:line="240" w:lineRule="auto"/>
        <w:jc w:val="left"/>
        <w:textAlignment w:val="auto"/>
        <w:rPr>
          <w:u w:val="single"/>
          <w:lang w:val="es-ES_tradnl"/>
        </w:rPr>
      </w:pPr>
      <w:bookmarkStart w:id="10" w:name="lt_pId061"/>
      <w:r w:rsidRPr="0013322A">
        <w:rPr>
          <w:u w:val="single"/>
          <w:lang w:val="es-ES_tradnl"/>
        </w:rPr>
        <w:br w:type="page"/>
      </w:r>
    </w:p>
    <w:p w14:paraId="0C099934" w14:textId="42ED8B9A" w:rsidR="002317AD" w:rsidRPr="0013322A" w:rsidRDefault="00DA3472" w:rsidP="00C718BB">
      <w:pPr>
        <w:tabs>
          <w:tab w:val="clear" w:pos="1985"/>
          <w:tab w:val="left" w:pos="7797"/>
        </w:tabs>
        <w:rPr>
          <w:lang w:val="es-ES_tradnl"/>
        </w:rPr>
      </w:pPr>
      <w:r w:rsidRPr="0013322A">
        <w:rPr>
          <w:u w:val="single"/>
          <w:lang w:val="es-ES_tradnl"/>
        </w:rPr>
        <w:lastRenderedPageBreak/>
        <w:t>Proyecto de revisión de la Recomendación UIT</w:t>
      </w:r>
      <w:r w:rsidR="002317AD" w:rsidRPr="0013322A">
        <w:rPr>
          <w:u w:val="single"/>
          <w:lang w:val="es-ES_tradnl"/>
        </w:rPr>
        <w:t>-R BS.775-3</w:t>
      </w:r>
      <w:bookmarkStart w:id="11" w:name="lt_pId062"/>
      <w:bookmarkEnd w:id="10"/>
      <w:r w:rsidR="002317AD" w:rsidRPr="0013322A">
        <w:rPr>
          <w:lang w:val="es-ES_tradnl"/>
        </w:rPr>
        <w:tab/>
        <w:t>Doc. 6/254(Rev.1)</w:t>
      </w:r>
      <w:bookmarkEnd w:id="11"/>
    </w:p>
    <w:p w14:paraId="6B3ECA50" w14:textId="1805803C" w:rsidR="002317AD" w:rsidRPr="0013322A" w:rsidRDefault="002317AD" w:rsidP="00C718BB">
      <w:pPr>
        <w:pStyle w:val="Rectitle"/>
        <w:rPr>
          <w:lang w:val="es-ES_tradnl"/>
        </w:rPr>
      </w:pPr>
      <w:r w:rsidRPr="0013322A">
        <w:rPr>
          <w:lang w:val="es-ES_tradnl"/>
        </w:rPr>
        <w:t>Sistema de sonido estereofónico multicanal con y sin acompañamiento de imagen</w:t>
      </w:r>
    </w:p>
    <w:p w14:paraId="15279E94" w14:textId="2D09840E" w:rsidR="002317AD" w:rsidRPr="0013322A" w:rsidRDefault="000F08AF" w:rsidP="00EA6E36">
      <w:pPr>
        <w:keepNext/>
        <w:keepLines/>
        <w:spacing w:before="240"/>
        <w:rPr>
          <w:lang w:val="es-ES_tradnl"/>
        </w:rPr>
      </w:pPr>
      <w:bookmarkStart w:id="12" w:name="lt_pId065"/>
      <w:r w:rsidRPr="0013322A">
        <w:rPr>
          <w:lang w:val="es-ES_tradnl"/>
        </w:rPr>
        <w:t xml:space="preserve">En este proyecto de revisión se facilita orientación adicional en relación con el uso de </w:t>
      </w:r>
      <w:r w:rsidR="00750C5E" w:rsidRPr="0013322A">
        <w:rPr>
          <w:color w:val="000000"/>
          <w:lang w:val="es-ES_tradnl"/>
        </w:rPr>
        <w:t xml:space="preserve">efectos de baja frecuencia cuando se utilizan </w:t>
      </w:r>
      <w:r w:rsidR="00750C5E" w:rsidRPr="0013322A">
        <w:rPr>
          <w:lang w:val="es-ES_tradnl"/>
        </w:rPr>
        <w:t>filtros de paso bajo</w:t>
      </w:r>
      <w:r w:rsidR="002317AD" w:rsidRPr="0013322A">
        <w:rPr>
          <w:lang w:val="es-ES_tradnl"/>
        </w:rPr>
        <w:t>.</w:t>
      </w:r>
      <w:bookmarkEnd w:id="12"/>
    </w:p>
    <w:p w14:paraId="2BFB44D8" w14:textId="20D831DF" w:rsidR="002317AD" w:rsidRPr="0013322A" w:rsidRDefault="00C718BB" w:rsidP="00C718BB">
      <w:pPr>
        <w:pStyle w:val="enumlev1"/>
        <w:keepNext/>
        <w:keepLines/>
        <w:rPr>
          <w:lang w:val="es-ES_tradnl"/>
        </w:rPr>
      </w:pPr>
      <w:r w:rsidRPr="0013322A">
        <w:rPr>
          <w:lang w:val="es-ES_tradnl"/>
        </w:rPr>
        <w:t>–</w:t>
      </w:r>
      <w:r w:rsidR="002317AD" w:rsidRPr="0013322A">
        <w:rPr>
          <w:lang w:val="es-ES_tradnl"/>
        </w:rPr>
        <w:tab/>
      </w:r>
      <w:bookmarkStart w:id="13" w:name="lt_pId067"/>
      <w:r w:rsidR="00750C5E" w:rsidRPr="0013322A">
        <w:rPr>
          <w:lang w:val="es-ES_tradnl"/>
        </w:rPr>
        <w:t>Adición de orientaciones para la utilización de filtros de paso bajo en el Anexo 7</w:t>
      </w:r>
      <w:r w:rsidR="002317AD" w:rsidRPr="0013322A">
        <w:rPr>
          <w:lang w:val="es-ES_tradnl"/>
        </w:rPr>
        <w:t>.</w:t>
      </w:r>
      <w:bookmarkEnd w:id="13"/>
    </w:p>
    <w:p w14:paraId="618CEB55" w14:textId="4B78E6F7" w:rsidR="002317AD" w:rsidRPr="0013322A" w:rsidRDefault="00C718BB" w:rsidP="00C718BB">
      <w:pPr>
        <w:pStyle w:val="enumlev1"/>
        <w:rPr>
          <w:lang w:val="es-ES_tradnl"/>
        </w:rPr>
      </w:pPr>
      <w:r w:rsidRPr="0013322A">
        <w:rPr>
          <w:lang w:val="es-ES_tradnl"/>
        </w:rPr>
        <w:t>–</w:t>
      </w:r>
      <w:r w:rsidR="002317AD" w:rsidRPr="0013322A">
        <w:rPr>
          <w:lang w:val="es-ES_tradnl"/>
        </w:rPr>
        <w:tab/>
      </w:r>
      <w:bookmarkStart w:id="14" w:name="lt_pId069"/>
      <w:r w:rsidR="00750C5E" w:rsidRPr="0013322A">
        <w:rPr>
          <w:lang w:val="es-ES_tradnl"/>
        </w:rPr>
        <w:t>Adición de una nueva sección 8 para presentar los efectos de los filtros de paso bajo en el</w:t>
      </w:r>
      <w:r w:rsidRPr="0013322A">
        <w:rPr>
          <w:lang w:val="es-ES_tradnl"/>
        </w:rPr>
        <w:t> </w:t>
      </w:r>
      <w:r w:rsidR="00750C5E" w:rsidRPr="0013322A">
        <w:rPr>
          <w:lang w:val="es-ES_tradnl"/>
        </w:rPr>
        <w:t xml:space="preserve">Adjunto 1 al Anexo </w:t>
      </w:r>
      <w:r w:rsidR="002317AD" w:rsidRPr="0013322A">
        <w:rPr>
          <w:lang w:val="es-ES_tradnl"/>
        </w:rPr>
        <w:t>7.</w:t>
      </w:r>
      <w:bookmarkEnd w:id="14"/>
    </w:p>
    <w:p w14:paraId="215F8BEB" w14:textId="18580494" w:rsidR="008A0AEE" w:rsidRPr="0013322A" w:rsidRDefault="00DA3472" w:rsidP="00EA6E36">
      <w:pPr>
        <w:tabs>
          <w:tab w:val="clear" w:pos="1985"/>
          <w:tab w:val="left" w:pos="8364"/>
        </w:tabs>
        <w:spacing w:before="480"/>
        <w:rPr>
          <w:lang w:val="es-ES_tradnl"/>
        </w:rPr>
      </w:pPr>
      <w:bookmarkStart w:id="15" w:name="lt_pId070"/>
      <w:r w:rsidRPr="0013322A">
        <w:rPr>
          <w:u w:val="single"/>
          <w:lang w:val="es-ES_tradnl"/>
        </w:rPr>
        <w:t>Proyecto de revisión de la Recomendación UIT</w:t>
      </w:r>
      <w:r w:rsidR="008A0AEE" w:rsidRPr="0013322A">
        <w:rPr>
          <w:u w:val="single"/>
          <w:lang w:val="es-ES_tradnl"/>
        </w:rPr>
        <w:t>-R BT.2016</w:t>
      </w:r>
      <w:r w:rsidR="008A0AEE" w:rsidRPr="0013322A">
        <w:rPr>
          <w:u w:val="single"/>
          <w:lang w:val="es-ES_tradnl"/>
        </w:rPr>
        <w:noBreakHyphen/>
        <w:t>2</w:t>
      </w:r>
      <w:bookmarkEnd w:id="15"/>
      <w:r w:rsidR="008A0AEE" w:rsidRPr="0013322A">
        <w:rPr>
          <w:lang w:val="es-ES_tradnl"/>
        </w:rPr>
        <w:tab/>
      </w:r>
      <w:bookmarkStart w:id="16" w:name="lt_pId071"/>
      <w:r w:rsidR="008A0AEE" w:rsidRPr="0013322A">
        <w:rPr>
          <w:lang w:val="es-ES_tradnl"/>
        </w:rPr>
        <w:t>Doc. 6/260</w:t>
      </w:r>
      <w:bookmarkEnd w:id="16"/>
    </w:p>
    <w:p w14:paraId="261534DF" w14:textId="026DD730" w:rsidR="002317AD" w:rsidRPr="0013322A" w:rsidRDefault="008A0AEE" w:rsidP="00C718BB">
      <w:pPr>
        <w:pStyle w:val="Rectitle"/>
        <w:rPr>
          <w:lang w:val="es-ES_tradnl"/>
        </w:rPr>
      </w:pPr>
      <w:r w:rsidRPr="0013322A">
        <w:rPr>
          <w:lang w:val="es-ES_tradnl"/>
        </w:rPr>
        <w:t>Métodos de corrección de errores, configuración de la trama de datos,</w:t>
      </w:r>
      <w:r w:rsidR="00C718BB" w:rsidRPr="0013322A">
        <w:rPr>
          <w:lang w:val="es-ES_tradnl"/>
        </w:rPr>
        <w:br/>
      </w:r>
      <w:r w:rsidRPr="0013322A">
        <w:rPr>
          <w:lang w:val="es-ES_tradnl"/>
        </w:rPr>
        <w:t>modulación y emisión para la radiodifusión terrenal de multimedios</w:t>
      </w:r>
      <w:r w:rsidR="00C718BB" w:rsidRPr="0013322A">
        <w:rPr>
          <w:lang w:val="es-ES_tradnl"/>
        </w:rPr>
        <w:br/>
      </w:r>
      <w:r w:rsidRPr="0013322A">
        <w:rPr>
          <w:lang w:val="es-ES_tradnl"/>
        </w:rPr>
        <w:t>a efectos de la recepción móvil mediante receptores manuales</w:t>
      </w:r>
      <w:r w:rsidR="00C718BB" w:rsidRPr="0013322A">
        <w:rPr>
          <w:lang w:val="es-ES_tradnl"/>
        </w:rPr>
        <w:br/>
      </w:r>
      <w:r w:rsidRPr="0013322A">
        <w:rPr>
          <w:lang w:val="es-ES_tradnl"/>
        </w:rPr>
        <w:t>en las bandas de ondas métricas/decimétricas</w:t>
      </w:r>
    </w:p>
    <w:p w14:paraId="6D886C81" w14:textId="0CF7E80F" w:rsidR="008A0AEE" w:rsidRPr="0013322A" w:rsidRDefault="00750C5E" w:rsidP="00EA6E36">
      <w:pPr>
        <w:spacing w:before="240"/>
        <w:rPr>
          <w:lang w:val="es-ES_tradnl"/>
        </w:rPr>
      </w:pPr>
      <w:bookmarkStart w:id="17" w:name="lt_pId074"/>
      <w:r w:rsidRPr="0013322A">
        <w:rPr>
          <w:lang w:val="es-ES_tradnl"/>
        </w:rPr>
        <w:t>Cambios más importantes</w:t>
      </w:r>
      <w:r w:rsidR="008A0AEE" w:rsidRPr="0013322A">
        <w:rPr>
          <w:lang w:val="es-ES_tradnl"/>
        </w:rPr>
        <w:t>:</w:t>
      </w:r>
      <w:bookmarkEnd w:id="17"/>
    </w:p>
    <w:p w14:paraId="25B77292" w14:textId="4AC5457A" w:rsidR="008A0AEE" w:rsidRPr="0013322A" w:rsidRDefault="00C718BB" w:rsidP="00C718BB">
      <w:pPr>
        <w:pStyle w:val="enumlev1"/>
        <w:rPr>
          <w:lang w:val="es-ES_tradnl"/>
        </w:rPr>
      </w:pPr>
      <w:r w:rsidRPr="0013322A">
        <w:rPr>
          <w:lang w:val="es-ES_tradnl"/>
        </w:rPr>
        <w:t>–</w:t>
      </w:r>
      <w:r w:rsidR="008A0AEE" w:rsidRPr="0013322A">
        <w:rPr>
          <w:lang w:val="es-ES_tradnl"/>
        </w:rPr>
        <w:tab/>
      </w:r>
      <w:bookmarkStart w:id="18" w:name="lt_pId076"/>
      <w:r w:rsidR="008A0AEE" w:rsidRPr="0013322A">
        <w:rPr>
          <w:lang w:val="es-ES_tradnl"/>
        </w:rPr>
        <w:t>Ad</w:t>
      </w:r>
      <w:r w:rsidR="00750C5E" w:rsidRPr="0013322A">
        <w:rPr>
          <w:lang w:val="es-ES_tradnl"/>
        </w:rPr>
        <w:t xml:space="preserve">ición de columnas nuevas para los sistemas multimedios </w:t>
      </w:r>
      <w:r w:rsidR="0045044A" w:rsidRPr="0013322A">
        <w:rPr>
          <w:lang w:val="es-ES_tradnl"/>
        </w:rPr>
        <w:t>«</w:t>
      </w:r>
      <w:r w:rsidR="008A0AEE" w:rsidRPr="0013322A">
        <w:rPr>
          <w:lang w:val="es-ES_tradnl"/>
        </w:rPr>
        <w:t>S</w:t>
      </w:r>
      <w:r w:rsidR="0045044A" w:rsidRPr="0013322A">
        <w:rPr>
          <w:lang w:val="es-ES_tradnl"/>
        </w:rPr>
        <w:t>»</w:t>
      </w:r>
      <w:r w:rsidR="008A0AEE" w:rsidRPr="0013322A">
        <w:rPr>
          <w:lang w:val="es-ES_tradnl"/>
        </w:rPr>
        <w:t xml:space="preserve">, </w:t>
      </w:r>
      <w:r w:rsidR="0045044A" w:rsidRPr="0013322A">
        <w:rPr>
          <w:lang w:val="es-ES_tradnl"/>
        </w:rPr>
        <w:t>«</w:t>
      </w:r>
      <w:r w:rsidR="008A0AEE" w:rsidRPr="0013322A">
        <w:rPr>
          <w:lang w:val="es-ES_tradnl"/>
        </w:rPr>
        <w:t>L</w:t>
      </w:r>
      <w:r w:rsidR="0045044A" w:rsidRPr="0013322A">
        <w:rPr>
          <w:lang w:val="es-ES_tradnl"/>
        </w:rPr>
        <w:t>»</w:t>
      </w:r>
      <w:r w:rsidR="008A0AEE" w:rsidRPr="0013322A">
        <w:rPr>
          <w:lang w:val="es-ES_tradnl"/>
        </w:rPr>
        <w:t xml:space="preserve"> </w:t>
      </w:r>
      <w:r w:rsidR="00750C5E" w:rsidRPr="0013322A">
        <w:rPr>
          <w:lang w:val="es-ES_tradnl"/>
        </w:rPr>
        <w:t xml:space="preserve">y </w:t>
      </w:r>
      <w:r w:rsidR="0045044A" w:rsidRPr="0013322A">
        <w:rPr>
          <w:lang w:val="es-ES_tradnl"/>
        </w:rPr>
        <w:t>«</w:t>
      </w:r>
      <w:r w:rsidR="008A0AEE" w:rsidRPr="0013322A">
        <w:rPr>
          <w:lang w:val="es-ES_tradnl"/>
        </w:rPr>
        <w:t>N</w:t>
      </w:r>
      <w:r w:rsidR="0045044A" w:rsidRPr="0013322A">
        <w:rPr>
          <w:lang w:val="es-ES_tradnl"/>
        </w:rPr>
        <w:t>»</w:t>
      </w:r>
      <w:r w:rsidR="008A0AEE" w:rsidRPr="0013322A">
        <w:rPr>
          <w:lang w:val="es-ES_tradnl"/>
        </w:rPr>
        <w:t xml:space="preserve"> </w:t>
      </w:r>
      <w:r w:rsidR="00750C5E" w:rsidRPr="0013322A">
        <w:rPr>
          <w:lang w:val="es-ES_tradnl"/>
        </w:rPr>
        <w:t xml:space="preserve">en el Cuadro </w:t>
      </w:r>
      <w:r w:rsidR="008A0AEE" w:rsidRPr="0013322A">
        <w:rPr>
          <w:lang w:val="es-ES_tradnl"/>
        </w:rPr>
        <w:t>1</w:t>
      </w:r>
      <w:r w:rsidR="004A5437" w:rsidRPr="0013322A">
        <w:rPr>
          <w:lang w:val="es-ES_tradnl"/>
        </w:rPr>
        <w:t xml:space="preserve">, </w:t>
      </w:r>
      <w:r w:rsidR="00750C5E" w:rsidRPr="0013322A">
        <w:rPr>
          <w:lang w:val="es-ES_tradnl"/>
        </w:rPr>
        <w:t>Parámetros para sistemas de emisión</w:t>
      </w:r>
      <w:r w:rsidR="008A0AEE" w:rsidRPr="0013322A">
        <w:rPr>
          <w:lang w:val="es-ES_tradnl"/>
        </w:rPr>
        <w:t>.</w:t>
      </w:r>
      <w:bookmarkEnd w:id="18"/>
    </w:p>
    <w:p w14:paraId="09B31F7D" w14:textId="2B10BD6F" w:rsidR="008A0AEE" w:rsidRPr="0013322A" w:rsidRDefault="00C718BB" w:rsidP="00C718BB">
      <w:pPr>
        <w:pStyle w:val="enumlev1"/>
        <w:rPr>
          <w:lang w:val="es-ES_tradnl"/>
        </w:rPr>
      </w:pPr>
      <w:r w:rsidRPr="0013322A">
        <w:rPr>
          <w:lang w:val="es-ES_tradnl"/>
        </w:rPr>
        <w:t>–</w:t>
      </w:r>
      <w:r w:rsidR="008A0AEE" w:rsidRPr="0013322A">
        <w:rPr>
          <w:lang w:val="es-ES_tradnl"/>
        </w:rPr>
        <w:tab/>
      </w:r>
      <w:bookmarkStart w:id="19" w:name="lt_pId078"/>
      <w:r w:rsidR="00750C5E" w:rsidRPr="0013322A">
        <w:rPr>
          <w:lang w:val="es-ES_tradnl"/>
        </w:rPr>
        <w:t xml:space="preserve">Adición de columnas nuevas para los sistemas multimedios </w:t>
      </w:r>
      <w:r w:rsidR="0045044A" w:rsidRPr="0013322A">
        <w:rPr>
          <w:lang w:val="es-ES_tradnl"/>
        </w:rPr>
        <w:t>«</w:t>
      </w:r>
      <w:r w:rsidR="00750C5E" w:rsidRPr="0013322A">
        <w:rPr>
          <w:lang w:val="es-ES_tradnl"/>
        </w:rPr>
        <w:t>S</w:t>
      </w:r>
      <w:r w:rsidR="0045044A" w:rsidRPr="0013322A">
        <w:rPr>
          <w:lang w:val="es-ES_tradnl"/>
        </w:rPr>
        <w:t>»</w:t>
      </w:r>
      <w:r w:rsidR="00750C5E" w:rsidRPr="0013322A">
        <w:rPr>
          <w:lang w:val="es-ES_tradnl"/>
        </w:rPr>
        <w:t xml:space="preserve">, </w:t>
      </w:r>
      <w:r w:rsidR="0045044A" w:rsidRPr="0013322A">
        <w:rPr>
          <w:lang w:val="es-ES_tradnl"/>
        </w:rPr>
        <w:t>«</w:t>
      </w:r>
      <w:r w:rsidR="00750C5E" w:rsidRPr="0013322A">
        <w:rPr>
          <w:lang w:val="es-ES_tradnl"/>
        </w:rPr>
        <w:t>L</w:t>
      </w:r>
      <w:r w:rsidR="0045044A" w:rsidRPr="0013322A">
        <w:rPr>
          <w:lang w:val="es-ES_tradnl"/>
        </w:rPr>
        <w:t>»</w:t>
      </w:r>
      <w:r w:rsidR="00750C5E" w:rsidRPr="0013322A">
        <w:rPr>
          <w:lang w:val="es-ES_tradnl"/>
        </w:rPr>
        <w:t xml:space="preserve"> y </w:t>
      </w:r>
      <w:r w:rsidR="0045044A" w:rsidRPr="0013322A">
        <w:rPr>
          <w:lang w:val="es-ES_tradnl"/>
        </w:rPr>
        <w:t>«</w:t>
      </w:r>
      <w:r w:rsidR="00750C5E" w:rsidRPr="0013322A">
        <w:rPr>
          <w:lang w:val="es-ES_tradnl"/>
        </w:rPr>
        <w:t>N</w:t>
      </w:r>
      <w:r w:rsidR="0045044A" w:rsidRPr="0013322A">
        <w:rPr>
          <w:lang w:val="es-ES_tradnl"/>
        </w:rPr>
        <w:t>»</w:t>
      </w:r>
      <w:r w:rsidR="00750C5E" w:rsidRPr="0013322A">
        <w:rPr>
          <w:lang w:val="es-ES_tradnl"/>
        </w:rPr>
        <w:t xml:space="preserve"> en el Cuadro </w:t>
      </w:r>
      <w:r w:rsidR="004A5437" w:rsidRPr="0013322A">
        <w:rPr>
          <w:lang w:val="es-ES_tradnl"/>
        </w:rPr>
        <w:t xml:space="preserve">2, </w:t>
      </w:r>
      <w:r w:rsidR="00750C5E" w:rsidRPr="0013322A">
        <w:rPr>
          <w:lang w:val="es-ES_tradnl"/>
        </w:rPr>
        <w:t>Características técnicas de los sistemas</w:t>
      </w:r>
      <w:r w:rsidR="008A0AEE" w:rsidRPr="0013322A">
        <w:rPr>
          <w:lang w:val="es-ES_tradnl"/>
        </w:rPr>
        <w:t>.</w:t>
      </w:r>
      <w:bookmarkEnd w:id="19"/>
    </w:p>
    <w:p w14:paraId="37CBA6B9" w14:textId="01B1673D" w:rsidR="008A0AEE" w:rsidRPr="0013322A" w:rsidRDefault="00C718BB" w:rsidP="00C718BB">
      <w:pPr>
        <w:pStyle w:val="enumlev1"/>
        <w:rPr>
          <w:lang w:val="es-ES_tradnl"/>
        </w:rPr>
      </w:pPr>
      <w:r w:rsidRPr="0013322A">
        <w:rPr>
          <w:lang w:val="es-ES_tradnl"/>
        </w:rPr>
        <w:t>–</w:t>
      </w:r>
      <w:r w:rsidR="008A0AEE" w:rsidRPr="0013322A">
        <w:rPr>
          <w:lang w:val="es-ES_tradnl"/>
        </w:rPr>
        <w:tab/>
      </w:r>
      <w:bookmarkStart w:id="20" w:name="lt_pId080"/>
      <w:r w:rsidR="00750C5E" w:rsidRPr="0013322A">
        <w:rPr>
          <w:lang w:val="es-ES_tradnl"/>
        </w:rPr>
        <w:t xml:space="preserve">Adición de los nuevos Adjuntos </w:t>
      </w:r>
      <w:r w:rsidR="008A0AEE" w:rsidRPr="0013322A">
        <w:rPr>
          <w:lang w:val="es-ES_tradnl"/>
        </w:rPr>
        <w:t xml:space="preserve">7, 8 </w:t>
      </w:r>
      <w:r w:rsidR="00750C5E" w:rsidRPr="0013322A">
        <w:rPr>
          <w:lang w:val="es-ES_tradnl"/>
        </w:rPr>
        <w:t xml:space="preserve">y </w:t>
      </w:r>
      <w:r w:rsidR="008A0AEE" w:rsidRPr="0013322A">
        <w:rPr>
          <w:lang w:val="es-ES_tradnl"/>
        </w:rPr>
        <w:t xml:space="preserve">9 </w:t>
      </w:r>
      <w:r w:rsidR="00750C5E" w:rsidRPr="0013322A">
        <w:rPr>
          <w:lang w:val="es-ES_tradnl"/>
        </w:rPr>
        <w:t xml:space="preserve">al Anexo </w:t>
      </w:r>
      <w:r w:rsidR="008A0AEE" w:rsidRPr="0013322A">
        <w:rPr>
          <w:lang w:val="es-ES_tradnl"/>
        </w:rPr>
        <w:t>1:</w:t>
      </w:r>
      <w:bookmarkEnd w:id="20"/>
    </w:p>
    <w:p w14:paraId="1AC7D669" w14:textId="57FCA5BF" w:rsidR="008A0AEE" w:rsidRPr="0013322A" w:rsidRDefault="00C718BB" w:rsidP="00C718BB">
      <w:pPr>
        <w:pStyle w:val="enumlev2"/>
        <w:rPr>
          <w:lang w:val="es-ES_tradnl"/>
        </w:rPr>
      </w:pPr>
      <w:r w:rsidRPr="0013322A">
        <w:rPr>
          <w:lang w:val="es-ES_tradnl"/>
        </w:rPr>
        <w:t>•</w:t>
      </w:r>
      <w:r w:rsidR="008A0AEE" w:rsidRPr="0013322A">
        <w:rPr>
          <w:lang w:val="es-ES_tradnl"/>
        </w:rPr>
        <w:tab/>
      </w:r>
      <w:bookmarkStart w:id="21" w:name="lt_pId082"/>
      <w:r w:rsidR="00750C5E" w:rsidRPr="0013322A">
        <w:rPr>
          <w:lang w:val="es-ES_tradnl"/>
        </w:rPr>
        <w:t xml:space="preserve">Sistema multimedios </w:t>
      </w:r>
      <w:r w:rsidR="008A0AEE" w:rsidRPr="0013322A">
        <w:rPr>
          <w:lang w:val="es-ES_tradnl"/>
        </w:rPr>
        <w:t>S (ATSC 3.0)</w:t>
      </w:r>
      <w:bookmarkEnd w:id="21"/>
    </w:p>
    <w:p w14:paraId="7F792D64" w14:textId="5B41B717" w:rsidR="008A0AEE" w:rsidRPr="0013322A" w:rsidRDefault="00C718BB" w:rsidP="00C718BB">
      <w:pPr>
        <w:pStyle w:val="enumlev2"/>
        <w:rPr>
          <w:lang w:val="es-ES_tradnl"/>
        </w:rPr>
      </w:pPr>
      <w:r w:rsidRPr="0013322A">
        <w:rPr>
          <w:lang w:val="es-ES_tradnl"/>
        </w:rPr>
        <w:t>•</w:t>
      </w:r>
      <w:r w:rsidR="008A0AEE" w:rsidRPr="0013322A">
        <w:rPr>
          <w:lang w:val="es-ES_tradnl"/>
        </w:rPr>
        <w:tab/>
      </w:r>
      <w:bookmarkStart w:id="22" w:name="lt_pId084"/>
      <w:r w:rsidR="00750C5E" w:rsidRPr="0013322A">
        <w:rPr>
          <w:lang w:val="es-ES_tradnl"/>
        </w:rPr>
        <w:t xml:space="preserve">Sistema multimedios </w:t>
      </w:r>
      <w:r w:rsidR="008A0AEE" w:rsidRPr="0013322A">
        <w:rPr>
          <w:lang w:val="es-ES_tradnl"/>
        </w:rPr>
        <w:t>L</w:t>
      </w:r>
      <w:bookmarkEnd w:id="22"/>
    </w:p>
    <w:p w14:paraId="66CF5ED2" w14:textId="0F603650" w:rsidR="008A0AEE" w:rsidRPr="0013322A" w:rsidRDefault="00C718BB" w:rsidP="00C718BB">
      <w:pPr>
        <w:pStyle w:val="enumlev2"/>
        <w:rPr>
          <w:lang w:val="es-ES_tradnl"/>
        </w:rPr>
      </w:pPr>
      <w:r w:rsidRPr="0013322A">
        <w:rPr>
          <w:lang w:val="es-ES_tradnl"/>
        </w:rPr>
        <w:t>•</w:t>
      </w:r>
      <w:r w:rsidR="008A0AEE" w:rsidRPr="0013322A">
        <w:rPr>
          <w:lang w:val="es-ES_tradnl"/>
        </w:rPr>
        <w:tab/>
      </w:r>
      <w:bookmarkStart w:id="23" w:name="lt_pId086"/>
      <w:r w:rsidR="00750C5E" w:rsidRPr="0013322A">
        <w:rPr>
          <w:lang w:val="es-ES_tradnl"/>
        </w:rPr>
        <w:t>Sistema multimedios</w:t>
      </w:r>
      <w:r w:rsidR="008A0AEE" w:rsidRPr="0013322A">
        <w:rPr>
          <w:lang w:val="es-ES_tradnl"/>
        </w:rPr>
        <w:t xml:space="preserve"> N</w:t>
      </w:r>
      <w:bookmarkEnd w:id="23"/>
    </w:p>
    <w:p w14:paraId="3C75841E" w14:textId="44C7F747" w:rsidR="008A0AEE" w:rsidRPr="0013322A" w:rsidRDefault="00DA3472" w:rsidP="00EA6E36">
      <w:pPr>
        <w:tabs>
          <w:tab w:val="clear" w:pos="1985"/>
          <w:tab w:val="left" w:pos="8505"/>
        </w:tabs>
        <w:spacing w:before="480"/>
        <w:rPr>
          <w:lang w:val="es-ES_tradnl"/>
        </w:rPr>
      </w:pPr>
      <w:bookmarkStart w:id="24" w:name="lt_pId087"/>
      <w:r w:rsidRPr="0013322A">
        <w:rPr>
          <w:u w:val="single"/>
          <w:lang w:val="es-ES_tradnl"/>
        </w:rPr>
        <w:t>Proyecto de revisión de la Recomendación UIT</w:t>
      </w:r>
      <w:r w:rsidR="008A0AEE" w:rsidRPr="0013322A">
        <w:rPr>
          <w:u w:val="single"/>
          <w:lang w:val="es-ES_tradnl"/>
        </w:rPr>
        <w:t>-R BS.1660-8</w:t>
      </w:r>
      <w:bookmarkEnd w:id="24"/>
      <w:r w:rsidR="008A0AEE" w:rsidRPr="0013322A">
        <w:rPr>
          <w:lang w:val="es-ES_tradnl"/>
        </w:rPr>
        <w:tab/>
      </w:r>
      <w:bookmarkStart w:id="25" w:name="lt_pId088"/>
      <w:r w:rsidR="008A0AEE" w:rsidRPr="0013322A">
        <w:rPr>
          <w:lang w:val="es-ES_tradnl"/>
        </w:rPr>
        <w:t>Doc. 6/262</w:t>
      </w:r>
      <w:bookmarkEnd w:id="25"/>
    </w:p>
    <w:p w14:paraId="17D5CA82" w14:textId="521AC3C9" w:rsidR="008A0AEE" w:rsidRPr="0013322A" w:rsidRDefault="008A0AEE" w:rsidP="00C718BB">
      <w:pPr>
        <w:pStyle w:val="Rectitle"/>
        <w:rPr>
          <w:lang w:val="es-ES_tradnl"/>
        </w:rPr>
      </w:pPr>
      <w:r w:rsidRPr="0013322A">
        <w:rPr>
          <w:lang w:val="es-ES_tradnl"/>
        </w:rPr>
        <w:t>Bases técnicas para la planificación de la radiodifusión sonora</w:t>
      </w:r>
      <w:r w:rsidR="00C718BB" w:rsidRPr="0013322A">
        <w:rPr>
          <w:lang w:val="es-ES_tradnl"/>
        </w:rPr>
        <w:br/>
      </w:r>
      <w:r w:rsidRPr="0013322A">
        <w:rPr>
          <w:lang w:val="es-ES_tradnl"/>
        </w:rPr>
        <w:t>digital terrenal en la banda de ondas métricas</w:t>
      </w:r>
    </w:p>
    <w:p w14:paraId="328BB1A6" w14:textId="56AB1D7C" w:rsidR="008A0AEE" w:rsidRPr="0013322A" w:rsidRDefault="00750C5E" w:rsidP="00EA6E36">
      <w:pPr>
        <w:spacing w:before="240"/>
        <w:rPr>
          <w:b/>
          <w:bCs/>
          <w:lang w:val="es-ES_tradnl"/>
        </w:rPr>
      </w:pPr>
      <w:bookmarkStart w:id="26" w:name="lt_pId091"/>
      <w:r w:rsidRPr="0013322A">
        <w:rPr>
          <w:lang w:val="es-ES_tradnl"/>
        </w:rPr>
        <w:t>Cambios de revisión más importantes</w:t>
      </w:r>
      <w:r w:rsidR="008A0AEE" w:rsidRPr="0013322A">
        <w:rPr>
          <w:lang w:val="es-ES_tradnl"/>
        </w:rPr>
        <w:t>:</w:t>
      </w:r>
      <w:bookmarkEnd w:id="26"/>
    </w:p>
    <w:p w14:paraId="342AF277" w14:textId="028FC6E9" w:rsidR="008A0AEE" w:rsidRPr="0013322A" w:rsidRDefault="008A0AEE" w:rsidP="00C718BB">
      <w:pPr>
        <w:pStyle w:val="enumlev1"/>
        <w:rPr>
          <w:lang w:val="es-ES_tradnl"/>
        </w:rPr>
      </w:pPr>
      <w:r w:rsidRPr="0013322A">
        <w:rPr>
          <w:lang w:val="es-ES_tradnl"/>
        </w:rPr>
        <w:t>–</w:t>
      </w:r>
      <w:r w:rsidRPr="0013322A">
        <w:rPr>
          <w:lang w:val="es-ES_tradnl"/>
        </w:rPr>
        <w:tab/>
      </w:r>
      <w:bookmarkStart w:id="27" w:name="lt_pId093"/>
      <w:r w:rsidR="00750C5E" w:rsidRPr="0013322A">
        <w:rPr>
          <w:lang w:val="es-ES_tradnl"/>
        </w:rPr>
        <w:t xml:space="preserve">En el Anexo </w:t>
      </w:r>
      <w:r w:rsidRPr="0013322A">
        <w:rPr>
          <w:lang w:val="es-ES_tradnl"/>
        </w:rPr>
        <w:t xml:space="preserve">1, </w:t>
      </w:r>
      <w:r w:rsidR="006246FC" w:rsidRPr="0013322A">
        <w:rPr>
          <w:lang w:val="es-ES_tradnl"/>
        </w:rPr>
        <w:t xml:space="preserve">Sistema </w:t>
      </w:r>
      <w:r w:rsidRPr="0013322A">
        <w:rPr>
          <w:lang w:val="es-ES_tradnl"/>
        </w:rPr>
        <w:t>A (</w:t>
      </w:r>
      <w:bookmarkStart w:id="28" w:name="_Hlk115850678"/>
      <w:r w:rsidRPr="0013322A">
        <w:rPr>
          <w:lang w:val="es-ES_tradnl"/>
        </w:rPr>
        <w:t>DAB</w:t>
      </w:r>
      <w:bookmarkEnd w:id="28"/>
      <w:r w:rsidRPr="0013322A">
        <w:rPr>
          <w:lang w:val="es-ES_tradnl"/>
        </w:rPr>
        <w:t>):</w:t>
      </w:r>
      <w:bookmarkEnd w:id="27"/>
    </w:p>
    <w:p w14:paraId="6EA48BCE" w14:textId="60E45365" w:rsidR="008A0AEE" w:rsidRPr="0013322A" w:rsidRDefault="00C818E2" w:rsidP="00C718BB">
      <w:pPr>
        <w:pStyle w:val="enumlev2"/>
        <w:rPr>
          <w:lang w:val="es-ES_tradnl"/>
        </w:rPr>
      </w:pPr>
      <w:r w:rsidRPr="0013322A">
        <w:rPr>
          <w:lang w:val="es-ES_tradnl"/>
        </w:rPr>
        <w:t>•</w:t>
      </w:r>
      <w:r w:rsidR="008A0AEE" w:rsidRPr="0013322A">
        <w:rPr>
          <w:lang w:val="es-ES_tradnl"/>
        </w:rPr>
        <w:tab/>
      </w:r>
      <w:bookmarkStart w:id="29" w:name="lt_pId095"/>
      <w:r w:rsidR="00B41F98" w:rsidRPr="0013322A">
        <w:rPr>
          <w:lang w:val="es-ES_tradnl"/>
        </w:rPr>
        <w:t xml:space="preserve">Armonización de la </w:t>
      </w:r>
      <w:r w:rsidR="006246FC" w:rsidRPr="0013322A">
        <w:rPr>
          <w:lang w:val="es-ES_tradnl"/>
        </w:rPr>
        <w:t xml:space="preserve">sección </w:t>
      </w:r>
      <w:r w:rsidR="00B41F98" w:rsidRPr="0013322A">
        <w:rPr>
          <w:lang w:val="es-ES_tradnl"/>
        </w:rPr>
        <w:t>7, Pérdidas por penetración en edificios,</w:t>
      </w:r>
      <w:r w:rsidR="008A0AEE" w:rsidRPr="0013322A">
        <w:rPr>
          <w:lang w:val="es-ES_tradnl"/>
        </w:rPr>
        <w:t xml:space="preserve"> </w:t>
      </w:r>
      <w:r w:rsidR="00B41F98" w:rsidRPr="0013322A">
        <w:rPr>
          <w:lang w:val="es-ES_tradnl"/>
        </w:rPr>
        <w:t>con la última versión de la Recomendación UIT</w:t>
      </w:r>
      <w:r w:rsidR="008A0AEE" w:rsidRPr="0013322A">
        <w:rPr>
          <w:lang w:val="es-ES_tradnl"/>
        </w:rPr>
        <w:t>-R P.2109</w:t>
      </w:r>
      <w:bookmarkEnd w:id="29"/>
      <w:r w:rsidR="00B41F98" w:rsidRPr="0013322A">
        <w:rPr>
          <w:lang w:val="es-ES_tradnl"/>
        </w:rPr>
        <w:t xml:space="preserve"> y la consiguiente actualización de la </w:t>
      </w:r>
      <w:bookmarkStart w:id="30" w:name="lt_pId096"/>
      <w:r w:rsidR="006246FC" w:rsidRPr="0013322A">
        <w:rPr>
          <w:lang w:val="es-ES_tradnl"/>
        </w:rPr>
        <w:t>sección </w:t>
      </w:r>
      <w:r w:rsidR="00B41F98" w:rsidRPr="0013322A">
        <w:rPr>
          <w:lang w:val="es-ES_tradnl"/>
        </w:rPr>
        <w:t>9.2, Factores de corrección de emplazamientos para diferentes modos de recepción</w:t>
      </w:r>
      <w:r w:rsidR="008A0AEE" w:rsidRPr="0013322A">
        <w:rPr>
          <w:lang w:val="es-ES_tradnl"/>
        </w:rPr>
        <w:t>.</w:t>
      </w:r>
      <w:bookmarkEnd w:id="30"/>
    </w:p>
    <w:p w14:paraId="3994501A" w14:textId="2D11F79D" w:rsidR="008A0AEE" w:rsidRPr="0013322A" w:rsidRDefault="00C818E2" w:rsidP="00C718BB">
      <w:pPr>
        <w:pStyle w:val="enumlev2"/>
        <w:rPr>
          <w:lang w:val="es-ES_tradnl"/>
        </w:rPr>
      </w:pPr>
      <w:r w:rsidRPr="0013322A">
        <w:rPr>
          <w:lang w:val="es-ES_tradnl"/>
        </w:rPr>
        <w:t>•</w:t>
      </w:r>
      <w:r w:rsidR="008A0AEE" w:rsidRPr="0013322A">
        <w:rPr>
          <w:lang w:val="es-ES_tradnl"/>
        </w:rPr>
        <w:tab/>
      </w:r>
      <w:bookmarkStart w:id="31" w:name="lt_pId098"/>
      <w:r w:rsidR="00B41F98" w:rsidRPr="0013322A">
        <w:rPr>
          <w:lang w:val="es-ES_tradnl"/>
        </w:rPr>
        <w:t xml:space="preserve">Actualización de la </w:t>
      </w:r>
      <w:r w:rsidR="006246FC" w:rsidRPr="0013322A">
        <w:rPr>
          <w:lang w:val="es-ES_tradnl"/>
        </w:rPr>
        <w:t xml:space="preserve">sección </w:t>
      </w:r>
      <w:r w:rsidR="008A0AEE" w:rsidRPr="0013322A">
        <w:rPr>
          <w:lang w:val="es-ES_tradnl"/>
        </w:rPr>
        <w:t>11.1.1</w:t>
      </w:r>
      <w:r w:rsidR="00B41F98" w:rsidRPr="0013322A">
        <w:rPr>
          <w:lang w:val="es-ES_tradnl"/>
        </w:rPr>
        <w:t>, Ejemplos de los niveles de señal para la planificación,</w:t>
      </w:r>
      <w:r w:rsidR="008A0AEE" w:rsidRPr="0013322A">
        <w:rPr>
          <w:lang w:val="es-ES_tradnl"/>
        </w:rPr>
        <w:t xml:space="preserve"> </w:t>
      </w:r>
      <w:r w:rsidR="00B41F98" w:rsidRPr="0013322A">
        <w:rPr>
          <w:lang w:val="es-ES_tradnl"/>
        </w:rPr>
        <w:t>de conformidad con los valores nuevos de las pérdidas por penetración en edificios y los valores finales redondeados a un decimal</w:t>
      </w:r>
      <w:bookmarkEnd w:id="31"/>
      <w:r w:rsidR="00B41F98" w:rsidRPr="0013322A">
        <w:rPr>
          <w:lang w:val="es-ES_tradnl"/>
        </w:rPr>
        <w:t>.</w:t>
      </w:r>
    </w:p>
    <w:p w14:paraId="09D1CF70" w14:textId="4A387349" w:rsidR="008A0AEE" w:rsidRPr="0013322A" w:rsidRDefault="00C818E2" w:rsidP="00C718BB">
      <w:pPr>
        <w:pStyle w:val="enumlev2"/>
        <w:rPr>
          <w:lang w:val="es-ES_tradnl"/>
        </w:rPr>
      </w:pPr>
      <w:r w:rsidRPr="0013322A">
        <w:rPr>
          <w:lang w:val="es-ES_tradnl"/>
        </w:rPr>
        <w:t>•</w:t>
      </w:r>
      <w:r w:rsidR="008A0AEE" w:rsidRPr="0013322A">
        <w:rPr>
          <w:lang w:val="es-ES_tradnl"/>
        </w:rPr>
        <w:tab/>
      </w:r>
      <w:bookmarkStart w:id="32" w:name="lt_pId100"/>
      <w:r w:rsidR="00B41F98" w:rsidRPr="0013322A">
        <w:rPr>
          <w:lang w:val="es-ES_tradnl"/>
        </w:rPr>
        <w:t xml:space="preserve">Propuesta de trasladar la sección sobre relaciones de protección para el sistema </w:t>
      </w:r>
      <w:r w:rsidR="008A0AEE" w:rsidRPr="0013322A">
        <w:rPr>
          <w:lang w:val="es-ES_tradnl"/>
        </w:rPr>
        <w:t xml:space="preserve">DAB </w:t>
      </w:r>
      <w:r w:rsidR="00B41F98" w:rsidRPr="0013322A">
        <w:rPr>
          <w:lang w:val="es-ES_tradnl"/>
        </w:rPr>
        <w:t xml:space="preserve">interferido por un sistema DRM al Anexo </w:t>
      </w:r>
      <w:r w:rsidR="008A0AEE" w:rsidRPr="0013322A">
        <w:rPr>
          <w:lang w:val="es-ES_tradnl"/>
        </w:rPr>
        <w:t>1.</w:t>
      </w:r>
      <w:bookmarkEnd w:id="32"/>
    </w:p>
    <w:p w14:paraId="14238888" w14:textId="77777777" w:rsidR="00EA6E36" w:rsidRPr="0013322A" w:rsidRDefault="00EA6E36">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13322A">
        <w:rPr>
          <w:lang w:val="es-ES_tradnl"/>
        </w:rPr>
        <w:br w:type="page"/>
      </w:r>
    </w:p>
    <w:p w14:paraId="510FB4EF" w14:textId="54CE947E" w:rsidR="008A0AEE" w:rsidRPr="0013322A" w:rsidRDefault="008A0AEE" w:rsidP="00C718BB">
      <w:pPr>
        <w:pStyle w:val="enumlev1"/>
        <w:rPr>
          <w:lang w:val="es-ES_tradnl"/>
        </w:rPr>
      </w:pPr>
      <w:r w:rsidRPr="0013322A">
        <w:rPr>
          <w:lang w:val="es-ES_tradnl"/>
        </w:rPr>
        <w:lastRenderedPageBreak/>
        <w:t>–</w:t>
      </w:r>
      <w:r w:rsidRPr="0013322A">
        <w:rPr>
          <w:lang w:val="es-ES_tradnl"/>
        </w:rPr>
        <w:tab/>
      </w:r>
      <w:bookmarkStart w:id="33" w:name="lt_pId102"/>
      <w:r w:rsidR="00B41F98" w:rsidRPr="0013322A">
        <w:rPr>
          <w:lang w:val="es-ES_tradnl"/>
        </w:rPr>
        <w:t xml:space="preserve">En el </w:t>
      </w:r>
      <w:r w:rsidRPr="0013322A">
        <w:rPr>
          <w:lang w:val="es-ES_tradnl"/>
        </w:rPr>
        <w:t>Anex</w:t>
      </w:r>
      <w:r w:rsidR="00B41F98" w:rsidRPr="0013322A">
        <w:rPr>
          <w:lang w:val="es-ES_tradnl"/>
        </w:rPr>
        <w:t>o</w:t>
      </w:r>
      <w:r w:rsidRPr="0013322A">
        <w:rPr>
          <w:lang w:val="es-ES_tradnl"/>
        </w:rPr>
        <w:t xml:space="preserve"> 3, S</w:t>
      </w:r>
      <w:r w:rsidR="00B41F98" w:rsidRPr="0013322A">
        <w:rPr>
          <w:lang w:val="es-ES_tradnl"/>
        </w:rPr>
        <w:t xml:space="preserve">istema </w:t>
      </w:r>
      <w:r w:rsidRPr="0013322A">
        <w:rPr>
          <w:lang w:val="es-ES_tradnl"/>
        </w:rPr>
        <w:t>G (DRM):</w:t>
      </w:r>
      <w:bookmarkEnd w:id="33"/>
    </w:p>
    <w:p w14:paraId="629D05F8" w14:textId="38A142DD" w:rsidR="008A0AEE" w:rsidRPr="0013322A" w:rsidRDefault="00C818E2" w:rsidP="00C718BB">
      <w:pPr>
        <w:pStyle w:val="enumlev2"/>
        <w:rPr>
          <w:lang w:val="es-ES_tradnl"/>
        </w:rPr>
      </w:pPr>
      <w:r w:rsidRPr="0013322A">
        <w:rPr>
          <w:lang w:val="es-ES_tradnl"/>
        </w:rPr>
        <w:t>•</w:t>
      </w:r>
      <w:r w:rsidR="008A0AEE" w:rsidRPr="0013322A">
        <w:rPr>
          <w:lang w:val="es-ES_tradnl"/>
        </w:rPr>
        <w:tab/>
      </w:r>
      <w:bookmarkStart w:id="34" w:name="lt_pId104"/>
      <w:r w:rsidR="003411FF" w:rsidRPr="0013322A">
        <w:rPr>
          <w:lang w:val="es-ES_tradnl"/>
        </w:rPr>
        <w:t xml:space="preserve">Armonización de la </w:t>
      </w:r>
      <w:r w:rsidR="006246FC" w:rsidRPr="0013322A">
        <w:rPr>
          <w:lang w:val="es-ES_tradnl"/>
        </w:rPr>
        <w:t xml:space="preserve">sección </w:t>
      </w:r>
      <w:r w:rsidR="008A0AEE" w:rsidRPr="0013322A">
        <w:rPr>
          <w:lang w:val="es-ES_tradnl"/>
        </w:rPr>
        <w:t xml:space="preserve">3.5, </w:t>
      </w:r>
      <w:r w:rsidR="003411FF" w:rsidRPr="0013322A">
        <w:rPr>
          <w:lang w:val="es-ES_tradnl"/>
        </w:rPr>
        <w:t>Pérdidas por penetración en los edificios</w:t>
      </w:r>
      <w:r w:rsidR="008A0AEE" w:rsidRPr="0013322A">
        <w:rPr>
          <w:lang w:val="es-ES_tradnl"/>
        </w:rPr>
        <w:t xml:space="preserve">, </w:t>
      </w:r>
      <w:r w:rsidR="003411FF" w:rsidRPr="0013322A">
        <w:rPr>
          <w:lang w:val="es-ES_tradnl"/>
        </w:rPr>
        <w:t xml:space="preserve">y la </w:t>
      </w:r>
      <w:r w:rsidR="006246FC" w:rsidRPr="0013322A">
        <w:rPr>
          <w:lang w:val="es-ES_tradnl"/>
        </w:rPr>
        <w:t>sección </w:t>
      </w:r>
      <w:r w:rsidR="008A0AEE" w:rsidRPr="0013322A">
        <w:rPr>
          <w:lang w:val="es-ES_tradnl"/>
        </w:rPr>
        <w:t xml:space="preserve">3.8.2, </w:t>
      </w:r>
      <w:r w:rsidR="003411FF" w:rsidRPr="0013322A">
        <w:rPr>
          <w:lang w:val="es-ES_tradnl"/>
        </w:rPr>
        <w:t>Desviación típica combinada</w:t>
      </w:r>
      <w:r w:rsidR="008A0AEE" w:rsidRPr="0013322A">
        <w:rPr>
          <w:lang w:val="es-ES_tradnl"/>
        </w:rPr>
        <w:t xml:space="preserve">, </w:t>
      </w:r>
      <w:r w:rsidR="003411FF" w:rsidRPr="0013322A">
        <w:rPr>
          <w:lang w:val="es-ES_tradnl"/>
        </w:rPr>
        <w:t>con la Recomendación UIT</w:t>
      </w:r>
      <w:r w:rsidR="008A0AEE" w:rsidRPr="0013322A">
        <w:rPr>
          <w:lang w:val="es-ES_tradnl"/>
        </w:rPr>
        <w:t>-R P.2109-1.</w:t>
      </w:r>
      <w:bookmarkEnd w:id="34"/>
    </w:p>
    <w:p w14:paraId="3CFAF06F" w14:textId="1138F84C" w:rsidR="008A0AEE" w:rsidRPr="0013322A" w:rsidRDefault="00C818E2" w:rsidP="00C718BB">
      <w:pPr>
        <w:pStyle w:val="enumlev2"/>
        <w:rPr>
          <w:lang w:val="es-ES_tradnl"/>
        </w:rPr>
      </w:pPr>
      <w:r w:rsidRPr="0013322A">
        <w:rPr>
          <w:lang w:val="es-ES_tradnl"/>
        </w:rPr>
        <w:t>•</w:t>
      </w:r>
      <w:r w:rsidR="008A0AEE" w:rsidRPr="0013322A">
        <w:rPr>
          <w:lang w:val="es-ES_tradnl"/>
        </w:rPr>
        <w:tab/>
      </w:r>
      <w:bookmarkStart w:id="35" w:name="lt_pId106"/>
      <w:r w:rsidR="00D931BC" w:rsidRPr="0013322A">
        <w:rPr>
          <w:lang w:val="es-ES_tradnl"/>
        </w:rPr>
        <w:t xml:space="preserve">Actualización de las </w:t>
      </w:r>
      <w:r w:rsidR="006246FC" w:rsidRPr="0013322A">
        <w:rPr>
          <w:lang w:val="es-ES_tradnl"/>
        </w:rPr>
        <w:t xml:space="preserve">secciones </w:t>
      </w:r>
      <w:r w:rsidR="008A0AEE" w:rsidRPr="0013322A">
        <w:rPr>
          <w:lang w:val="es-ES_tradnl"/>
        </w:rPr>
        <w:t xml:space="preserve">6.2, 6.3 </w:t>
      </w:r>
      <w:r w:rsidR="00D931BC" w:rsidRPr="0013322A">
        <w:rPr>
          <w:lang w:val="es-ES_tradnl"/>
        </w:rPr>
        <w:t>y 6.4 sobre el mínimo valor mediano del nivel de intensidad de campo para las Bandas I, II y III de ondas métricas respectivamente según los nuevos valores de pérdidas por penetración en edificios y valores finales redondeados a un decima</w:t>
      </w:r>
      <w:r w:rsidR="004A5437" w:rsidRPr="0013322A">
        <w:rPr>
          <w:lang w:val="es-ES_tradnl"/>
        </w:rPr>
        <w:t>l</w:t>
      </w:r>
      <w:r w:rsidR="008A0AEE" w:rsidRPr="0013322A">
        <w:rPr>
          <w:lang w:val="es-ES_tradnl"/>
        </w:rPr>
        <w:t>.</w:t>
      </w:r>
      <w:bookmarkEnd w:id="35"/>
    </w:p>
    <w:p w14:paraId="3D16E3A1" w14:textId="3A7B3879" w:rsidR="008A0AEE" w:rsidRPr="0013322A" w:rsidRDefault="00DA3472" w:rsidP="00EA6E36">
      <w:pPr>
        <w:tabs>
          <w:tab w:val="clear" w:pos="1985"/>
          <w:tab w:val="left" w:pos="8505"/>
        </w:tabs>
        <w:spacing w:before="480"/>
        <w:rPr>
          <w:lang w:val="es-ES_tradnl"/>
        </w:rPr>
      </w:pPr>
      <w:bookmarkStart w:id="36" w:name="lt_pId107"/>
      <w:r w:rsidRPr="0013322A">
        <w:rPr>
          <w:u w:val="single"/>
          <w:lang w:val="es-ES_tradnl"/>
        </w:rPr>
        <w:t>Proyecto de revisión de la Recomendación UIT</w:t>
      </w:r>
      <w:r w:rsidR="008A0AEE" w:rsidRPr="0013322A">
        <w:rPr>
          <w:u w:val="single"/>
          <w:lang w:val="es-ES_tradnl"/>
        </w:rPr>
        <w:t>-R BS.643-3</w:t>
      </w:r>
      <w:bookmarkEnd w:id="36"/>
      <w:r w:rsidR="008A0AEE" w:rsidRPr="0013322A">
        <w:rPr>
          <w:lang w:val="es-ES_tradnl"/>
        </w:rPr>
        <w:tab/>
      </w:r>
      <w:bookmarkStart w:id="37" w:name="lt_pId108"/>
      <w:r w:rsidR="008A0AEE" w:rsidRPr="0013322A">
        <w:rPr>
          <w:lang w:val="es-ES_tradnl"/>
        </w:rPr>
        <w:t>Doc. 6/264</w:t>
      </w:r>
      <w:bookmarkEnd w:id="37"/>
    </w:p>
    <w:p w14:paraId="2A498CC6" w14:textId="0E7522B6" w:rsidR="008A0AEE" w:rsidRPr="0013322A" w:rsidRDefault="008A0AEE" w:rsidP="00C718BB">
      <w:pPr>
        <w:pStyle w:val="Rectitle"/>
        <w:rPr>
          <w:lang w:val="es-ES_tradnl"/>
        </w:rPr>
      </w:pPr>
      <w:r w:rsidRPr="0013322A">
        <w:rPr>
          <w:lang w:val="es-ES_tradnl"/>
        </w:rPr>
        <w:t>Sistema de radiocomunicaciones de datos para la sintonía automática</w:t>
      </w:r>
      <w:r w:rsidR="00C718BB" w:rsidRPr="0013322A">
        <w:rPr>
          <w:lang w:val="es-ES_tradnl"/>
        </w:rPr>
        <w:br/>
      </w:r>
      <w:r w:rsidRPr="0013322A">
        <w:rPr>
          <w:lang w:val="es-ES_tradnl"/>
        </w:rPr>
        <w:t>y otras aplicaciones en los receptores radiofónicos con modulación</w:t>
      </w:r>
      <w:r w:rsidR="00C718BB" w:rsidRPr="0013322A">
        <w:rPr>
          <w:lang w:val="es-ES_tradnl"/>
        </w:rPr>
        <w:br/>
      </w:r>
      <w:r w:rsidRPr="0013322A">
        <w:rPr>
          <w:lang w:val="es-ES_tradnl"/>
        </w:rPr>
        <w:t>de frecuencia para su utilización con el sistema</w:t>
      </w:r>
      <w:r w:rsidR="00C718BB" w:rsidRPr="0013322A">
        <w:rPr>
          <w:lang w:val="es-ES_tradnl"/>
        </w:rPr>
        <w:br/>
      </w:r>
      <w:r w:rsidRPr="0013322A">
        <w:rPr>
          <w:lang w:val="es-ES_tradnl"/>
        </w:rPr>
        <w:t>de frecuencia piloto</w:t>
      </w:r>
    </w:p>
    <w:p w14:paraId="7FE8712D" w14:textId="49F1FF2A" w:rsidR="008A0AEE" w:rsidRPr="0013322A" w:rsidRDefault="00760095" w:rsidP="00EA6E36">
      <w:pPr>
        <w:spacing w:before="240"/>
        <w:rPr>
          <w:lang w:val="es-ES_tradnl"/>
        </w:rPr>
      </w:pPr>
      <w:bookmarkStart w:id="38" w:name="lt_pId110"/>
      <w:r w:rsidRPr="0013322A">
        <w:rPr>
          <w:lang w:val="es-ES_tradnl"/>
        </w:rPr>
        <w:t>La revisión contiene una actualización para armonizar</w:t>
      </w:r>
      <w:r w:rsidR="004A5437" w:rsidRPr="0013322A">
        <w:rPr>
          <w:lang w:val="es-ES_tradnl"/>
        </w:rPr>
        <w:t xml:space="preserve"> el texto</w:t>
      </w:r>
      <w:r w:rsidRPr="0013322A">
        <w:rPr>
          <w:lang w:val="es-ES_tradnl"/>
        </w:rPr>
        <w:t xml:space="preserve"> con la situación alcanzada durante la formulación de normas RDS ejecutada por</w:t>
      </w:r>
      <w:r w:rsidR="005E3D59" w:rsidRPr="0013322A">
        <w:rPr>
          <w:lang w:val="es-ES_tradnl"/>
        </w:rPr>
        <w:t xml:space="preserve"> el TC100 de</w:t>
      </w:r>
      <w:r w:rsidRPr="0013322A">
        <w:rPr>
          <w:lang w:val="es-ES_tradnl"/>
        </w:rPr>
        <w:t xml:space="preserve"> la CEI</w:t>
      </w:r>
      <w:r w:rsidR="008A0AEE" w:rsidRPr="0013322A">
        <w:rPr>
          <w:lang w:val="es-ES_tradnl"/>
        </w:rPr>
        <w:t>.</w:t>
      </w:r>
      <w:bookmarkEnd w:id="38"/>
      <w:r w:rsidR="008A0AEE" w:rsidRPr="0013322A">
        <w:rPr>
          <w:lang w:val="es-ES_tradnl"/>
        </w:rPr>
        <w:t xml:space="preserve"> </w:t>
      </w:r>
    </w:p>
    <w:p w14:paraId="1F4A7789" w14:textId="42DE39C4" w:rsidR="008A0AEE" w:rsidRPr="0013322A" w:rsidRDefault="00DA3472" w:rsidP="00EA6E36">
      <w:pPr>
        <w:tabs>
          <w:tab w:val="clear" w:pos="1985"/>
          <w:tab w:val="left" w:pos="8505"/>
        </w:tabs>
        <w:spacing w:before="480"/>
        <w:rPr>
          <w:lang w:val="es-ES_tradnl"/>
        </w:rPr>
      </w:pPr>
      <w:bookmarkStart w:id="39" w:name="lt_pId111"/>
      <w:r w:rsidRPr="0013322A">
        <w:rPr>
          <w:u w:val="single"/>
          <w:lang w:val="es-ES_tradnl"/>
        </w:rPr>
        <w:t>Proyecto de revisión de la Recomendación UIT</w:t>
      </w:r>
      <w:r w:rsidR="008A0AEE" w:rsidRPr="0013322A">
        <w:rPr>
          <w:u w:val="single"/>
          <w:lang w:val="es-ES_tradnl"/>
        </w:rPr>
        <w:t>-R BS.2107-0</w:t>
      </w:r>
      <w:bookmarkEnd w:id="39"/>
      <w:r w:rsidR="008A0AEE" w:rsidRPr="0013322A">
        <w:rPr>
          <w:lang w:val="es-ES_tradnl"/>
        </w:rPr>
        <w:tab/>
      </w:r>
      <w:bookmarkStart w:id="40" w:name="lt_pId112"/>
      <w:r w:rsidR="008A0AEE" w:rsidRPr="0013322A">
        <w:rPr>
          <w:lang w:val="es-ES_tradnl"/>
        </w:rPr>
        <w:t>Doc. 6/265</w:t>
      </w:r>
      <w:bookmarkEnd w:id="40"/>
    </w:p>
    <w:p w14:paraId="5A0AEF1B" w14:textId="49BE5D39" w:rsidR="008A0AEE" w:rsidRPr="0013322A" w:rsidRDefault="00ED5C56" w:rsidP="00C718BB">
      <w:pPr>
        <w:pStyle w:val="Rectitle"/>
        <w:rPr>
          <w:lang w:val="es-ES_tradnl"/>
        </w:rPr>
      </w:pPr>
      <w:r w:rsidRPr="0013322A">
        <w:rPr>
          <w:lang w:val="es-ES_tradnl"/>
        </w:rPr>
        <w:t xml:space="preserve">Utilización de las frecuencias de Radiocomunicaciones Internacionales </w:t>
      </w:r>
      <w:r w:rsidRPr="0013322A">
        <w:rPr>
          <w:lang w:val="es-ES_tradnl"/>
        </w:rPr>
        <w:br/>
        <w:t xml:space="preserve">para Operaciones de Socorro (IRDR) para la radiodifusión </w:t>
      </w:r>
      <w:r w:rsidRPr="0013322A">
        <w:rPr>
          <w:lang w:val="es-ES_tradnl"/>
        </w:rPr>
        <w:br/>
        <w:t>de emergencia en las bandas de ondas decamétricas</w:t>
      </w:r>
    </w:p>
    <w:p w14:paraId="5F641F8D" w14:textId="7EF915A0" w:rsidR="00ED5C56" w:rsidRPr="0013322A" w:rsidRDefault="005E3D59" w:rsidP="00EA6E36">
      <w:pPr>
        <w:spacing w:before="240"/>
        <w:rPr>
          <w:lang w:val="es-ES_tradnl"/>
        </w:rPr>
      </w:pPr>
      <w:bookmarkStart w:id="41" w:name="lt_pId115"/>
      <w:r w:rsidRPr="0013322A">
        <w:rPr>
          <w:lang w:val="es-ES_tradnl"/>
        </w:rPr>
        <w:t>Cambios más importantes</w:t>
      </w:r>
      <w:r w:rsidR="00ED5C56" w:rsidRPr="0013322A">
        <w:rPr>
          <w:lang w:val="es-ES_tradnl"/>
        </w:rPr>
        <w:t>:</w:t>
      </w:r>
      <w:bookmarkEnd w:id="41"/>
    </w:p>
    <w:p w14:paraId="1F1B4E53" w14:textId="72548B67" w:rsidR="00ED5C56" w:rsidRPr="0013322A" w:rsidRDefault="00ED5C56" w:rsidP="00C718BB">
      <w:pPr>
        <w:pStyle w:val="enumlev1"/>
        <w:rPr>
          <w:lang w:val="es-ES_tradnl"/>
        </w:rPr>
      </w:pPr>
      <w:r w:rsidRPr="0013322A">
        <w:rPr>
          <w:lang w:val="es-ES_tradnl"/>
        </w:rPr>
        <w:t>–</w:t>
      </w:r>
      <w:r w:rsidRPr="0013322A">
        <w:rPr>
          <w:lang w:val="es-ES_tradnl"/>
        </w:rPr>
        <w:tab/>
      </w:r>
      <w:bookmarkStart w:id="42" w:name="lt_pId117"/>
      <w:r w:rsidR="005E3D59" w:rsidRPr="0013322A">
        <w:rPr>
          <w:lang w:val="es-ES_tradnl"/>
        </w:rPr>
        <w:t xml:space="preserve">Coordinación de todas las frecuencias IRDR del cuadro del Anexo </w:t>
      </w:r>
      <w:r w:rsidRPr="0013322A">
        <w:rPr>
          <w:lang w:val="es-ES_tradnl"/>
        </w:rPr>
        <w:t xml:space="preserve">1 </w:t>
      </w:r>
      <w:r w:rsidR="005E3D59" w:rsidRPr="0013322A">
        <w:rPr>
          <w:lang w:val="es-ES_tradnl"/>
        </w:rPr>
        <w:t xml:space="preserve">para </w:t>
      </w:r>
      <w:r w:rsidRPr="0013322A">
        <w:rPr>
          <w:lang w:val="es-ES_tradnl"/>
        </w:rPr>
        <w:t>00:00 – 24:00 (UTC).</w:t>
      </w:r>
      <w:bookmarkEnd w:id="42"/>
      <w:r w:rsidRPr="0013322A">
        <w:rPr>
          <w:lang w:val="es-ES_tradnl"/>
        </w:rPr>
        <w:t xml:space="preserve"> </w:t>
      </w:r>
      <w:bookmarkStart w:id="43" w:name="lt_pId118"/>
      <w:r w:rsidR="005E3D59" w:rsidRPr="0013322A">
        <w:rPr>
          <w:lang w:val="es-ES_tradnl"/>
        </w:rPr>
        <w:t>Eliminación consiguiente de la tercera columna del cuadro</w:t>
      </w:r>
      <w:r w:rsidRPr="0013322A">
        <w:rPr>
          <w:lang w:val="es-ES_tradnl"/>
        </w:rPr>
        <w:t>.</w:t>
      </w:r>
      <w:bookmarkEnd w:id="43"/>
    </w:p>
    <w:p w14:paraId="7598816B" w14:textId="6D4CE24F" w:rsidR="00ED5C56" w:rsidRPr="0013322A" w:rsidRDefault="00ED5C56" w:rsidP="00C718BB">
      <w:pPr>
        <w:pStyle w:val="enumlev1"/>
        <w:rPr>
          <w:lang w:val="es-ES_tradnl"/>
        </w:rPr>
      </w:pPr>
      <w:r w:rsidRPr="0013322A">
        <w:rPr>
          <w:lang w:val="es-ES_tradnl"/>
        </w:rPr>
        <w:t>–</w:t>
      </w:r>
      <w:r w:rsidRPr="0013322A">
        <w:rPr>
          <w:lang w:val="es-ES_tradnl"/>
        </w:rPr>
        <w:tab/>
      </w:r>
      <w:bookmarkStart w:id="44" w:name="lt_pId120"/>
      <w:r w:rsidR="005E3D59" w:rsidRPr="0013322A">
        <w:rPr>
          <w:lang w:val="es-ES_tradnl"/>
        </w:rPr>
        <w:t xml:space="preserve">Cambio en el </w:t>
      </w:r>
      <w:r w:rsidR="005E3D59" w:rsidRPr="0013322A">
        <w:rPr>
          <w:i/>
          <w:lang w:val="es-ES_tradnl"/>
        </w:rPr>
        <w:t>considerando f)</w:t>
      </w:r>
      <w:r w:rsidR="005E3D59" w:rsidRPr="0013322A">
        <w:rPr>
          <w:lang w:val="es-ES_tradnl"/>
        </w:rPr>
        <w:t xml:space="preserve"> y el </w:t>
      </w:r>
      <w:r w:rsidR="005E3D59" w:rsidRPr="0013322A">
        <w:rPr>
          <w:i/>
          <w:lang w:val="es-ES_tradnl"/>
        </w:rPr>
        <w:t>recomienda</w:t>
      </w:r>
      <w:r w:rsidR="005E3D59" w:rsidRPr="0013322A">
        <w:rPr>
          <w:lang w:val="es-ES_tradnl"/>
        </w:rPr>
        <w:t xml:space="preserve"> derivado de la coordinación de todas las frecuencias </w:t>
      </w:r>
      <w:r w:rsidRPr="0013322A">
        <w:rPr>
          <w:lang w:val="es-ES_tradnl"/>
        </w:rPr>
        <w:t xml:space="preserve">IRDR </w:t>
      </w:r>
      <w:r w:rsidR="005E3D59" w:rsidRPr="0013322A">
        <w:rPr>
          <w:lang w:val="es-ES_tradnl"/>
        </w:rPr>
        <w:t xml:space="preserve">para </w:t>
      </w:r>
      <w:r w:rsidRPr="0013322A">
        <w:rPr>
          <w:lang w:val="es-ES_tradnl"/>
        </w:rPr>
        <w:t xml:space="preserve">24 </w:t>
      </w:r>
      <w:r w:rsidR="001D12CF" w:rsidRPr="0013322A">
        <w:rPr>
          <w:lang w:val="es-ES_tradnl"/>
        </w:rPr>
        <w:t xml:space="preserve">horas </w:t>
      </w:r>
      <w:r w:rsidR="005E3D59" w:rsidRPr="0013322A">
        <w:rPr>
          <w:lang w:val="es-ES_tradnl"/>
        </w:rPr>
        <w:t>al d</w:t>
      </w:r>
      <w:r w:rsidR="004A5437" w:rsidRPr="0013322A">
        <w:rPr>
          <w:lang w:val="es-ES_tradnl"/>
        </w:rPr>
        <w:t>ía</w:t>
      </w:r>
      <w:r w:rsidRPr="0013322A">
        <w:rPr>
          <w:lang w:val="es-ES_tradnl"/>
        </w:rPr>
        <w:t>.</w:t>
      </w:r>
      <w:bookmarkEnd w:id="44"/>
    </w:p>
    <w:p w14:paraId="76A9D9B5" w14:textId="6DCDA253" w:rsidR="00ED5C56" w:rsidRPr="0013322A" w:rsidRDefault="00DA3472" w:rsidP="00EA6E36">
      <w:pPr>
        <w:tabs>
          <w:tab w:val="clear" w:pos="1985"/>
          <w:tab w:val="left" w:pos="8364"/>
        </w:tabs>
        <w:spacing w:before="480"/>
        <w:rPr>
          <w:lang w:val="es-ES_tradnl"/>
        </w:rPr>
      </w:pPr>
      <w:bookmarkStart w:id="45" w:name="lt_pId121"/>
      <w:r w:rsidRPr="0013322A">
        <w:rPr>
          <w:u w:val="single"/>
          <w:lang w:val="es-ES_tradnl"/>
        </w:rPr>
        <w:t>Proyecto de revisión de la Recomendación UIT</w:t>
      </w:r>
      <w:r w:rsidR="00ED5C56" w:rsidRPr="0013322A">
        <w:rPr>
          <w:u w:val="single"/>
          <w:lang w:val="es-ES_tradnl"/>
        </w:rPr>
        <w:t>-R BT.1833-3</w:t>
      </w:r>
      <w:bookmarkEnd w:id="45"/>
      <w:r w:rsidR="00ED5C56" w:rsidRPr="0013322A">
        <w:rPr>
          <w:lang w:val="es-ES_tradnl"/>
        </w:rPr>
        <w:tab/>
      </w:r>
      <w:bookmarkStart w:id="46" w:name="lt_pId122"/>
      <w:r w:rsidR="00ED5C56" w:rsidRPr="0013322A">
        <w:rPr>
          <w:lang w:val="es-ES_tradnl"/>
        </w:rPr>
        <w:t>Doc. 6/275</w:t>
      </w:r>
      <w:bookmarkEnd w:id="46"/>
    </w:p>
    <w:p w14:paraId="270B2049" w14:textId="3D93C632" w:rsidR="00ED5C56" w:rsidRPr="0013322A" w:rsidRDefault="00ED5C56" w:rsidP="00C718BB">
      <w:pPr>
        <w:pStyle w:val="Rectitle"/>
        <w:rPr>
          <w:lang w:val="es-ES_tradnl"/>
        </w:rPr>
      </w:pPr>
      <w:r w:rsidRPr="0013322A">
        <w:rPr>
          <w:lang w:val="es-ES_tradnl"/>
        </w:rPr>
        <w:t>Radiodifusión de multimedios y aplicaciones de datos</w:t>
      </w:r>
      <w:r w:rsidR="0045044A" w:rsidRPr="0013322A">
        <w:rPr>
          <w:lang w:val="es-ES_tradnl"/>
        </w:rPr>
        <w:br/>
      </w:r>
      <w:r w:rsidRPr="0013322A">
        <w:rPr>
          <w:lang w:val="es-ES_tradnl"/>
        </w:rPr>
        <w:t>para recepción móvil mediante receptores de bolsillo</w:t>
      </w:r>
    </w:p>
    <w:p w14:paraId="0E2B61B1" w14:textId="799D595F" w:rsidR="00ED5C56" w:rsidRPr="0013322A" w:rsidRDefault="006E74DD" w:rsidP="00EA6E36">
      <w:pPr>
        <w:spacing w:before="240"/>
        <w:rPr>
          <w:lang w:val="es-ES_tradnl"/>
        </w:rPr>
      </w:pPr>
      <w:bookmarkStart w:id="47" w:name="lt_pId125"/>
      <w:r w:rsidRPr="0013322A">
        <w:rPr>
          <w:lang w:val="es-ES_tradnl"/>
        </w:rPr>
        <w:t xml:space="preserve">Esta revisión de la Recomendación </w:t>
      </w:r>
      <w:hyperlink r:id="rId19" w:history="1">
        <w:r w:rsidRPr="0013322A">
          <w:rPr>
            <w:rStyle w:val="Hyperlink"/>
            <w:lang w:val="es-ES_tradnl"/>
          </w:rPr>
          <w:t>UIT</w:t>
        </w:r>
        <w:r w:rsidR="00ED5C56" w:rsidRPr="0013322A">
          <w:rPr>
            <w:rStyle w:val="Hyperlink"/>
            <w:lang w:val="es-ES_tradnl"/>
          </w:rPr>
          <w:t>-R BT.1833</w:t>
        </w:r>
      </w:hyperlink>
      <w:r w:rsidR="00ED5C56" w:rsidRPr="0013322A">
        <w:rPr>
          <w:lang w:val="es-ES_tradnl"/>
        </w:rPr>
        <w:t xml:space="preserve"> in</w:t>
      </w:r>
      <w:r w:rsidRPr="0013322A">
        <w:rPr>
          <w:lang w:val="es-ES_tradnl"/>
        </w:rPr>
        <w:t xml:space="preserve">corpora el sistema multimedios </w:t>
      </w:r>
      <w:r w:rsidR="0045044A" w:rsidRPr="0013322A">
        <w:rPr>
          <w:lang w:val="es-ES_tradnl"/>
        </w:rPr>
        <w:t>«</w:t>
      </w:r>
      <w:r w:rsidR="00ED5C56" w:rsidRPr="0013322A">
        <w:rPr>
          <w:lang w:val="es-ES_tradnl"/>
        </w:rPr>
        <w:t>L</w:t>
      </w:r>
      <w:r w:rsidR="0045044A" w:rsidRPr="0013322A">
        <w:rPr>
          <w:lang w:val="es-ES_tradnl"/>
        </w:rPr>
        <w:t>»</w:t>
      </w:r>
      <w:r w:rsidR="00ED5C56" w:rsidRPr="0013322A">
        <w:rPr>
          <w:lang w:val="es-ES_tradnl"/>
        </w:rPr>
        <w:t xml:space="preserve">, </w:t>
      </w:r>
      <w:r w:rsidRPr="0013322A">
        <w:rPr>
          <w:lang w:val="es-ES_tradnl"/>
        </w:rPr>
        <w:t>basado en</w:t>
      </w:r>
      <w:r w:rsidR="00ED5C56" w:rsidRPr="0013322A">
        <w:rPr>
          <w:lang w:val="es-ES_tradnl"/>
        </w:rPr>
        <w:t xml:space="preserve"> </w:t>
      </w:r>
      <w:r w:rsidRPr="0013322A">
        <w:rPr>
          <w:lang w:val="es-ES_tradnl"/>
        </w:rPr>
        <w:t xml:space="preserve">la </w:t>
      </w:r>
      <w:r w:rsidR="00ED5C56" w:rsidRPr="0013322A">
        <w:rPr>
          <w:lang w:val="es-ES_tradnl"/>
        </w:rPr>
        <w:t>ETSI TS 103 720</w:t>
      </w:r>
      <w:r w:rsidR="00725E01" w:rsidRPr="0013322A">
        <w:rPr>
          <w:lang w:val="es-ES_tradnl"/>
        </w:rPr>
        <w:t xml:space="preserve">, </w:t>
      </w:r>
      <w:r w:rsidRPr="0013322A">
        <w:rPr>
          <w:lang w:val="es-ES_tradnl"/>
        </w:rPr>
        <w:t xml:space="preserve">sobre los sistemas de radiodifusión </w:t>
      </w:r>
      <w:r w:rsidR="00ED5C56" w:rsidRPr="0013322A">
        <w:rPr>
          <w:lang w:val="es-ES_tradnl"/>
        </w:rPr>
        <w:t xml:space="preserve">5G </w:t>
      </w:r>
      <w:r w:rsidRPr="0013322A">
        <w:rPr>
          <w:lang w:val="es-ES_tradnl"/>
        </w:rPr>
        <w:t xml:space="preserve">para los servicios lineales de televisión y radio y el sistema de radiodifusión terrenal 5G basado en </w:t>
      </w:r>
      <w:r w:rsidR="00ED5C56" w:rsidRPr="0013322A">
        <w:rPr>
          <w:lang w:val="es-ES_tradnl"/>
        </w:rPr>
        <w:t>LTE</w:t>
      </w:r>
      <w:r w:rsidRPr="0013322A">
        <w:rPr>
          <w:lang w:val="es-ES_tradnl"/>
        </w:rPr>
        <w:t xml:space="preserve">, y el sistema multimedios </w:t>
      </w:r>
      <w:r w:rsidR="0045044A" w:rsidRPr="0013322A">
        <w:rPr>
          <w:lang w:val="es-ES_tradnl"/>
        </w:rPr>
        <w:t>«</w:t>
      </w:r>
      <w:r w:rsidR="00ED5C56" w:rsidRPr="0013322A">
        <w:rPr>
          <w:lang w:val="es-ES_tradnl"/>
        </w:rPr>
        <w:t>S</w:t>
      </w:r>
      <w:r w:rsidR="0045044A" w:rsidRPr="0013322A">
        <w:rPr>
          <w:lang w:val="es-ES_tradnl"/>
        </w:rPr>
        <w:t>»</w:t>
      </w:r>
      <w:r w:rsidR="00ED5C56" w:rsidRPr="0013322A">
        <w:rPr>
          <w:lang w:val="es-ES_tradnl"/>
        </w:rPr>
        <w:t xml:space="preserve"> (ATSC</w:t>
      </w:r>
      <w:r w:rsidR="00D35127" w:rsidRPr="0013322A">
        <w:rPr>
          <w:lang w:val="es-ES_tradnl"/>
        </w:rPr>
        <w:t> </w:t>
      </w:r>
      <w:r w:rsidR="00ED5C56" w:rsidRPr="0013322A">
        <w:rPr>
          <w:lang w:val="es-ES_tradnl"/>
        </w:rPr>
        <w:t>3.0).</w:t>
      </w:r>
      <w:bookmarkEnd w:id="47"/>
      <w:r w:rsidR="00ED5C56" w:rsidRPr="0013322A">
        <w:rPr>
          <w:lang w:val="es-ES_tradnl"/>
        </w:rPr>
        <w:t xml:space="preserve"> </w:t>
      </w:r>
      <w:bookmarkStart w:id="48" w:name="lt_pId126"/>
      <w:r w:rsidRPr="0013322A">
        <w:rPr>
          <w:lang w:val="es-ES_tradnl"/>
        </w:rPr>
        <w:t xml:space="preserve">También incluye una pequeña modificación del texto correspondiente al sistema multimedios </w:t>
      </w:r>
      <w:r w:rsidR="0045044A" w:rsidRPr="0013322A">
        <w:rPr>
          <w:lang w:val="es-ES_tradnl"/>
        </w:rPr>
        <w:t>«</w:t>
      </w:r>
      <w:r w:rsidR="00ED5C56" w:rsidRPr="0013322A">
        <w:rPr>
          <w:lang w:val="es-ES_tradnl"/>
        </w:rPr>
        <w:t>B</w:t>
      </w:r>
      <w:r w:rsidR="0045044A" w:rsidRPr="0013322A">
        <w:rPr>
          <w:lang w:val="es-ES_tradnl"/>
        </w:rPr>
        <w:t>»</w:t>
      </w:r>
      <w:r w:rsidR="00ED5C56" w:rsidRPr="0013322A">
        <w:rPr>
          <w:lang w:val="es-ES_tradnl"/>
        </w:rPr>
        <w:t xml:space="preserve"> (ATSC 1.0) </w:t>
      </w:r>
      <w:r w:rsidRPr="0013322A">
        <w:rPr>
          <w:lang w:val="es-ES_tradnl"/>
        </w:rPr>
        <w:t xml:space="preserve">en el Cuadro </w:t>
      </w:r>
      <w:r w:rsidR="00ED5C56" w:rsidRPr="0013322A">
        <w:rPr>
          <w:lang w:val="es-ES_tradnl"/>
        </w:rPr>
        <w:t>1.</w:t>
      </w:r>
      <w:bookmarkEnd w:id="48"/>
    </w:p>
    <w:p w14:paraId="41377930" w14:textId="77777777" w:rsidR="00ED5C56" w:rsidRPr="0013322A" w:rsidRDefault="00ED5C56" w:rsidP="00C718BB">
      <w:pPr>
        <w:pStyle w:val="Reasons"/>
        <w:rPr>
          <w:lang w:val="es-ES_tradnl"/>
        </w:rPr>
      </w:pPr>
    </w:p>
    <w:p w14:paraId="0830FA5C" w14:textId="77777777" w:rsidR="00ED5C56" w:rsidRPr="0013322A" w:rsidRDefault="00ED5C56" w:rsidP="00C718BB">
      <w:pPr>
        <w:spacing w:line="240" w:lineRule="auto"/>
        <w:jc w:val="center"/>
        <w:rPr>
          <w:lang w:val="es-ES_tradnl"/>
        </w:rPr>
      </w:pPr>
      <w:r w:rsidRPr="0013322A">
        <w:rPr>
          <w:lang w:val="es-ES_tradnl"/>
        </w:rPr>
        <w:t>______________</w:t>
      </w:r>
    </w:p>
    <w:sectPr w:rsidR="00ED5C56" w:rsidRPr="0013322A"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D1AF" w14:textId="77777777" w:rsidR="002B7EE0" w:rsidRDefault="002B7EE0">
      <w:r>
        <w:separator/>
      </w:r>
    </w:p>
  </w:endnote>
  <w:endnote w:type="continuationSeparator" w:id="0">
    <w:p w14:paraId="3EF402DE"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040E" w14:textId="16BB8E6D" w:rsidR="00AF052B" w:rsidRPr="00AD3765"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AD3765">
      <w:rPr>
        <w:color w:val="4F81BD" w:themeColor="accent1"/>
        <w:sz w:val="18"/>
        <w:szCs w:val="18"/>
        <w:lang w:val="es-ES_tradnl"/>
      </w:rPr>
      <w:t>Unión Internacional de Telecomunicaciones • Place des Nations</w:t>
    </w:r>
    <w:r w:rsidR="004A1699">
      <w:rPr>
        <w:color w:val="4F81BD" w:themeColor="accent1"/>
        <w:sz w:val="18"/>
        <w:szCs w:val="18"/>
        <w:lang w:val="es-ES_tradnl"/>
      </w:rPr>
      <w:t xml:space="preserve">, </w:t>
    </w:r>
    <w:r w:rsidRPr="00AD3765">
      <w:rPr>
        <w:color w:val="4F81BD" w:themeColor="accent1"/>
        <w:sz w:val="18"/>
        <w:szCs w:val="18"/>
        <w:lang w:val="es-ES_tradnl"/>
      </w:rPr>
      <w:t>CH</w:t>
    </w:r>
    <w:r w:rsidRPr="00AD3765">
      <w:rPr>
        <w:color w:val="4F81BD" w:themeColor="accent1"/>
        <w:sz w:val="18"/>
        <w:szCs w:val="18"/>
        <w:lang w:val="es-ES_tradnl"/>
      </w:rPr>
      <w:noBreakHyphen/>
      <w:t>1211 Ginebra 20</w:t>
    </w:r>
    <w:r w:rsidR="004A1699">
      <w:rPr>
        <w:color w:val="4F81BD" w:themeColor="accent1"/>
        <w:sz w:val="18"/>
        <w:szCs w:val="18"/>
        <w:lang w:val="es-ES_tradnl"/>
      </w:rPr>
      <w:t xml:space="preserve">, </w:t>
    </w:r>
    <w:r w:rsidRPr="00AD3765">
      <w:rPr>
        <w:color w:val="4F81BD" w:themeColor="accent1"/>
        <w:sz w:val="18"/>
        <w:szCs w:val="18"/>
        <w:lang w:val="es-ES_tradnl"/>
      </w:rPr>
      <w:t>Suiza</w:t>
    </w:r>
    <w:r w:rsidR="004A1699">
      <w:rPr>
        <w:color w:val="4F81BD" w:themeColor="accent1"/>
        <w:sz w:val="18"/>
        <w:szCs w:val="18"/>
        <w:lang w:val="es-ES_tradnl"/>
      </w:rPr>
      <w:t xml:space="preserve"> </w:t>
    </w:r>
    <w:r w:rsidR="004A1699" w:rsidRPr="00AD3765">
      <w:rPr>
        <w:color w:val="4F81BD" w:themeColor="accent1"/>
        <w:sz w:val="18"/>
        <w:szCs w:val="18"/>
        <w:lang w:val="es-ES_tradnl"/>
      </w:rPr>
      <w:t>•</w:t>
    </w:r>
    <w:r w:rsidRPr="00AD3765">
      <w:rPr>
        <w:color w:val="4F81BD" w:themeColor="accent1"/>
        <w:sz w:val="18"/>
        <w:szCs w:val="18"/>
        <w:lang w:val="es-ES_tradnl"/>
      </w:rPr>
      <w:br/>
      <w:t xml:space="preserve">Tel: +41 22 730 5111 • Correo-e: </w:t>
    </w:r>
    <w:hyperlink r:id="rId1" w:history="1">
      <w:r w:rsidRPr="004A1699">
        <w:rPr>
          <w:color w:val="0000FF"/>
          <w:sz w:val="18"/>
          <w:szCs w:val="18"/>
          <w:u w:val="single"/>
          <w:lang w:val="es-ES_tradnl"/>
        </w:rPr>
        <w:t>itumail@itu.int</w:t>
      </w:r>
    </w:hyperlink>
    <w:r w:rsidRPr="00AD3765">
      <w:rPr>
        <w:color w:val="4F81BD" w:themeColor="accent1"/>
        <w:sz w:val="18"/>
        <w:szCs w:val="18"/>
        <w:lang w:val="es-ES_tradnl"/>
      </w:rPr>
      <w:t xml:space="preserve"> • Fax: +41 22 733 7256 • </w:t>
    </w:r>
    <w:hyperlink r:id="rId2" w:history="1">
      <w:r w:rsidR="00193FEC" w:rsidRPr="000D6BDD">
        <w:rPr>
          <w:rStyle w:val="Hyperlink"/>
          <w:sz w:val="18"/>
          <w:szCs w:val="18"/>
          <w:lang w:val="es-ES_tradnl"/>
        </w:rPr>
        <w:t>www.itu.int</w:t>
      </w:r>
    </w:hyperlink>
    <w:r w:rsidR="00193FEC">
      <w:rPr>
        <w:color w:val="4F81BD" w:themeColor="accent1"/>
        <w:sz w:val="18"/>
        <w:szCs w:val="18"/>
        <w:lang w:val="es-ES_tradnl"/>
      </w:rPr>
      <w:t xml:space="preserve"> </w:t>
    </w:r>
    <w:r w:rsidRPr="00AD3765">
      <w:rPr>
        <w:color w:val="4F81BD" w:themeColor="accent1"/>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AA53" w14:textId="77777777" w:rsidR="002B7EE0" w:rsidRDefault="002B7EE0">
      <w:r>
        <w:t>____________________</w:t>
      </w:r>
    </w:p>
  </w:footnote>
  <w:footnote w:type="continuationSeparator" w:id="0">
    <w:p w14:paraId="253584B3" w14:textId="77777777" w:rsidR="002B7EE0" w:rsidRDefault="002B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F478" w14:textId="1D6E9B00" w:rsidR="00E915AF" w:rsidRPr="00D239B4" w:rsidRDefault="00D97EF5" w:rsidP="00750120">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042099">
      <w:rPr>
        <w:rStyle w:val="PageNumber"/>
        <w:noProof/>
        <w:sz w:val="18"/>
        <w:szCs w:val="16"/>
      </w:rPr>
      <w:t>6</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D5EA" w14:textId="07F84277" w:rsidR="00E915AF" w:rsidRPr="00750120" w:rsidRDefault="00750120" w:rsidP="0075012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042099">
      <w:rPr>
        <w:rStyle w:val="PageNumber"/>
        <w:noProof/>
        <w:sz w:val="18"/>
        <w:szCs w:val="16"/>
      </w:rPr>
      <w:t>7</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912D" w14:textId="550A90E7" w:rsidR="00E915AF" w:rsidRPr="001B3D4D" w:rsidRDefault="00BC112D" w:rsidP="00BC112D">
    <w:pPr>
      <w:pStyle w:val="Header"/>
      <w:spacing w:before="960"/>
      <w:jc w:val="center"/>
    </w:pPr>
    <w:r>
      <w:rPr>
        <w:noProof/>
      </w:rPr>
      <w:drawing>
        <wp:inline distT="0" distB="0" distL="0" distR="0" wp14:anchorId="1165D09A" wp14:editId="0A005FE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378895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4882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_tradnl"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2ED2"/>
    <w:rsid w:val="00015C76"/>
    <w:rsid w:val="00026CF8"/>
    <w:rsid w:val="00030BD7"/>
    <w:rsid w:val="00031E64"/>
    <w:rsid w:val="00034340"/>
    <w:rsid w:val="00035CB3"/>
    <w:rsid w:val="00042099"/>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0F08AF"/>
    <w:rsid w:val="00100B72"/>
    <w:rsid w:val="00101F7D"/>
    <w:rsid w:val="00103C76"/>
    <w:rsid w:val="0011265F"/>
    <w:rsid w:val="00117282"/>
    <w:rsid w:val="00117389"/>
    <w:rsid w:val="00121C2D"/>
    <w:rsid w:val="0013322A"/>
    <w:rsid w:val="00134404"/>
    <w:rsid w:val="00144DFB"/>
    <w:rsid w:val="00187CA3"/>
    <w:rsid w:val="00193FEC"/>
    <w:rsid w:val="00195EB7"/>
    <w:rsid w:val="00196710"/>
    <w:rsid w:val="00196770"/>
    <w:rsid w:val="00197324"/>
    <w:rsid w:val="001B351B"/>
    <w:rsid w:val="001B3D4D"/>
    <w:rsid w:val="001B42C9"/>
    <w:rsid w:val="001C06DB"/>
    <w:rsid w:val="001C65D0"/>
    <w:rsid w:val="001C6971"/>
    <w:rsid w:val="001D12CF"/>
    <w:rsid w:val="001D2785"/>
    <w:rsid w:val="001D7070"/>
    <w:rsid w:val="001F2170"/>
    <w:rsid w:val="001F3948"/>
    <w:rsid w:val="001F5A49"/>
    <w:rsid w:val="00201097"/>
    <w:rsid w:val="00201B6E"/>
    <w:rsid w:val="002302B3"/>
    <w:rsid w:val="00230C66"/>
    <w:rsid w:val="002317AD"/>
    <w:rsid w:val="00235A29"/>
    <w:rsid w:val="00241526"/>
    <w:rsid w:val="0024164C"/>
    <w:rsid w:val="002443A2"/>
    <w:rsid w:val="00257BE7"/>
    <w:rsid w:val="00266E74"/>
    <w:rsid w:val="00283C3B"/>
    <w:rsid w:val="002861E6"/>
    <w:rsid w:val="00287D18"/>
    <w:rsid w:val="002A2618"/>
    <w:rsid w:val="002A5DD7"/>
    <w:rsid w:val="002B0CAC"/>
    <w:rsid w:val="002B7EE0"/>
    <w:rsid w:val="002D5A15"/>
    <w:rsid w:val="002D5BDD"/>
    <w:rsid w:val="002E045B"/>
    <w:rsid w:val="002E3D27"/>
    <w:rsid w:val="002F0890"/>
    <w:rsid w:val="002F2531"/>
    <w:rsid w:val="002F4967"/>
    <w:rsid w:val="00306452"/>
    <w:rsid w:val="00311970"/>
    <w:rsid w:val="00316935"/>
    <w:rsid w:val="003266ED"/>
    <w:rsid w:val="00326C68"/>
    <w:rsid w:val="0033029C"/>
    <w:rsid w:val="003370B8"/>
    <w:rsid w:val="003411FF"/>
    <w:rsid w:val="00345D38"/>
    <w:rsid w:val="00352097"/>
    <w:rsid w:val="003666FF"/>
    <w:rsid w:val="0037309C"/>
    <w:rsid w:val="00380A6E"/>
    <w:rsid w:val="003836D4"/>
    <w:rsid w:val="003974CD"/>
    <w:rsid w:val="003A1F49"/>
    <w:rsid w:val="003A55ED"/>
    <w:rsid w:val="003A5D52"/>
    <w:rsid w:val="003A7F69"/>
    <w:rsid w:val="003B2BDA"/>
    <w:rsid w:val="003B55EC"/>
    <w:rsid w:val="003C2EA7"/>
    <w:rsid w:val="003C4471"/>
    <w:rsid w:val="003C7D41"/>
    <w:rsid w:val="003D4A69"/>
    <w:rsid w:val="003E5047"/>
    <w:rsid w:val="003E504F"/>
    <w:rsid w:val="003E78D6"/>
    <w:rsid w:val="003F0E9F"/>
    <w:rsid w:val="003F4BD8"/>
    <w:rsid w:val="00400573"/>
    <w:rsid w:val="004007A3"/>
    <w:rsid w:val="00406D71"/>
    <w:rsid w:val="004326DB"/>
    <w:rsid w:val="0043682E"/>
    <w:rsid w:val="00447ECB"/>
    <w:rsid w:val="0045044A"/>
    <w:rsid w:val="004623F7"/>
    <w:rsid w:val="00480F51"/>
    <w:rsid w:val="00481124"/>
    <w:rsid w:val="004815EB"/>
    <w:rsid w:val="00487569"/>
    <w:rsid w:val="00496864"/>
    <w:rsid w:val="00496920"/>
    <w:rsid w:val="004A1699"/>
    <w:rsid w:val="004A4496"/>
    <w:rsid w:val="004A5437"/>
    <w:rsid w:val="004A5F47"/>
    <w:rsid w:val="004B11AB"/>
    <w:rsid w:val="004B7C9A"/>
    <w:rsid w:val="004C6779"/>
    <w:rsid w:val="004D733B"/>
    <w:rsid w:val="004E0DC4"/>
    <w:rsid w:val="004E0FB5"/>
    <w:rsid w:val="004E43BB"/>
    <w:rsid w:val="004E460D"/>
    <w:rsid w:val="004F178E"/>
    <w:rsid w:val="004F4543"/>
    <w:rsid w:val="004F57BB"/>
    <w:rsid w:val="005014F4"/>
    <w:rsid w:val="00505309"/>
    <w:rsid w:val="0050789B"/>
    <w:rsid w:val="005224A1"/>
    <w:rsid w:val="00534372"/>
    <w:rsid w:val="00535FEF"/>
    <w:rsid w:val="005370F0"/>
    <w:rsid w:val="00543DF8"/>
    <w:rsid w:val="00546101"/>
    <w:rsid w:val="005512A4"/>
    <w:rsid w:val="00553DD7"/>
    <w:rsid w:val="005563E9"/>
    <w:rsid w:val="00562D59"/>
    <w:rsid w:val="005638CF"/>
    <w:rsid w:val="0056741E"/>
    <w:rsid w:val="0057325A"/>
    <w:rsid w:val="0057469A"/>
    <w:rsid w:val="00580814"/>
    <w:rsid w:val="00583A0B"/>
    <w:rsid w:val="005A03A3"/>
    <w:rsid w:val="005A2B92"/>
    <w:rsid w:val="005A3F66"/>
    <w:rsid w:val="005A79E9"/>
    <w:rsid w:val="005B1059"/>
    <w:rsid w:val="005B214C"/>
    <w:rsid w:val="005B33AB"/>
    <w:rsid w:val="005B4CDA"/>
    <w:rsid w:val="005D3669"/>
    <w:rsid w:val="005E3D59"/>
    <w:rsid w:val="005E5EB3"/>
    <w:rsid w:val="005F3CB6"/>
    <w:rsid w:val="005F657C"/>
    <w:rsid w:val="00602D53"/>
    <w:rsid w:val="006047E5"/>
    <w:rsid w:val="006246FC"/>
    <w:rsid w:val="0064307D"/>
    <w:rsid w:val="0064371D"/>
    <w:rsid w:val="00650543"/>
    <w:rsid w:val="00650B2A"/>
    <w:rsid w:val="00651777"/>
    <w:rsid w:val="006550F8"/>
    <w:rsid w:val="006829F3"/>
    <w:rsid w:val="00693C49"/>
    <w:rsid w:val="006A518B"/>
    <w:rsid w:val="006B0590"/>
    <w:rsid w:val="006B49DA"/>
    <w:rsid w:val="006C53F8"/>
    <w:rsid w:val="006C7CDE"/>
    <w:rsid w:val="006E70E1"/>
    <w:rsid w:val="006E74DD"/>
    <w:rsid w:val="006F04CA"/>
    <w:rsid w:val="007234B1"/>
    <w:rsid w:val="00723D08"/>
    <w:rsid w:val="00725E01"/>
    <w:rsid w:val="00725FDA"/>
    <w:rsid w:val="00727816"/>
    <w:rsid w:val="00730B9A"/>
    <w:rsid w:val="00750120"/>
    <w:rsid w:val="00750C5E"/>
    <w:rsid w:val="00750CFA"/>
    <w:rsid w:val="007553DA"/>
    <w:rsid w:val="00760095"/>
    <w:rsid w:val="00775DB8"/>
    <w:rsid w:val="00782354"/>
    <w:rsid w:val="007921A7"/>
    <w:rsid w:val="007B3DB1"/>
    <w:rsid w:val="007D183E"/>
    <w:rsid w:val="007D43D0"/>
    <w:rsid w:val="007E1833"/>
    <w:rsid w:val="007E3F13"/>
    <w:rsid w:val="007F751A"/>
    <w:rsid w:val="00800012"/>
    <w:rsid w:val="0080261F"/>
    <w:rsid w:val="00803D53"/>
    <w:rsid w:val="00805A02"/>
    <w:rsid w:val="00806160"/>
    <w:rsid w:val="008143A4"/>
    <w:rsid w:val="0081513E"/>
    <w:rsid w:val="00815B82"/>
    <w:rsid w:val="00854131"/>
    <w:rsid w:val="0085652D"/>
    <w:rsid w:val="0087694B"/>
    <w:rsid w:val="00880F4D"/>
    <w:rsid w:val="008A0AEE"/>
    <w:rsid w:val="008B35A3"/>
    <w:rsid w:val="008B37E1"/>
    <w:rsid w:val="008B45F8"/>
    <w:rsid w:val="008C2E74"/>
    <w:rsid w:val="008D5409"/>
    <w:rsid w:val="008D6955"/>
    <w:rsid w:val="008E006D"/>
    <w:rsid w:val="008E38B4"/>
    <w:rsid w:val="008F4F21"/>
    <w:rsid w:val="00904D4A"/>
    <w:rsid w:val="00907147"/>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16A6"/>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23D"/>
    <w:rsid w:val="00AD2CF2"/>
    <w:rsid w:val="00AD3765"/>
    <w:rsid w:val="00AE2D88"/>
    <w:rsid w:val="00AE6F6F"/>
    <w:rsid w:val="00AF052B"/>
    <w:rsid w:val="00AF3325"/>
    <w:rsid w:val="00AF34D9"/>
    <w:rsid w:val="00AF5B37"/>
    <w:rsid w:val="00AF70DA"/>
    <w:rsid w:val="00B019D3"/>
    <w:rsid w:val="00B07B47"/>
    <w:rsid w:val="00B34CF9"/>
    <w:rsid w:val="00B37559"/>
    <w:rsid w:val="00B4054B"/>
    <w:rsid w:val="00B41F98"/>
    <w:rsid w:val="00B579B0"/>
    <w:rsid w:val="00B57D11"/>
    <w:rsid w:val="00B649D7"/>
    <w:rsid w:val="00B66D9A"/>
    <w:rsid w:val="00B81C2F"/>
    <w:rsid w:val="00B90743"/>
    <w:rsid w:val="00B90C45"/>
    <w:rsid w:val="00B933BE"/>
    <w:rsid w:val="00BC112D"/>
    <w:rsid w:val="00BD6738"/>
    <w:rsid w:val="00BD7E5E"/>
    <w:rsid w:val="00BE63DB"/>
    <w:rsid w:val="00BE6574"/>
    <w:rsid w:val="00C07319"/>
    <w:rsid w:val="00C16FD2"/>
    <w:rsid w:val="00C4395E"/>
    <w:rsid w:val="00C47FFD"/>
    <w:rsid w:val="00C51BD9"/>
    <w:rsid w:val="00C51E92"/>
    <w:rsid w:val="00C57E2C"/>
    <w:rsid w:val="00C608B7"/>
    <w:rsid w:val="00C66F24"/>
    <w:rsid w:val="00C718BB"/>
    <w:rsid w:val="00C76D7F"/>
    <w:rsid w:val="00C813AA"/>
    <w:rsid w:val="00C818E2"/>
    <w:rsid w:val="00C9291E"/>
    <w:rsid w:val="00CA3F44"/>
    <w:rsid w:val="00CA4E58"/>
    <w:rsid w:val="00CB11EC"/>
    <w:rsid w:val="00CB3771"/>
    <w:rsid w:val="00CB44BF"/>
    <w:rsid w:val="00CB5153"/>
    <w:rsid w:val="00CE076A"/>
    <w:rsid w:val="00CE463D"/>
    <w:rsid w:val="00D10BA0"/>
    <w:rsid w:val="00D21694"/>
    <w:rsid w:val="00D239B4"/>
    <w:rsid w:val="00D24EB5"/>
    <w:rsid w:val="00D35127"/>
    <w:rsid w:val="00D35AB9"/>
    <w:rsid w:val="00D41571"/>
    <w:rsid w:val="00D416A0"/>
    <w:rsid w:val="00D47672"/>
    <w:rsid w:val="00D5123C"/>
    <w:rsid w:val="00D55560"/>
    <w:rsid w:val="00D61C5A"/>
    <w:rsid w:val="00D63BFF"/>
    <w:rsid w:val="00D6790C"/>
    <w:rsid w:val="00D73277"/>
    <w:rsid w:val="00D76586"/>
    <w:rsid w:val="00D82657"/>
    <w:rsid w:val="00D87E20"/>
    <w:rsid w:val="00D931BC"/>
    <w:rsid w:val="00D97EF5"/>
    <w:rsid w:val="00DA3472"/>
    <w:rsid w:val="00DA4037"/>
    <w:rsid w:val="00DE66A5"/>
    <w:rsid w:val="00DF2B50"/>
    <w:rsid w:val="00E01059"/>
    <w:rsid w:val="00E04C86"/>
    <w:rsid w:val="00E17344"/>
    <w:rsid w:val="00E20F30"/>
    <w:rsid w:val="00E2189C"/>
    <w:rsid w:val="00E25BB1"/>
    <w:rsid w:val="00E27BBA"/>
    <w:rsid w:val="00E30A6A"/>
    <w:rsid w:val="00E30E3F"/>
    <w:rsid w:val="00E35E8F"/>
    <w:rsid w:val="00E428AB"/>
    <w:rsid w:val="00E438E8"/>
    <w:rsid w:val="00E453A3"/>
    <w:rsid w:val="00E520E2"/>
    <w:rsid w:val="00E530C4"/>
    <w:rsid w:val="00E53DCE"/>
    <w:rsid w:val="00E55996"/>
    <w:rsid w:val="00E614DF"/>
    <w:rsid w:val="00E64254"/>
    <w:rsid w:val="00E67928"/>
    <w:rsid w:val="00E70FB5"/>
    <w:rsid w:val="00E915AF"/>
    <w:rsid w:val="00E96415"/>
    <w:rsid w:val="00EA15B3"/>
    <w:rsid w:val="00EA6E36"/>
    <w:rsid w:val="00EB2358"/>
    <w:rsid w:val="00EB3EB8"/>
    <w:rsid w:val="00EC00EF"/>
    <w:rsid w:val="00EC02FE"/>
    <w:rsid w:val="00EC4A96"/>
    <w:rsid w:val="00ED5C56"/>
    <w:rsid w:val="00EE03A0"/>
    <w:rsid w:val="00F424BF"/>
    <w:rsid w:val="00F44FC3"/>
    <w:rsid w:val="00F46107"/>
    <w:rsid w:val="00F468C5"/>
    <w:rsid w:val="00F52F39"/>
    <w:rsid w:val="00F6184F"/>
    <w:rsid w:val="00F8310E"/>
    <w:rsid w:val="00F914DD"/>
    <w:rsid w:val="00F91D71"/>
    <w:rsid w:val="00FA2358"/>
    <w:rsid w:val="00FB2592"/>
    <w:rsid w:val="00FB2810"/>
    <w:rsid w:val="00FB795C"/>
    <w:rsid w:val="00FB7A2C"/>
    <w:rsid w:val="00FC2947"/>
    <w:rsid w:val="00FC5918"/>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B3934A9"/>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UnresolvedMention1">
    <w:name w:val="Unresolved Mention1"/>
    <w:basedOn w:val="DefaultParagraphFont"/>
    <w:uiPriority w:val="99"/>
    <w:semiHidden/>
    <w:unhideWhenUsed/>
    <w:rsid w:val="005563E9"/>
    <w:rPr>
      <w:color w:val="605E5C"/>
      <w:shd w:val="clear" w:color="auto" w:fill="E1DFDD"/>
    </w:rPr>
  </w:style>
  <w:style w:type="paragraph" w:styleId="Revision">
    <w:name w:val="Revision"/>
    <w:hidden/>
    <w:uiPriority w:val="99"/>
    <w:semiHidden/>
    <w:rsid w:val="005B1059"/>
    <w:rPr>
      <w:sz w:val="24"/>
      <w:szCs w:val="22"/>
      <w:lang w:val="en-US" w:eastAsia="en-US"/>
    </w:rPr>
  </w:style>
  <w:style w:type="character" w:styleId="FollowedHyperlink">
    <w:name w:val="FollowedHyperlink"/>
    <w:basedOn w:val="DefaultParagraphFont"/>
    <w:semiHidden/>
    <w:unhideWhenUsed/>
    <w:rsid w:val="005B1059"/>
    <w:rPr>
      <w:color w:val="800080" w:themeColor="followedHyperlink"/>
      <w:u w:val="single"/>
    </w:rPr>
  </w:style>
  <w:style w:type="paragraph" w:styleId="CommentSubject">
    <w:name w:val="annotation subject"/>
    <w:basedOn w:val="CommentText"/>
    <w:next w:val="CommentText"/>
    <w:link w:val="CommentSubjectChar"/>
    <w:semiHidden/>
    <w:unhideWhenUsed/>
    <w:rsid w:val="003F4BD8"/>
    <w:pPr>
      <w:spacing w:line="240" w:lineRule="auto"/>
    </w:pPr>
    <w:rPr>
      <w:b/>
      <w:bCs/>
      <w:szCs w:val="20"/>
    </w:rPr>
  </w:style>
  <w:style w:type="character" w:customStyle="1" w:styleId="CommentTextChar">
    <w:name w:val="Comment Text Char"/>
    <w:basedOn w:val="DefaultParagraphFont"/>
    <w:link w:val="CommentText"/>
    <w:semiHidden/>
    <w:rsid w:val="003F4BD8"/>
    <w:rPr>
      <w:szCs w:val="22"/>
      <w:lang w:val="en-US" w:eastAsia="en-US"/>
    </w:rPr>
  </w:style>
  <w:style w:type="character" w:customStyle="1" w:styleId="CommentSubjectChar">
    <w:name w:val="Comment Subject Char"/>
    <w:basedOn w:val="CommentTextChar"/>
    <w:link w:val="CommentSubject"/>
    <w:semiHidden/>
    <w:rsid w:val="003F4BD8"/>
    <w:rPr>
      <w:b/>
      <w:bCs/>
      <w:szCs w:val="22"/>
      <w:lang w:val="en-US" w:eastAsia="en-US"/>
    </w:rPr>
  </w:style>
  <w:style w:type="paragraph" w:customStyle="1" w:styleId="Reasons">
    <w:name w:val="Reasons"/>
    <w:basedOn w:val="Normal"/>
    <w:qFormat/>
    <w:rsid w:val="00ED5C5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UnresolvedMention">
    <w:name w:val="Unresolved Mention"/>
    <w:basedOn w:val="DefaultParagraphFont"/>
    <w:uiPriority w:val="99"/>
    <w:semiHidden/>
    <w:unhideWhenUsed/>
    <w:rsid w:val="00193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es" TargetMode="External"/><Relationship Id="rId13" Type="http://schemas.openxmlformats.org/officeDocument/2006/relationships/hyperlink" Target="https://www.itu.int/md/R19-SG06-C-0264/es" TargetMode="External"/><Relationship Id="rId18" Type="http://schemas.openxmlformats.org/officeDocument/2006/relationships/hyperlink" Target="https://www.itu.int/md/R19-SG06-C/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R19-SG06-C-0262/es" TargetMode="External"/><Relationship Id="rId17" Type="http://schemas.openxmlformats.org/officeDocument/2006/relationships/hyperlink" Target="https://www.itu.int/md/R19-SG06-C-0276/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19-SG06-C-0275/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6-C-0260/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9-SG06-C-0270/es" TargetMode="External"/><Relationship Id="rId23" Type="http://schemas.openxmlformats.org/officeDocument/2006/relationships/footer" Target="footer1.xml"/><Relationship Id="rId10" Type="http://schemas.openxmlformats.org/officeDocument/2006/relationships/hyperlink" Target="https://www.itu.int/md/R19-SG06-C-0254/es" TargetMode="External"/><Relationship Id="rId19" Type="http://schemas.openxmlformats.org/officeDocument/2006/relationships/hyperlink" Target="https://www.itu.int/rec/R-REC-BT.1833/es" TargetMode="External"/><Relationship Id="rId4" Type="http://schemas.openxmlformats.org/officeDocument/2006/relationships/settings" Target="settings.xml"/><Relationship Id="rId9" Type="http://schemas.openxmlformats.org/officeDocument/2006/relationships/hyperlink" Target="https://www.itu.int/es/ITU-T/ipr/Pages/policy.aspx" TargetMode="External"/><Relationship Id="rId14" Type="http://schemas.openxmlformats.org/officeDocument/2006/relationships/hyperlink" Target="https://www.itu.int/md/R19-SG06-C-0265/e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D0EC-8CE8-48EC-9066-1DA47F83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8891</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10321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5</cp:revision>
  <cp:lastPrinted>2013-03-08T10:15:00Z</cp:lastPrinted>
  <dcterms:created xsi:type="dcterms:W3CDTF">2022-10-17T09:56:00Z</dcterms:created>
  <dcterms:modified xsi:type="dcterms:W3CDTF">2022-10-18T13:00:00Z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