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EA657B" w14:paraId="5C1AA875" w14:textId="77777777" w:rsidTr="00306452">
        <w:trPr>
          <w:jc w:val="center"/>
        </w:trPr>
        <w:tc>
          <w:tcPr>
            <w:tcW w:w="9889" w:type="dxa"/>
            <w:gridSpan w:val="3"/>
            <w:shd w:val="clear" w:color="auto" w:fill="auto"/>
          </w:tcPr>
          <w:p w14:paraId="03C238BA" w14:textId="77777777" w:rsidR="00E53DCE" w:rsidRPr="00EA657B" w:rsidRDefault="00A96D3A" w:rsidP="006160CB">
            <w:pPr>
              <w:spacing w:before="0"/>
              <w:jc w:val="left"/>
              <w:rPr>
                <w:rFonts w:cstheme="minorHAnsi"/>
                <w:b/>
                <w:bCs/>
                <w:color w:val="808080"/>
                <w:sz w:val="28"/>
                <w:szCs w:val="28"/>
                <w:lang w:val="es-ES_tradnl"/>
              </w:rPr>
            </w:pPr>
            <w:r w:rsidRPr="00EA657B">
              <w:rPr>
                <w:rFonts w:cstheme="minorHAnsi"/>
                <w:b/>
                <w:bCs/>
                <w:color w:val="808080"/>
                <w:sz w:val="28"/>
                <w:szCs w:val="28"/>
                <w:lang w:val="es-ES_tradnl"/>
              </w:rPr>
              <w:t>Oficina de Radiocomunicaciones (BR)</w:t>
            </w:r>
          </w:p>
          <w:p w14:paraId="4D06F696" w14:textId="77777777" w:rsidR="00E53DCE" w:rsidRPr="00EA657B" w:rsidRDefault="00E53DCE" w:rsidP="006160CB">
            <w:pPr>
              <w:spacing w:before="0"/>
              <w:jc w:val="left"/>
              <w:rPr>
                <w:rFonts w:cstheme="minorHAnsi"/>
                <w:b/>
                <w:bCs/>
                <w:color w:val="808080"/>
                <w:sz w:val="28"/>
                <w:szCs w:val="28"/>
                <w:lang w:val="es-ES_tradnl"/>
              </w:rPr>
            </w:pPr>
          </w:p>
          <w:p w14:paraId="1F2EA91E" w14:textId="77777777" w:rsidR="00E53DCE" w:rsidRPr="00EA657B" w:rsidRDefault="00E53DCE" w:rsidP="006160CB">
            <w:pPr>
              <w:spacing w:before="0"/>
              <w:jc w:val="left"/>
              <w:rPr>
                <w:rFonts w:cs="Times New Roman Bold"/>
                <w:b/>
                <w:bCs/>
                <w:color w:val="808080"/>
                <w:sz w:val="28"/>
                <w:szCs w:val="28"/>
                <w:lang w:val="es-ES_tradnl"/>
              </w:rPr>
            </w:pPr>
          </w:p>
        </w:tc>
      </w:tr>
      <w:tr w:rsidR="00E53DCE" w:rsidRPr="00EA657B" w14:paraId="08315435" w14:textId="77777777" w:rsidTr="00306452">
        <w:trPr>
          <w:jc w:val="center"/>
        </w:trPr>
        <w:tc>
          <w:tcPr>
            <w:tcW w:w="7054" w:type="dxa"/>
            <w:gridSpan w:val="2"/>
            <w:shd w:val="clear" w:color="auto" w:fill="auto"/>
          </w:tcPr>
          <w:p w14:paraId="05BD7210" w14:textId="17FF4F8D" w:rsidR="00E53DCE" w:rsidRPr="00EA657B" w:rsidRDefault="00A96D3A" w:rsidP="006160CB">
            <w:pPr>
              <w:spacing w:before="0"/>
              <w:jc w:val="left"/>
              <w:rPr>
                <w:szCs w:val="24"/>
                <w:lang w:val="es-ES_tradnl"/>
              </w:rPr>
            </w:pPr>
            <w:r w:rsidRPr="00EA657B">
              <w:rPr>
                <w:szCs w:val="24"/>
                <w:lang w:val="es-ES_tradnl"/>
              </w:rPr>
              <w:t>Circular Administrativa</w:t>
            </w:r>
          </w:p>
          <w:p w14:paraId="4FCD9652" w14:textId="11A88555" w:rsidR="00E53DCE" w:rsidRPr="00EA657B" w:rsidRDefault="001B3D4D" w:rsidP="006160CB">
            <w:pPr>
              <w:spacing w:before="0"/>
              <w:jc w:val="left"/>
              <w:rPr>
                <w:b/>
                <w:bCs/>
                <w:szCs w:val="24"/>
                <w:lang w:val="es-ES_tradnl"/>
              </w:rPr>
            </w:pPr>
            <w:r w:rsidRPr="00EA657B">
              <w:rPr>
                <w:b/>
                <w:bCs/>
                <w:szCs w:val="24"/>
                <w:lang w:val="es-ES_tradnl"/>
              </w:rPr>
              <w:t>CACE</w:t>
            </w:r>
            <w:r w:rsidR="00FB15A5" w:rsidRPr="00EA657B">
              <w:rPr>
                <w:b/>
                <w:bCs/>
                <w:szCs w:val="24"/>
                <w:lang w:val="es-ES_tradnl"/>
              </w:rPr>
              <w:t>/1042</w:t>
            </w:r>
          </w:p>
        </w:tc>
        <w:tc>
          <w:tcPr>
            <w:tcW w:w="2835" w:type="dxa"/>
            <w:shd w:val="clear" w:color="auto" w:fill="auto"/>
          </w:tcPr>
          <w:p w14:paraId="1D0C9EB5" w14:textId="0970CCF2" w:rsidR="00E53DCE" w:rsidRPr="00EA657B" w:rsidRDefault="00E24CE8" w:rsidP="006160CB">
            <w:pPr>
              <w:spacing w:before="0"/>
              <w:jc w:val="right"/>
              <w:rPr>
                <w:szCs w:val="24"/>
                <w:lang w:val="es-ES_tradnl"/>
              </w:rPr>
            </w:pPr>
            <w:r>
              <w:rPr>
                <w:bCs/>
                <w:szCs w:val="24"/>
                <w:lang w:val="es-ES_tradnl"/>
              </w:rPr>
              <w:t>20</w:t>
            </w:r>
            <w:r w:rsidR="00FB15A5" w:rsidRPr="00EA657B">
              <w:rPr>
                <w:bCs/>
                <w:szCs w:val="24"/>
                <w:lang w:val="es-ES_tradnl"/>
              </w:rPr>
              <w:t xml:space="preserve"> de octubre de 2022</w:t>
            </w:r>
          </w:p>
        </w:tc>
      </w:tr>
      <w:tr w:rsidR="00E53DCE" w:rsidRPr="00EA657B" w14:paraId="08C4F3D7" w14:textId="77777777" w:rsidTr="00306452">
        <w:trPr>
          <w:jc w:val="center"/>
        </w:trPr>
        <w:tc>
          <w:tcPr>
            <w:tcW w:w="9889" w:type="dxa"/>
            <w:gridSpan w:val="3"/>
            <w:shd w:val="clear" w:color="auto" w:fill="auto"/>
          </w:tcPr>
          <w:p w14:paraId="67782F8C" w14:textId="77777777" w:rsidR="00E53DCE" w:rsidRPr="00EA657B" w:rsidRDefault="00E53DCE" w:rsidP="006160CB">
            <w:pPr>
              <w:spacing w:before="0"/>
              <w:jc w:val="left"/>
              <w:rPr>
                <w:rFonts w:cs="Arial"/>
                <w:szCs w:val="24"/>
                <w:lang w:val="es-ES_tradnl"/>
              </w:rPr>
            </w:pPr>
          </w:p>
        </w:tc>
      </w:tr>
      <w:tr w:rsidR="00E53DCE" w:rsidRPr="00EA657B" w14:paraId="3D99A1B4" w14:textId="77777777" w:rsidTr="00306452">
        <w:trPr>
          <w:jc w:val="center"/>
        </w:trPr>
        <w:tc>
          <w:tcPr>
            <w:tcW w:w="9889" w:type="dxa"/>
            <w:gridSpan w:val="3"/>
            <w:shd w:val="clear" w:color="auto" w:fill="auto"/>
          </w:tcPr>
          <w:p w14:paraId="06CB3AC1" w14:textId="77777777" w:rsidR="00E53DCE" w:rsidRPr="00EA657B" w:rsidRDefault="00E53DCE" w:rsidP="006160CB">
            <w:pPr>
              <w:spacing w:before="0"/>
              <w:jc w:val="left"/>
              <w:rPr>
                <w:szCs w:val="24"/>
                <w:lang w:val="es-ES_tradnl"/>
              </w:rPr>
            </w:pPr>
          </w:p>
        </w:tc>
      </w:tr>
      <w:tr w:rsidR="00FB15A5" w:rsidRPr="007B204C" w14:paraId="552E4090" w14:textId="77777777" w:rsidTr="00306452">
        <w:trPr>
          <w:jc w:val="center"/>
        </w:trPr>
        <w:tc>
          <w:tcPr>
            <w:tcW w:w="9889" w:type="dxa"/>
            <w:gridSpan w:val="3"/>
            <w:shd w:val="clear" w:color="auto" w:fill="auto"/>
          </w:tcPr>
          <w:p w14:paraId="4BF6C69D" w14:textId="13F2065E" w:rsidR="00FB15A5" w:rsidRPr="00EA657B" w:rsidRDefault="00FB15A5" w:rsidP="00FB15A5">
            <w:pPr>
              <w:spacing w:before="0"/>
              <w:jc w:val="left"/>
              <w:rPr>
                <w:b/>
                <w:bCs/>
                <w:szCs w:val="24"/>
                <w:lang w:val="es-ES_tradnl"/>
              </w:rPr>
            </w:pPr>
            <w:r w:rsidRPr="00EA657B">
              <w:rPr>
                <w:b/>
                <w:bCs/>
                <w:szCs w:val="24"/>
                <w:lang w:val="es-ES_tradnl"/>
              </w:rPr>
              <w:t xml:space="preserve">A las Administraciones de los Estados Miembros de la UIT, a los Miembros del Sector de Radiocomunicaciones, a los Asociados del UIT-R que participan en los trabajos de la </w:t>
            </w:r>
            <w:r w:rsidR="00380D6C">
              <w:rPr>
                <w:b/>
                <w:bCs/>
                <w:szCs w:val="24"/>
                <w:lang w:val="es-ES_tradnl"/>
              </w:rPr>
              <w:br/>
            </w:r>
            <w:r w:rsidRPr="00EA657B">
              <w:rPr>
                <w:b/>
                <w:bCs/>
                <w:szCs w:val="24"/>
                <w:lang w:val="es-ES_tradnl"/>
              </w:rPr>
              <w:t>Comisión de Estudio 1 de Radiocomunicaciones y a las Instituciones Académicas de la UIT</w:t>
            </w:r>
          </w:p>
        </w:tc>
      </w:tr>
      <w:tr w:rsidR="00E53DCE" w:rsidRPr="007B204C" w14:paraId="5A02D9A2" w14:textId="77777777" w:rsidTr="00306452">
        <w:trPr>
          <w:jc w:val="center"/>
        </w:trPr>
        <w:tc>
          <w:tcPr>
            <w:tcW w:w="9889" w:type="dxa"/>
            <w:gridSpan w:val="3"/>
            <w:shd w:val="clear" w:color="auto" w:fill="auto"/>
          </w:tcPr>
          <w:p w14:paraId="6A6FB1BF" w14:textId="77777777" w:rsidR="00E53DCE" w:rsidRPr="00EA657B" w:rsidRDefault="00E53DCE" w:rsidP="006160CB">
            <w:pPr>
              <w:spacing w:before="0"/>
              <w:jc w:val="left"/>
              <w:rPr>
                <w:szCs w:val="24"/>
                <w:lang w:val="es-ES_tradnl"/>
              </w:rPr>
            </w:pPr>
          </w:p>
        </w:tc>
      </w:tr>
      <w:tr w:rsidR="00E53DCE" w:rsidRPr="007B204C" w14:paraId="26DE2419" w14:textId="77777777" w:rsidTr="00306452">
        <w:trPr>
          <w:jc w:val="center"/>
        </w:trPr>
        <w:tc>
          <w:tcPr>
            <w:tcW w:w="9889" w:type="dxa"/>
            <w:gridSpan w:val="3"/>
            <w:shd w:val="clear" w:color="auto" w:fill="auto"/>
          </w:tcPr>
          <w:p w14:paraId="3A63EF3F" w14:textId="77777777" w:rsidR="00E53DCE" w:rsidRPr="00EA657B" w:rsidRDefault="00E53DCE" w:rsidP="006160CB">
            <w:pPr>
              <w:spacing w:before="0"/>
              <w:jc w:val="left"/>
              <w:rPr>
                <w:szCs w:val="24"/>
                <w:lang w:val="es-ES_tradnl"/>
              </w:rPr>
            </w:pPr>
          </w:p>
        </w:tc>
      </w:tr>
      <w:tr w:rsidR="00FB15A5" w:rsidRPr="007B204C" w14:paraId="7061C177" w14:textId="77777777" w:rsidTr="00306452">
        <w:trPr>
          <w:jc w:val="center"/>
        </w:trPr>
        <w:tc>
          <w:tcPr>
            <w:tcW w:w="1526" w:type="dxa"/>
            <w:shd w:val="clear" w:color="auto" w:fill="auto"/>
          </w:tcPr>
          <w:p w14:paraId="331B8F40" w14:textId="77777777" w:rsidR="00FB15A5" w:rsidRPr="00EA657B" w:rsidRDefault="00FB15A5" w:rsidP="00FB15A5">
            <w:pPr>
              <w:tabs>
                <w:tab w:val="clear" w:pos="1588"/>
                <w:tab w:val="left" w:pos="1560"/>
              </w:tabs>
              <w:spacing w:before="0"/>
              <w:jc w:val="left"/>
              <w:rPr>
                <w:szCs w:val="24"/>
                <w:lang w:val="es-ES_tradnl"/>
              </w:rPr>
            </w:pPr>
            <w:r w:rsidRPr="00EA657B">
              <w:rPr>
                <w:szCs w:val="24"/>
                <w:lang w:val="es-ES_tradnl"/>
              </w:rPr>
              <w:t>Asunto:</w:t>
            </w:r>
          </w:p>
        </w:tc>
        <w:tc>
          <w:tcPr>
            <w:tcW w:w="8363" w:type="dxa"/>
            <w:gridSpan w:val="2"/>
            <w:vMerge w:val="restart"/>
            <w:shd w:val="clear" w:color="auto" w:fill="auto"/>
          </w:tcPr>
          <w:p w14:paraId="76142E45" w14:textId="13AD09D7" w:rsidR="00FB15A5" w:rsidRPr="00EA657B" w:rsidRDefault="00FB15A5" w:rsidP="00FB15A5">
            <w:pPr>
              <w:tabs>
                <w:tab w:val="clear" w:pos="1588"/>
                <w:tab w:val="left" w:pos="1560"/>
              </w:tabs>
              <w:spacing w:before="0"/>
              <w:rPr>
                <w:b/>
                <w:bCs/>
                <w:szCs w:val="24"/>
                <w:lang w:val="es-ES_tradnl"/>
              </w:rPr>
            </w:pPr>
            <w:r w:rsidRPr="00EA657B">
              <w:rPr>
                <w:b/>
                <w:bCs/>
                <w:szCs w:val="24"/>
                <w:lang w:val="es-ES_tradnl"/>
              </w:rPr>
              <w:t>Comisión de Estudio 7 de Radiocomunicaciones (Servicios científicos)</w:t>
            </w:r>
          </w:p>
          <w:p w14:paraId="43535E9F" w14:textId="7F4006BF" w:rsidR="00FB15A5" w:rsidRPr="00EA657B" w:rsidRDefault="00FB15A5" w:rsidP="00380D6C">
            <w:pPr>
              <w:tabs>
                <w:tab w:val="clear" w:pos="794"/>
                <w:tab w:val="clear" w:pos="1588"/>
                <w:tab w:val="left" w:pos="1560"/>
              </w:tabs>
              <w:spacing w:before="120"/>
              <w:ind w:left="492" w:hanging="492"/>
              <w:rPr>
                <w:b/>
                <w:bCs/>
                <w:szCs w:val="24"/>
                <w:lang w:val="es-ES_tradnl"/>
              </w:rPr>
            </w:pPr>
            <w:r w:rsidRPr="00EA657B">
              <w:rPr>
                <w:b/>
                <w:bCs/>
                <w:szCs w:val="24"/>
                <w:lang w:val="es-ES_tradnl"/>
              </w:rPr>
              <w:t>–</w:t>
            </w:r>
            <w:r w:rsidRPr="00EA657B">
              <w:rPr>
                <w:b/>
                <w:bCs/>
                <w:szCs w:val="24"/>
                <w:lang w:val="es-ES_tradnl"/>
              </w:rPr>
              <w:tab/>
              <w:t>Propuesta de adopción de 2 proyectos de nueva Recomendación UIT-R y su aprobación simultánea por correspondencia de conformidad con el § A2.6.2.4 de la Resolución UIT-R 1-8 (Procedimiento para la adopción y aprobación simultánea por correspondencia)</w:t>
            </w:r>
          </w:p>
        </w:tc>
      </w:tr>
      <w:tr w:rsidR="00FB15A5" w:rsidRPr="007B204C" w14:paraId="7730DC9C" w14:textId="77777777" w:rsidTr="00306452">
        <w:trPr>
          <w:jc w:val="center"/>
        </w:trPr>
        <w:tc>
          <w:tcPr>
            <w:tcW w:w="1526" w:type="dxa"/>
            <w:shd w:val="clear" w:color="auto" w:fill="auto"/>
          </w:tcPr>
          <w:p w14:paraId="7147EBE9" w14:textId="77777777" w:rsidR="00FB15A5" w:rsidRPr="00EA657B" w:rsidRDefault="00FB15A5" w:rsidP="00FB15A5">
            <w:pPr>
              <w:tabs>
                <w:tab w:val="clear" w:pos="1588"/>
                <w:tab w:val="left" w:pos="1560"/>
              </w:tabs>
              <w:spacing w:before="0"/>
              <w:jc w:val="left"/>
              <w:rPr>
                <w:b/>
                <w:bCs/>
                <w:szCs w:val="24"/>
                <w:lang w:val="es-ES_tradnl"/>
              </w:rPr>
            </w:pPr>
          </w:p>
        </w:tc>
        <w:tc>
          <w:tcPr>
            <w:tcW w:w="8363" w:type="dxa"/>
            <w:gridSpan w:val="2"/>
            <w:vMerge/>
            <w:shd w:val="clear" w:color="auto" w:fill="auto"/>
          </w:tcPr>
          <w:p w14:paraId="6F32493F" w14:textId="77777777" w:rsidR="00FB15A5" w:rsidRPr="00EA657B" w:rsidRDefault="00FB15A5" w:rsidP="00FB15A5">
            <w:pPr>
              <w:tabs>
                <w:tab w:val="clear" w:pos="1588"/>
                <w:tab w:val="left" w:pos="1560"/>
              </w:tabs>
              <w:spacing w:before="0"/>
              <w:rPr>
                <w:b/>
                <w:bCs/>
                <w:szCs w:val="24"/>
                <w:lang w:val="es-ES_tradnl"/>
              </w:rPr>
            </w:pPr>
          </w:p>
        </w:tc>
      </w:tr>
      <w:tr w:rsidR="00FB15A5" w:rsidRPr="007B204C" w14:paraId="6047C6DE" w14:textId="77777777" w:rsidTr="00306452">
        <w:trPr>
          <w:jc w:val="center"/>
        </w:trPr>
        <w:tc>
          <w:tcPr>
            <w:tcW w:w="1526" w:type="dxa"/>
            <w:shd w:val="clear" w:color="auto" w:fill="auto"/>
          </w:tcPr>
          <w:p w14:paraId="288C4E13" w14:textId="77777777" w:rsidR="00FB15A5" w:rsidRPr="00EA657B" w:rsidRDefault="00FB15A5" w:rsidP="00FB15A5">
            <w:pPr>
              <w:tabs>
                <w:tab w:val="clear" w:pos="1588"/>
                <w:tab w:val="left" w:pos="1560"/>
              </w:tabs>
              <w:spacing w:before="0"/>
              <w:jc w:val="left"/>
              <w:rPr>
                <w:b/>
                <w:bCs/>
                <w:szCs w:val="24"/>
                <w:lang w:val="es-ES_tradnl"/>
              </w:rPr>
            </w:pPr>
          </w:p>
        </w:tc>
        <w:tc>
          <w:tcPr>
            <w:tcW w:w="8363" w:type="dxa"/>
            <w:gridSpan w:val="2"/>
            <w:vMerge/>
            <w:shd w:val="clear" w:color="auto" w:fill="auto"/>
          </w:tcPr>
          <w:p w14:paraId="299BFD0E" w14:textId="77777777" w:rsidR="00FB15A5" w:rsidRPr="00EA657B" w:rsidRDefault="00FB15A5" w:rsidP="00FB15A5">
            <w:pPr>
              <w:tabs>
                <w:tab w:val="clear" w:pos="1588"/>
                <w:tab w:val="left" w:pos="1560"/>
              </w:tabs>
              <w:spacing w:before="0"/>
              <w:rPr>
                <w:b/>
                <w:bCs/>
                <w:szCs w:val="24"/>
                <w:lang w:val="es-ES_tradnl"/>
              </w:rPr>
            </w:pPr>
          </w:p>
        </w:tc>
      </w:tr>
      <w:tr w:rsidR="00FB15A5" w:rsidRPr="007B204C" w14:paraId="2726F7AE" w14:textId="77777777" w:rsidTr="00306452">
        <w:trPr>
          <w:jc w:val="center"/>
        </w:trPr>
        <w:tc>
          <w:tcPr>
            <w:tcW w:w="9889" w:type="dxa"/>
            <w:gridSpan w:val="3"/>
            <w:shd w:val="clear" w:color="auto" w:fill="auto"/>
          </w:tcPr>
          <w:p w14:paraId="3CA5291C" w14:textId="77777777" w:rsidR="00FB15A5" w:rsidRPr="00EA657B" w:rsidRDefault="00FB15A5" w:rsidP="00FB15A5">
            <w:pPr>
              <w:tabs>
                <w:tab w:val="clear" w:pos="1588"/>
                <w:tab w:val="left" w:pos="1560"/>
              </w:tabs>
              <w:spacing w:before="0"/>
              <w:jc w:val="left"/>
              <w:rPr>
                <w:szCs w:val="24"/>
                <w:lang w:val="es-ES_tradnl"/>
              </w:rPr>
            </w:pPr>
          </w:p>
        </w:tc>
      </w:tr>
      <w:tr w:rsidR="00FB15A5" w:rsidRPr="007B204C" w14:paraId="0A0ECF80" w14:textId="77777777" w:rsidTr="00306452">
        <w:trPr>
          <w:jc w:val="center"/>
        </w:trPr>
        <w:tc>
          <w:tcPr>
            <w:tcW w:w="9889" w:type="dxa"/>
            <w:gridSpan w:val="3"/>
            <w:shd w:val="clear" w:color="auto" w:fill="auto"/>
          </w:tcPr>
          <w:p w14:paraId="1CF8A641" w14:textId="77777777" w:rsidR="00FB15A5" w:rsidRPr="00EA657B" w:rsidRDefault="00FB15A5" w:rsidP="00FB15A5">
            <w:pPr>
              <w:spacing w:before="0"/>
              <w:jc w:val="left"/>
              <w:rPr>
                <w:b/>
                <w:bCs/>
                <w:szCs w:val="24"/>
                <w:lang w:val="es-ES_tradnl"/>
              </w:rPr>
            </w:pPr>
          </w:p>
        </w:tc>
      </w:tr>
    </w:tbl>
    <w:p w14:paraId="512C650A" w14:textId="40D34941" w:rsidR="00FB15A5" w:rsidRPr="00EA657B" w:rsidRDefault="00FB15A5" w:rsidP="00FB15A5">
      <w:pPr>
        <w:pStyle w:val="Normalaftertitle"/>
        <w:rPr>
          <w:lang w:val="es-ES_tradnl"/>
        </w:rPr>
      </w:pPr>
      <w:r w:rsidRPr="00EA657B">
        <w:rPr>
          <w:lang w:val="es-ES_tradnl"/>
        </w:rPr>
        <w:t>En la reunión de la Comisión de Estudio 7 de Radiocomunicaciones celebrada el 7 de octubre de</w:t>
      </w:r>
      <w:r w:rsidR="00380D6C">
        <w:rPr>
          <w:lang w:val="es-ES_tradnl"/>
        </w:rPr>
        <w:t> </w:t>
      </w:r>
      <w:r w:rsidRPr="00EA657B">
        <w:rPr>
          <w:lang w:val="es-ES_tradnl"/>
        </w:rPr>
        <w:t>2022, la Comisión de Estudio decidió solicitar la adopción de 2 proyectos de nueva Recomendación UIT-R por correspondencia (§ A2.6.2 de la Resolución UIT-R 1-8) y además decidió aplicar el procedimiento de adopción y aprobación simultáneas por correspondencia (PAAS, §</w:t>
      </w:r>
      <w:r w:rsidR="00380D6C">
        <w:rPr>
          <w:lang w:val="es-ES_tradnl"/>
        </w:rPr>
        <w:t> </w:t>
      </w:r>
      <w:r w:rsidRPr="00EA657B">
        <w:rPr>
          <w:lang w:val="es-ES_tradnl"/>
        </w:rPr>
        <w:t>A2.6.2.4 de la Resolución UIT</w:t>
      </w:r>
      <w:r w:rsidRPr="00EA657B">
        <w:rPr>
          <w:lang w:val="es-ES_tradnl"/>
        </w:rPr>
        <w:noBreakHyphen/>
        <w:t>R 1-8). Los títulos y resúmenes de los proyectos de Recomendaci</w:t>
      </w:r>
      <w:r w:rsidR="00380D6C" w:rsidRPr="00EA657B">
        <w:rPr>
          <w:lang w:val="es-ES_tradnl"/>
        </w:rPr>
        <w:t>ó</w:t>
      </w:r>
      <w:r w:rsidR="00380D6C">
        <w:rPr>
          <w:lang w:val="es-ES_tradnl"/>
        </w:rPr>
        <w:t>n</w:t>
      </w:r>
      <w:r w:rsidRPr="00EA657B">
        <w:rPr>
          <w:lang w:val="es-ES_tradnl"/>
        </w:rPr>
        <w:t xml:space="preserve"> aparecen en el Anexo a esta carta. Todo Estado Miembro que </w:t>
      </w:r>
      <w:r w:rsidR="00314F20">
        <w:rPr>
          <w:lang w:val="es-ES_tradnl"/>
        </w:rPr>
        <w:t>formule una objeción contra la adopción</w:t>
      </w:r>
      <w:r w:rsidRPr="00EA657B">
        <w:rPr>
          <w:lang w:val="es-ES_tradnl"/>
        </w:rPr>
        <w:t xml:space="preserve"> de un proyecto de Recomendación debe informar al Director y al Presidente de la Comisión de Estudio de los motivos de dicha objeción.</w:t>
      </w:r>
    </w:p>
    <w:p w14:paraId="2F2D12F1" w14:textId="4B52A442" w:rsidR="00FB15A5" w:rsidRPr="00EA657B" w:rsidRDefault="00FB15A5" w:rsidP="00FB15A5">
      <w:pPr>
        <w:rPr>
          <w:lang w:val="es-ES_tradnl"/>
        </w:rPr>
      </w:pPr>
      <w:r w:rsidRPr="00EA657B">
        <w:rPr>
          <w:lang w:val="es-ES_tradnl"/>
        </w:rPr>
        <w:t xml:space="preserve">El periodo de consideración se extenderá durante dos meses finalizando el </w:t>
      </w:r>
      <w:r w:rsidR="00E24CE8" w:rsidRPr="00E24CE8">
        <w:rPr>
          <w:u w:val="single"/>
          <w:lang w:val="es-ES_tradnl"/>
        </w:rPr>
        <w:t>20</w:t>
      </w:r>
      <w:r w:rsidRPr="00E24CE8">
        <w:rPr>
          <w:u w:val="single"/>
          <w:lang w:val="es-ES_tradnl"/>
        </w:rPr>
        <w:t xml:space="preserve"> d</w:t>
      </w:r>
      <w:r w:rsidRPr="00EA657B">
        <w:rPr>
          <w:u w:val="single"/>
          <w:lang w:val="es-ES_tradnl"/>
        </w:rPr>
        <w:t>e diciembre de 2022</w:t>
      </w:r>
      <w:r w:rsidRPr="00EA657B">
        <w:rPr>
          <w:lang w:val="es-ES_tradnl"/>
        </w:rPr>
        <w:t>. Si durante este periodo no se reciben objeciones de los Estados Miembros, se considerarán adoptados los proyectos de Recomendación por la Comisión de Estudio 7. Además, dado que se ha seguido el procedimiento de PAAS, los proyectos de Recomendación también se considerarán aprobados.</w:t>
      </w:r>
    </w:p>
    <w:p w14:paraId="6F3C6703" w14:textId="54591FE6" w:rsidR="00FB15A5" w:rsidRPr="00EA657B" w:rsidRDefault="00FB15A5" w:rsidP="00FB15A5">
      <w:pPr>
        <w:rPr>
          <w:lang w:val="es-ES_tradnl"/>
        </w:rPr>
      </w:pPr>
      <w:r w:rsidRPr="00EA657B">
        <w:rPr>
          <w:lang w:val="es-ES_tradnl"/>
        </w:rPr>
        <w:t xml:space="preserve">Tras la fecha límite mencionada, los resultados de los procedimientos arriba citados se comunicarán mediante Circular Administrativa y se publicarán las Recomendaciones aprobadas tan pronto como sea posible (véase </w:t>
      </w:r>
      <w:hyperlink r:id="rId8" w:history="1">
        <w:r w:rsidRPr="00EA657B">
          <w:rPr>
            <w:rStyle w:val="Hyperlink"/>
            <w:rFonts w:asciiTheme="minorHAnsi" w:hAnsiTheme="minorHAnsi" w:cstheme="minorHAnsi"/>
            <w:szCs w:val="24"/>
            <w:lang w:val="es-ES_tradnl"/>
          </w:rPr>
          <w:t>https://www.itu.int/pub/R-REC</w:t>
        </w:r>
      </w:hyperlink>
      <w:r w:rsidRPr="00EA657B">
        <w:rPr>
          <w:lang w:val="es-ES_tradnl"/>
        </w:rPr>
        <w:t>).</w:t>
      </w:r>
    </w:p>
    <w:p w14:paraId="7B48D885" w14:textId="25C3BC03" w:rsidR="00FB15A5" w:rsidRPr="00EA657B" w:rsidRDefault="00FB15A5" w:rsidP="00FB15A5">
      <w:pPr>
        <w:keepNext/>
        <w:keepLines/>
        <w:rPr>
          <w:lang w:val="es-ES_tradnl"/>
        </w:rPr>
      </w:pPr>
      <w:r w:rsidRPr="00EA657B">
        <w:rPr>
          <w:lang w:val="es-ES_tradnl"/>
        </w:rPr>
        <w:lastRenderedPageBreak/>
        <w:t>Se solicita a toda organización miembro de la UIT que tenga conocimiento de una patente, de su propiedad o de propiedad ajena, que cubra total o parcialmente elementos de los proyectos de Recomendaci</w:t>
      </w:r>
      <w:r w:rsidR="00380D6C" w:rsidRPr="00EA657B">
        <w:rPr>
          <w:lang w:val="es-ES_tradnl"/>
        </w:rPr>
        <w:t>ó</w:t>
      </w:r>
      <w:r w:rsidRPr="00EA657B">
        <w:rPr>
          <w:lang w:val="es-ES_tradnl"/>
        </w:rPr>
        <w:t xml:space="preserve">n mencionados en esta carta, que comunique dicha información a la Secretaría tan pronto como sea posible. La Política común en materia de patentes para UIT-T/UIT-R/ISO/CEI puede consultarse en </w:t>
      </w:r>
      <w:hyperlink r:id="rId9" w:history="1">
        <w:r w:rsidRPr="00EA657B">
          <w:rPr>
            <w:rStyle w:val="Hyperlink"/>
            <w:rFonts w:asciiTheme="minorHAnsi" w:hAnsiTheme="minorHAnsi" w:cstheme="minorHAnsi"/>
            <w:szCs w:val="24"/>
            <w:lang w:val="es-ES_tradnl"/>
          </w:rPr>
          <w:t>https://www.itu.int/es/ITU-T/ipr/Pages/policy.aspx</w:t>
        </w:r>
      </w:hyperlink>
      <w:r w:rsidRPr="00EA657B">
        <w:rPr>
          <w:lang w:val="es-ES_tradnl"/>
        </w:rPr>
        <w:t>.</w:t>
      </w:r>
    </w:p>
    <w:p w14:paraId="34A75F07" w14:textId="77777777" w:rsidR="00FB15A5" w:rsidRPr="00EA657B" w:rsidRDefault="00FB15A5" w:rsidP="007B204C">
      <w:pPr>
        <w:spacing w:before="1200"/>
        <w:jc w:val="left"/>
        <w:rPr>
          <w:lang w:val="es-ES_tradnl"/>
        </w:rPr>
      </w:pPr>
      <w:r w:rsidRPr="00EA657B">
        <w:rPr>
          <w:rFonts w:asciiTheme="minorHAnsi" w:hAnsiTheme="minorHAnsi" w:cstheme="minorHAnsi"/>
          <w:lang w:val="es-ES_tradnl"/>
        </w:rPr>
        <w:t xml:space="preserve">Mario </w:t>
      </w:r>
      <w:r w:rsidRPr="00EA657B">
        <w:rPr>
          <w:lang w:val="es-ES_tradnl"/>
        </w:rPr>
        <w:t>Maniewicz</w:t>
      </w:r>
      <w:r w:rsidRPr="00EA657B">
        <w:rPr>
          <w:lang w:val="es-ES_tradnl"/>
        </w:rPr>
        <w:br/>
        <w:t>Director</w:t>
      </w:r>
    </w:p>
    <w:p w14:paraId="163F7EA2" w14:textId="5952CD4B" w:rsidR="00FB15A5" w:rsidRPr="00FB15A5" w:rsidRDefault="00FB15A5" w:rsidP="007B204C">
      <w:pPr>
        <w:spacing w:before="1920"/>
        <w:ind w:left="1191" w:hanging="1191"/>
        <w:rPr>
          <w:rFonts w:asciiTheme="minorHAnsi" w:hAnsiTheme="minorHAnsi" w:cstheme="minorHAnsi"/>
          <w:szCs w:val="24"/>
          <w:lang w:val="es-ES_tradnl"/>
        </w:rPr>
      </w:pPr>
      <w:r w:rsidRPr="00FB15A5">
        <w:rPr>
          <w:rFonts w:asciiTheme="minorHAnsi" w:hAnsiTheme="minorHAnsi" w:cstheme="minorHAnsi"/>
          <w:b/>
          <w:bCs/>
          <w:szCs w:val="24"/>
          <w:lang w:val="es-ES_tradnl"/>
        </w:rPr>
        <w:t>Anexo:</w:t>
      </w:r>
      <w:r w:rsidRPr="00EA657B">
        <w:rPr>
          <w:rFonts w:asciiTheme="minorHAnsi" w:hAnsiTheme="minorHAnsi" w:cstheme="minorHAnsi"/>
          <w:b/>
          <w:bCs/>
          <w:szCs w:val="24"/>
          <w:lang w:val="es-ES_tradnl"/>
        </w:rPr>
        <w:t xml:space="preserve"> </w:t>
      </w:r>
      <w:r w:rsidRPr="00EA657B">
        <w:rPr>
          <w:rFonts w:asciiTheme="minorHAnsi" w:hAnsiTheme="minorHAnsi" w:cstheme="minorHAnsi"/>
          <w:szCs w:val="24"/>
          <w:lang w:val="es-ES_tradnl"/>
        </w:rPr>
        <w:tab/>
      </w:r>
      <w:r w:rsidRPr="00FB15A5">
        <w:rPr>
          <w:rFonts w:asciiTheme="minorHAnsi" w:hAnsiTheme="minorHAnsi" w:cstheme="minorHAnsi"/>
          <w:szCs w:val="24"/>
          <w:lang w:val="es-ES_tradnl"/>
        </w:rPr>
        <w:t>Títulos y resúmenes de los proyectos de Recomendación</w:t>
      </w:r>
    </w:p>
    <w:p w14:paraId="5121EA0E" w14:textId="4FE82C42" w:rsidR="00FB15A5" w:rsidRPr="00FB15A5" w:rsidRDefault="00FB15A5" w:rsidP="00FB15A5">
      <w:pPr>
        <w:spacing w:before="1320"/>
        <w:rPr>
          <w:rFonts w:asciiTheme="minorHAnsi" w:hAnsiTheme="minorHAnsi" w:cstheme="minorHAnsi"/>
          <w:szCs w:val="24"/>
          <w:lang w:val="es-ES_tradnl"/>
        </w:rPr>
      </w:pPr>
      <w:r w:rsidRPr="00FB15A5">
        <w:rPr>
          <w:rFonts w:asciiTheme="minorHAnsi" w:hAnsiTheme="minorHAnsi" w:cstheme="minorHAnsi"/>
          <w:b/>
          <w:bCs/>
          <w:szCs w:val="24"/>
          <w:lang w:val="es-ES_tradnl"/>
        </w:rPr>
        <w:t>Documentos:</w:t>
      </w:r>
      <w:r w:rsidRPr="00FB15A5">
        <w:rPr>
          <w:rFonts w:asciiTheme="minorHAnsi" w:hAnsiTheme="minorHAnsi" w:cstheme="minorHAnsi"/>
          <w:szCs w:val="24"/>
          <w:lang w:val="es-ES_tradnl"/>
        </w:rPr>
        <w:tab/>
        <w:t>Documentos 7/51(Rev.1) y 7/61(Rev.1).</w:t>
      </w:r>
    </w:p>
    <w:p w14:paraId="1D1CF35B" w14:textId="09FCF87A" w:rsidR="00FB15A5" w:rsidRPr="00FB15A5" w:rsidRDefault="00FB15A5" w:rsidP="001653CE">
      <w:pPr>
        <w:jc w:val="left"/>
        <w:rPr>
          <w:rFonts w:asciiTheme="minorHAnsi" w:hAnsiTheme="minorHAnsi" w:cstheme="minorHAnsi"/>
          <w:szCs w:val="24"/>
          <w:lang w:val="es-ES_tradnl"/>
        </w:rPr>
      </w:pPr>
      <w:r w:rsidRPr="00FB15A5">
        <w:rPr>
          <w:rFonts w:asciiTheme="minorHAnsi" w:hAnsiTheme="minorHAnsi" w:cstheme="minorHAnsi"/>
          <w:szCs w:val="24"/>
          <w:lang w:val="es-ES_tradnl"/>
        </w:rPr>
        <w:t>Dichos documentos están disponibles en formato electrónico en la dirección:</w:t>
      </w:r>
      <w:r w:rsidR="001653CE">
        <w:rPr>
          <w:rFonts w:asciiTheme="minorHAnsi" w:hAnsiTheme="minorHAnsi" w:cstheme="minorHAnsi"/>
          <w:szCs w:val="24"/>
          <w:lang w:val="es-ES_tradnl"/>
        </w:rPr>
        <w:t xml:space="preserve"> </w:t>
      </w:r>
      <w:hyperlink r:id="rId10" w:history="1">
        <w:r w:rsidRPr="00EA657B">
          <w:rPr>
            <w:rStyle w:val="Hyperlink"/>
            <w:rFonts w:asciiTheme="minorHAnsi" w:hAnsiTheme="minorHAnsi" w:cstheme="minorHAnsi"/>
            <w:szCs w:val="24"/>
            <w:lang w:val="es-ES_tradnl"/>
          </w:rPr>
          <w:t>https://www.itu.int/md/R19-SG07-C/es</w:t>
        </w:r>
      </w:hyperlink>
    </w:p>
    <w:p w14:paraId="7AB09C7B" w14:textId="77777777" w:rsidR="00FB15A5" w:rsidRPr="00EA657B" w:rsidRDefault="00FB15A5" w:rsidP="00FB15A5">
      <w:pPr>
        <w:rPr>
          <w:rFonts w:asciiTheme="minorHAnsi" w:hAnsiTheme="minorHAnsi" w:cstheme="minorHAnsi"/>
          <w:szCs w:val="24"/>
          <w:lang w:val="es-ES_tradnl"/>
        </w:rPr>
      </w:pPr>
      <w:r w:rsidRPr="00EA657B">
        <w:rPr>
          <w:rFonts w:asciiTheme="minorHAnsi" w:hAnsiTheme="minorHAnsi" w:cstheme="minorHAnsi"/>
          <w:szCs w:val="24"/>
          <w:lang w:val="es-ES_tradnl"/>
        </w:rPr>
        <w:br w:type="page"/>
      </w:r>
    </w:p>
    <w:p w14:paraId="64702440" w14:textId="72875C0D" w:rsidR="00FB15A5" w:rsidRPr="00FB15A5" w:rsidRDefault="00380D6C" w:rsidP="00FB15A5">
      <w:pPr>
        <w:pStyle w:val="AnnexNotitle0"/>
        <w:rPr>
          <w:rFonts w:asciiTheme="minorHAnsi" w:hAnsiTheme="minorHAnsi" w:cstheme="minorHAnsi"/>
          <w:szCs w:val="24"/>
          <w:lang w:val="es-ES_tradnl"/>
        </w:rPr>
      </w:pPr>
      <w:r w:rsidRPr="00FB15A5">
        <w:rPr>
          <w:rFonts w:asciiTheme="minorHAnsi" w:hAnsiTheme="minorHAnsi" w:cstheme="minorHAnsi"/>
          <w:szCs w:val="24"/>
          <w:lang w:val="es-ES_tradnl"/>
        </w:rPr>
        <w:lastRenderedPageBreak/>
        <w:t>Anexo</w:t>
      </w:r>
      <w:r w:rsidR="00FB15A5" w:rsidRPr="00FB15A5">
        <w:rPr>
          <w:rFonts w:asciiTheme="minorHAnsi" w:hAnsiTheme="minorHAnsi" w:cstheme="minorHAnsi"/>
          <w:szCs w:val="24"/>
          <w:lang w:val="es-ES_tradnl"/>
        </w:rPr>
        <w:br/>
      </w:r>
      <w:r w:rsidR="00FB15A5" w:rsidRPr="00FB15A5">
        <w:rPr>
          <w:rFonts w:asciiTheme="minorHAnsi" w:hAnsiTheme="minorHAnsi" w:cstheme="minorHAnsi"/>
          <w:szCs w:val="24"/>
          <w:lang w:val="es-ES_tradnl"/>
        </w:rPr>
        <w:br/>
        <w:t>Títulos y resúmenes de los proyectos de Recomendación UIT-R</w:t>
      </w:r>
    </w:p>
    <w:p w14:paraId="3D2B97F9" w14:textId="0A2877BA" w:rsidR="00FB15A5" w:rsidRPr="00EA657B" w:rsidRDefault="00FB15A5" w:rsidP="00314F20">
      <w:pPr>
        <w:spacing w:before="600"/>
        <w:rPr>
          <w:b/>
          <w:lang w:val="es-ES_tradnl"/>
        </w:rPr>
      </w:pPr>
      <w:r w:rsidRPr="00EA657B">
        <w:rPr>
          <w:u w:val="single"/>
          <w:lang w:val="es-ES_tradnl"/>
        </w:rPr>
        <w:t>Proyecto de nueva Recomendación UIT-R SA.[S-BAND DL USE OPT]</w:t>
      </w:r>
      <w:r w:rsidRPr="00EA657B">
        <w:rPr>
          <w:lang w:val="es-ES_tradnl"/>
        </w:rPr>
        <w:tab/>
      </w:r>
      <w:r w:rsidR="00314F20">
        <w:rPr>
          <w:lang w:val="es-ES_tradnl"/>
        </w:rPr>
        <w:tab/>
      </w:r>
      <w:r w:rsidRPr="00EA657B">
        <w:rPr>
          <w:lang w:val="es-ES_tradnl"/>
        </w:rPr>
        <w:t>Doc. 7/51(Rev.1)</w:t>
      </w:r>
    </w:p>
    <w:p w14:paraId="4C71F470" w14:textId="7F2B89BC" w:rsidR="00FB15A5" w:rsidRPr="00EA657B" w:rsidRDefault="00FB15A5" w:rsidP="00FB15A5">
      <w:pPr>
        <w:pStyle w:val="Rectitle"/>
        <w:rPr>
          <w:lang w:val="es-ES_tradnl"/>
        </w:rPr>
      </w:pPr>
      <w:r w:rsidRPr="00EA657B">
        <w:rPr>
          <w:lang w:val="es-ES_tradnl"/>
        </w:rPr>
        <w:t>Directrices sobre la utilización de la banda de frecuencias 2 200-2 290 MHz</w:t>
      </w:r>
      <w:r w:rsidR="00CD70DD" w:rsidRPr="00EA657B">
        <w:rPr>
          <w:lang w:val="es-ES_tradnl"/>
        </w:rPr>
        <w:br/>
      </w:r>
      <w:r w:rsidRPr="00EA657B">
        <w:rPr>
          <w:lang w:val="es-ES_tradnl"/>
        </w:rPr>
        <w:t>por redes de satélites o sistemas que no utilizan modulación de</w:t>
      </w:r>
      <w:r w:rsidR="00CD70DD" w:rsidRPr="00EA657B">
        <w:rPr>
          <w:lang w:val="es-ES_tradnl"/>
        </w:rPr>
        <w:br/>
      </w:r>
      <w:r w:rsidRPr="00EA657B">
        <w:rPr>
          <w:lang w:val="es-ES_tradnl"/>
        </w:rPr>
        <w:t xml:space="preserve">espectro ensanchado del SETS/SIE/SOE </w:t>
      </w:r>
    </w:p>
    <w:p w14:paraId="4ABB4361" w14:textId="77777777" w:rsidR="00FB15A5" w:rsidRPr="00EA657B" w:rsidRDefault="00FB15A5" w:rsidP="00314F20">
      <w:pPr>
        <w:spacing w:before="240"/>
        <w:rPr>
          <w:lang w:val="es-ES_tradnl"/>
        </w:rPr>
      </w:pPr>
      <w:bookmarkStart w:id="0" w:name="_Hlk116451499"/>
      <w:r w:rsidRPr="00EA657B">
        <w:rPr>
          <w:lang w:val="es-ES_tradnl"/>
        </w:rPr>
        <w:t xml:space="preserve">En esta Recomendación se ofrecen directrices de uso de la banda de frecuencias 2 200-2 290 MHz por redes o sistemas del servicio de exploración de la Tierra por satélite (SETS), el servicio de investigación espacial (SIE) y el servicio de operaciones espaciales (SOE). El objetivo es optimizar el aprovechamiento de la banda promoviendo aquellas prácticas que permitan el uso compartido de la banda por el máximo número posible de redes y sistemas de satélites, como las técnicas que reducirían el ancho de banda en la notificación de información de publicación anticipada (API). En esta Recomendación se abordan las redes de satélites o sistemas del SETS, el SIE y el SOE que no utilizan modulación de espectro ensanchado. </w:t>
      </w:r>
    </w:p>
    <w:bookmarkEnd w:id="0"/>
    <w:p w14:paraId="0D14C026" w14:textId="4D85D7C9" w:rsidR="00FB15A5" w:rsidRPr="00FB15A5" w:rsidRDefault="00FB15A5" w:rsidP="00314F20">
      <w:pPr>
        <w:spacing w:before="600"/>
        <w:rPr>
          <w:lang w:val="es-ES_tradnl"/>
        </w:rPr>
      </w:pPr>
      <w:r w:rsidRPr="00FB15A5">
        <w:rPr>
          <w:u w:val="single"/>
          <w:lang w:val="es-ES_tradnl"/>
        </w:rPr>
        <w:t>Proyecto de nueva Recomendación UIT-R SA.[S-BAND UL USE OPT]</w:t>
      </w:r>
      <w:r w:rsidRPr="00FB15A5">
        <w:rPr>
          <w:lang w:val="es-ES_tradnl"/>
        </w:rPr>
        <w:tab/>
      </w:r>
      <w:r w:rsidR="00314F20">
        <w:rPr>
          <w:lang w:val="es-ES_tradnl"/>
        </w:rPr>
        <w:tab/>
      </w:r>
      <w:r w:rsidRPr="00FB15A5">
        <w:rPr>
          <w:lang w:val="es-ES_tradnl"/>
        </w:rPr>
        <w:t>Doc. 7/61(Rev.1)</w:t>
      </w:r>
    </w:p>
    <w:p w14:paraId="701C3876" w14:textId="754A0968" w:rsidR="00FB15A5" w:rsidRPr="00FB15A5" w:rsidRDefault="00FB15A5" w:rsidP="00CD70DD">
      <w:pPr>
        <w:pStyle w:val="Rectitle"/>
        <w:rPr>
          <w:rFonts w:asciiTheme="minorHAnsi" w:hAnsiTheme="minorHAnsi" w:cstheme="minorHAnsi"/>
          <w:szCs w:val="24"/>
          <w:lang w:val="es-ES_tradnl"/>
        </w:rPr>
      </w:pPr>
      <w:r w:rsidRPr="00FB15A5">
        <w:rPr>
          <w:rFonts w:asciiTheme="minorHAnsi" w:hAnsiTheme="minorHAnsi" w:cstheme="minorHAnsi"/>
          <w:szCs w:val="24"/>
          <w:lang w:val="es-ES_tradnl"/>
        </w:rPr>
        <w:t>Directrices sobre la utilización de la banda</w:t>
      </w:r>
      <w:r w:rsidR="001653CE">
        <w:rPr>
          <w:rFonts w:asciiTheme="minorHAnsi" w:hAnsiTheme="minorHAnsi" w:cstheme="minorHAnsi"/>
          <w:szCs w:val="24"/>
          <w:lang w:val="es-ES_tradnl"/>
        </w:rPr>
        <w:t xml:space="preserve"> de frecuencias 2 025-2 110 MHz</w:t>
      </w:r>
      <w:r w:rsidR="001653CE">
        <w:rPr>
          <w:rFonts w:asciiTheme="minorHAnsi" w:hAnsiTheme="minorHAnsi" w:cstheme="minorHAnsi"/>
          <w:szCs w:val="24"/>
          <w:lang w:val="es-ES_tradnl"/>
        </w:rPr>
        <w:br/>
      </w:r>
      <w:r w:rsidRPr="00FB15A5">
        <w:rPr>
          <w:rFonts w:asciiTheme="minorHAnsi" w:hAnsiTheme="minorHAnsi" w:cstheme="minorHAnsi"/>
          <w:szCs w:val="24"/>
          <w:lang w:val="es-ES_tradnl"/>
        </w:rPr>
        <w:t>por redes de satélites o sist</w:t>
      </w:r>
      <w:r w:rsidR="001653CE">
        <w:rPr>
          <w:rFonts w:asciiTheme="minorHAnsi" w:hAnsiTheme="minorHAnsi" w:cstheme="minorHAnsi"/>
          <w:szCs w:val="24"/>
          <w:lang w:val="es-ES_tradnl"/>
        </w:rPr>
        <w:t>emas que no utilizan modulación</w:t>
      </w:r>
      <w:r w:rsidR="001653CE">
        <w:rPr>
          <w:rFonts w:asciiTheme="minorHAnsi" w:hAnsiTheme="minorHAnsi" w:cstheme="minorHAnsi"/>
          <w:szCs w:val="24"/>
          <w:lang w:val="es-ES_tradnl"/>
        </w:rPr>
        <w:br/>
      </w:r>
      <w:r w:rsidRPr="00FB15A5">
        <w:rPr>
          <w:rFonts w:asciiTheme="minorHAnsi" w:hAnsiTheme="minorHAnsi" w:cstheme="minorHAnsi"/>
          <w:szCs w:val="24"/>
          <w:lang w:val="es-ES_tradnl"/>
        </w:rPr>
        <w:t>de espectro</w:t>
      </w:r>
      <w:r w:rsidR="001653CE">
        <w:rPr>
          <w:rFonts w:asciiTheme="minorHAnsi" w:hAnsiTheme="minorHAnsi" w:cstheme="minorHAnsi"/>
          <w:szCs w:val="24"/>
          <w:lang w:val="es-ES_tradnl"/>
        </w:rPr>
        <w:t xml:space="preserve"> </w:t>
      </w:r>
      <w:r w:rsidRPr="00FB15A5">
        <w:rPr>
          <w:rFonts w:asciiTheme="minorHAnsi" w:hAnsiTheme="minorHAnsi" w:cstheme="minorHAnsi"/>
          <w:szCs w:val="24"/>
          <w:lang w:val="es-ES_tradnl"/>
        </w:rPr>
        <w:t>ensanchado del SETS/SIE/SOE</w:t>
      </w:r>
    </w:p>
    <w:p w14:paraId="05AEEBB9" w14:textId="5C1A271A" w:rsidR="00FB15A5" w:rsidRPr="00EA657B" w:rsidRDefault="00FB15A5" w:rsidP="00314F20">
      <w:pPr>
        <w:spacing w:before="240"/>
        <w:rPr>
          <w:lang w:val="es-ES_tradnl"/>
        </w:rPr>
      </w:pPr>
      <w:r w:rsidRPr="00EA657B">
        <w:rPr>
          <w:lang w:val="es-ES_tradnl"/>
        </w:rPr>
        <w:t>En esta Recomendación se ofrecen directrices de uso de la banda de frecuencias 2 025-2 110 MHz por redes o sistemas del servicio de investigación espacial (SIE), el servicio de exploración de la Tierra por satélite (SETS), y el servicio de operaciones espaciales (SOE). El objetivo es optimizar el aprovechamiento de la banda promoviendo aquellas prácticas que permitan su uso compartido por el máximo número posible de redes y sistemas de satélites, como las técnicas que reducirían el ancho de banda en la notificación de información de publicación anticipada (API). En esta Recomendación se abordan las redes de satélites o sistemas del SETS, el SIE y el SOE que no utilizan mod</w:t>
      </w:r>
      <w:r w:rsidR="001653CE">
        <w:rPr>
          <w:lang w:val="es-ES_tradnl"/>
        </w:rPr>
        <w:t>ulación de espectro ensanchado.</w:t>
      </w:r>
    </w:p>
    <w:p w14:paraId="11105C9E" w14:textId="77777777" w:rsidR="00474086" w:rsidRPr="00EA657B" w:rsidRDefault="00474086" w:rsidP="008A4544">
      <w:pPr>
        <w:spacing w:before="480"/>
        <w:jc w:val="center"/>
        <w:rPr>
          <w:lang w:val="es-ES_tradnl"/>
        </w:rPr>
      </w:pPr>
      <w:r w:rsidRPr="00EA657B">
        <w:rPr>
          <w:lang w:val="es-ES_tradnl"/>
        </w:rPr>
        <w:t>______________</w:t>
      </w:r>
    </w:p>
    <w:sectPr w:rsidR="00474086" w:rsidRPr="00EA657B"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91D3" w14:textId="77777777" w:rsidR="00FB15A5" w:rsidRDefault="00FB15A5">
      <w:r>
        <w:separator/>
      </w:r>
    </w:p>
  </w:endnote>
  <w:endnote w:type="continuationSeparator" w:id="0">
    <w:p w14:paraId="75704272" w14:textId="77777777" w:rsidR="00FB15A5" w:rsidRDefault="00FB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4247" w14:textId="239F0170" w:rsidR="00AF052B" w:rsidRPr="00AD3765"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 xml:space="preserve">Unión Internacional de Telecomunicaciones • Place des </w:t>
    </w:r>
    <w:proofErr w:type="spellStart"/>
    <w:r w:rsidRPr="00AD3765">
      <w:rPr>
        <w:color w:val="4F81BD" w:themeColor="accent1"/>
        <w:sz w:val="18"/>
        <w:szCs w:val="18"/>
        <w:lang w:val="es-ES_tradnl"/>
      </w:rPr>
      <w:t>Nations</w:t>
    </w:r>
    <w:proofErr w:type="spellEnd"/>
    <w:r w:rsidR="00380D6C">
      <w:rPr>
        <w:color w:val="4F81BD" w:themeColor="accent1"/>
        <w:sz w:val="18"/>
        <w:szCs w:val="18"/>
        <w:lang w:val="es-ES_tradnl"/>
      </w:rPr>
      <w:t>,</w:t>
    </w:r>
    <w:r w:rsidRPr="00AD3765">
      <w:rPr>
        <w:color w:val="4F81BD" w:themeColor="accent1"/>
        <w:sz w:val="18"/>
        <w:szCs w:val="18"/>
        <w:lang w:val="es-ES_tradnl"/>
      </w:rPr>
      <w:t xml:space="preserve"> CH</w:t>
    </w:r>
    <w:r w:rsidRPr="00AD3765">
      <w:rPr>
        <w:color w:val="4F81BD" w:themeColor="accent1"/>
        <w:sz w:val="18"/>
        <w:szCs w:val="18"/>
        <w:lang w:val="es-ES_tradnl"/>
      </w:rPr>
      <w:noBreakHyphen/>
      <w:t>1211 Ginebra 20</w:t>
    </w:r>
    <w:r w:rsidR="00380D6C">
      <w:rPr>
        <w:color w:val="4F81BD" w:themeColor="accent1"/>
        <w:sz w:val="18"/>
        <w:szCs w:val="18"/>
        <w:lang w:val="es-ES_tradnl"/>
      </w:rPr>
      <w:t>,</w:t>
    </w:r>
    <w:r w:rsidRPr="00AD3765">
      <w:rPr>
        <w:color w:val="4F81BD" w:themeColor="accent1"/>
        <w:sz w:val="18"/>
        <w:szCs w:val="18"/>
        <w:lang w:val="es-ES_tradnl"/>
      </w:rPr>
      <w:t xml:space="preserve"> Suiza</w:t>
    </w:r>
    <w:r w:rsidRPr="00AD3765">
      <w:rPr>
        <w:color w:val="4F81BD" w:themeColor="accent1"/>
        <w:sz w:val="18"/>
        <w:szCs w:val="18"/>
        <w:lang w:val="es-ES_tradnl"/>
      </w:rPr>
      <w:br/>
      <w:t>Tel</w:t>
    </w:r>
    <w:r w:rsidR="00474086">
      <w:rPr>
        <w:color w:val="4F81BD" w:themeColor="accent1"/>
        <w:sz w:val="18"/>
        <w:szCs w:val="18"/>
        <w:lang w:val="es-ES_tradnl"/>
      </w:rPr>
      <w:t>.</w:t>
    </w:r>
    <w:r w:rsidRPr="00AD3765">
      <w:rPr>
        <w:color w:val="4F81BD" w:themeColor="accent1"/>
        <w:sz w:val="18"/>
        <w:szCs w:val="18"/>
        <w:lang w:val="es-ES_tradnl"/>
      </w:rPr>
      <w:t xml:space="preserve">: +41 22 730 5111 • Correo-e: </w:t>
    </w:r>
    <w:hyperlink r:id="rId1" w:history="1">
      <w:r w:rsidRPr="00380D6C">
        <w:rPr>
          <w:color w:val="0000FF"/>
          <w:sz w:val="18"/>
          <w:szCs w:val="18"/>
          <w:u w:val="single"/>
          <w:lang w:val="es-ES_tradnl"/>
        </w:rPr>
        <w:t>itumail@itu.int</w:t>
      </w:r>
    </w:hyperlink>
    <w:r w:rsidRPr="00AD3765">
      <w:rPr>
        <w:color w:val="4F81BD" w:themeColor="accent1"/>
        <w:sz w:val="18"/>
        <w:szCs w:val="18"/>
        <w:lang w:val="es-ES_tradnl"/>
      </w:rPr>
      <w:t xml:space="preserve"> • Fax: +41 22 733 7256 • </w:t>
    </w:r>
    <w:hyperlink r:id="rId2" w:history="1">
      <w:r w:rsidRPr="00380D6C">
        <w:rPr>
          <w:color w:val="0000FF"/>
          <w:sz w:val="18"/>
          <w:szCs w:val="18"/>
          <w:lang w:val="es-ES_tradnl"/>
        </w:rPr>
        <w:t>www.itu.int</w:t>
      </w:r>
    </w:hyperlink>
    <w:r w:rsidRPr="00380D6C">
      <w:rPr>
        <w:color w:val="0000FF"/>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2B2D" w14:textId="77777777" w:rsidR="00FB15A5" w:rsidRDefault="00FB15A5">
      <w:r>
        <w:t>____________________</w:t>
      </w:r>
    </w:p>
  </w:footnote>
  <w:footnote w:type="continuationSeparator" w:id="0">
    <w:p w14:paraId="277FCE4B" w14:textId="77777777" w:rsidR="00FB15A5" w:rsidRDefault="00FB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77D6" w14:textId="4F841629"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1653CE">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7A87" w14:textId="7EA9DC84" w:rsidR="00E915AF" w:rsidRPr="00AF3325" w:rsidRDefault="00E915AF">
    <w:pPr>
      <w:pStyle w:val="Header"/>
    </w:pPr>
    <w:r>
      <w:tab/>
    </w:r>
    <w:r>
      <w:tab/>
    </w:r>
    <w:r w:rsidR="001653CE">
      <w:rPr>
        <w:sz w:val="18"/>
        <w:szCs w:val="16"/>
      </w:rPr>
      <w:t xml:space="preserve">- </w:t>
    </w:r>
    <w:r w:rsidR="001653CE" w:rsidRPr="00D239B4">
      <w:rPr>
        <w:rStyle w:val="PageNumber"/>
        <w:sz w:val="18"/>
        <w:szCs w:val="16"/>
      </w:rPr>
      <w:fldChar w:fldCharType="begin"/>
    </w:r>
    <w:r w:rsidR="001653CE" w:rsidRPr="00D239B4">
      <w:rPr>
        <w:rStyle w:val="PageNumber"/>
        <w:sz w:val="18"/>
        <w:szCs w:val="16"/>
      </w:rPr>
      <w:instrText xml:space="preserve"> PAGE </w:instrText>
    </w:r>
    <w:r w:rsidR="001653CE" w:rsidRPr="00D239B4">
      <w:rPr>
        <w:rStyle w:val="PageNumber"/>
        <w:sz w:val="18"/>
        <w:szCs w:val="16"/>
      </w:rPr>
      <w:fldChar w:fldCharType="separate"/>
    </w:r>
    <w:r w:rsidR="001653CE">
      <w:rPr>
        <w:rStyle w:val="PageNumber"/>
        <w:noProof/>
        <w:sz w:val="18"/>
        <w:szCs w:val="16"/>
      </w:rPr>
      <w:t>3</w:t>
    </w:r>
    <w:r w:rsidR="001653CE" w:rsidRPr="00D239B4">
      <w:rPr>
        <w:rStyle w:val="PageNumber"/>
        <w:sz w:val="18"/>
        <w:szCs w:val="16"/>
      </w:rPr>
      <w:fldChar w:fldCharType="end"/>
    </w:r>
    <w:r w:rsidR="001653CE">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FCD3" w14:textId="10B93AC8" w:rsidR="008A4544" w:rsidRDefault="008A4544" w:rsidP="008A4544">
    <w:pPr>
      <w:pStyle w:val="Header"/>
      <w:tabs>
        <w:tab w:val="clear" w:pos="794"/>
        <w:tab w:val="clear" w:pos="4820"/>
        <w:tab w:val="clear" w:pos="9639"/>
        <w:tab w:val="left" w:pos="9720"/>
      </w:tabs>
      <w:spacing w:before="240" w:line="360" w:lineRule="auto"/>
      <w:ind w:left="-142"/>
      <w:jc w:val="center"/>
    </w:pPr>
    <w:r>
      <w:rPr>
        <w:noProof/>
        <w:lang w:val="es-ES_tradnl" w:eastAsia="es-ES_tradnl"/>
      </w:rPr>
      <w:drawing>
        <wp:inline distT="0" distB="0" distL="0" distR="0" wp14:anchorId="59BC0E61" wp14:editId="1E80966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831146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900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653CE"/>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05C30"/>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4F20"/>
    <w:rsid w:val="00316935"/>
    <w:rsid w:val="003266ED"/>
    <w:rsid w:val="00326C68"/>
    <w:rsid w:val="0033029C"/>
    <w:rsid w:val="003370B8"/>
    <w:rsid w:val="00345D38"/>
    <w:rsid w:val="00352097"/>
    <w:rsid w:val="003666FF"/>
    <w:rsid w:val="0037309C"/>
    <w:rsid w:val="00380A6E"/>
    <w:rsid w:val="00380D6C"/>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74086"/>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271E"/>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58AA"/>
    <w:rsid w:val="005D3669"/>
    <w:rsid w:val="005E5EB3"/>
    <w:rsid w:val="005F3CB6"/>
    <w:rsid w:val="005F657C"/>
    <w:rsid w:val="00602D53"/>
    <w:rsid w:val="006047E5"/>
    <w:rsid w:val="0064371D"/>
    <w:rsid w:val="00650543"/>
    <w:rsid w:val="00650B2A"/>
    <w:rsid w:val="00651777"/>
    <w:rsid w:val="006550F8"/>
    <w:rsid w:val="006829F3"/>
    <w:rsid w:val="00693C4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204C"/>
    <w:rsid w:val="007B3DB1"/>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A4544"/>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70DD"/>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4CE8"/>
    <w:rsid w:val="00E25BB1"/>
    <w:rsid w:val="00E27BBA"/>
    <w:rsid w:val="00E30E3F"/>
    <w:rsid w:val="00E35E8F"/>
    <w:rsid w:val="00E428AB"/>
    <w:rsid w:val="00E438E8"/>
    <w:rsid w:val="00E453A3"/>
    <w:rsid w:val="00E520E2"/>
    <w:rsid w:val="00E530C4"/>
    <w:rsid w:val="00E53DCE"/>
    <w:rsid w:val="00E55996"/>
    <w:rsid w:val="00E5619E"/>
    <w:rsid w:val="00E64254"/>
    <w:rsid w:val="00E67928"/>
    <w:rsid w:val="00E70FB5"/>
    <w:rsid w:val="00E915AF"/>
    <w:rsid w:val="00E96415"/>
    <w:rsid w:val="00EA15B3"/>
    <w:rsid w:val="00EA657B"/>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15A5"/>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4E4CB"/>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UnresolvedMention1">
    <w:name w:val="Unresolved Mention1"/>
    <w:basedOn w:val="DefaultParagraphFont"/>
    <w:uiPriority w:val="99"/>
    <w:semiHidden/>
    <w:unhideWhenUsed/>
    <w:rsid w:val="00FB15A5"/>
    <w:rPr>
      <w:color w:val="605E5C"/>
      <w:shd w:val="clear" w:color="auto" w:fill="E1DFDD"/>
    </w:rPr>
  </w:style>
  <w:style w:type="character" w:styleId="FollowedHyperlink">
    <w:name w:val="FollowedHyperlink"/>
    <w:basedOn w:val="DefaultParagraphFont"/>
    <w:semiHidden/>
    <w:unhideWhenUsed/>
    <w:rsid w:val="00FB15A5"/>
    <w:rPr>
      <w:color w:val="800080" w:themeColor="followedHyperlink"/>
      <w:u w:val="single"/>
    </w:rPr>
  </w:style>
  <w:style w:type="paragraph" w:customStyle="1" w:styleId="AnnexNotitle0">
    <w:name w:val="Annex_No &amp; title"/>
    <w:basedOn w:val="Normal"/>
    <w:next w:val="Normalaftertitle"/>
    <w:uiPriority w:val="99"/>
    <w:rsid w:val="00FB15A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CD70D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7-C/es" TargetMode="External"/><Relationship Id="rId4" Type="http://schemas.openxmlformats.org/officeDocument/2006/relationships/settings" Target="settings.xml"/><Relationship Id="rId9" Type="http://schemas.openxmlformats.org/officeDocument/2006/relationships/hyperlink" Target="https://www.itu.int/es/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7904-B20E-4169-A485-7C8B718C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713</Words>
  <Characters>4212</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14</cp:revision>
  <cp:lastPrinted>2013-03-08T10:15:00Z</cp:lastPrinted>
  <dcterms:created xsi:type="dcterms:W3CDTF">2022-10-12T13:23:00Z</dcterms:created>
  <dcterms:modified xsi:type="dcterms:W3CDTF">2022-10-19T14:20:00Z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