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943BFC" w14:paraId="32C8C815" w14:textId="77777777" w:rsidTr="006A1921">
        <w:trPr>
          <w:jc w:val="center"/>
        </w:trPr>
        <w:tc>
          <w:tcPr>
            <w:tcW w:w="9889" w:type="dxa"/>
            <w:gridSpan w:val="3"/>
            <w:shd w:val="clear" w:color="auto" w:fill="auto"/>
          </w:tcPr>
          <w:p w14:paraId="18EDE2BD" w14:textId="77777777" w:rsidR="00EA15B3" w:rsidRPr="0018771A" w:rsidRDefault="008E38B4" w:rsidP="00117282">
            <w:pPr>
              <w:spacing w:before="0"/>
              <w:jc w:val="left"/>
              <w:rPr>
                <w:rFonts w:cstheme="minorHAnsi"/>
                <w:b/>
                <w:bCs/>
                <w:color w:val="808080"/>
                <w:sz w:val="28"/>
                <w:szCs w:val="28"/>
                <w:lang w:val="en-GB"/>
              </w:rPr>
            </w:pPr>
            <w:r w:rsidRPr="0018771A">
              <w:rPr>
                <w:rFonts w:cstheme="minorHAnsi"/>
                <w:b/>
                <w:bCs/>
                <w:color w:val="808080"/>
                <w:sz w:val="28"/>
                <w:szCs w:val="28"/>
                <w:lang w:val="en-GB"/>
              </w:rPr>
              <w:t xml:space="preserve">Radiocommunication </w:t>
            </w:r>
            <w:r w:rsidR="00AF70DA" w:rsidRPr="0018771A">
              <w:rPr>
                <w:rFonts w:cstheme="minorHAnsi"/>
                <w:b/>
                <w:bCs/>
                <w:color w:val="808080"/>
                <w:sz w:val="28"/>
                <w:szCs w:val="28"/>
                <w:lang w:val="en-GB"/>
              </w:rPr>
              <w:t>Bureau (BR)</w:t>
            </w:r>
          </w:p>
          <w:p w14:paraId="792036FC" w14:textId="77777777" w:rsidR="008E38B4" w:rsidRPr="0018771A" w:rsidRDefault="008E38B4" w:rsidP="00117282">
            <w:pPr>
              <w:spacing w:before="0"/>
              <w:jc w:val="left"/>
              <w:rPr>
                <w:rFonts w:cstheme="minorHAnsi"/>
                <w:b/>
                <w:bCs/>
                <w:color w:val="808080"/>
                <w:sz w:val="28"/>
                <w:szCs w:val="28"/>
                <w:lang w:val="en-GB"/>
              </w:rPr>
            </w:pPr>
          </w:p>
          <w:p w14:paraId="63EA68F1" w14:textId="77777777" w:rsidR="008E38B4" w:rsidRPr="0018771A" w:rsidRDefault="008E38B4" w:rsidP="00117282">
            <w:pPr>
              <w:spacing w:before="0"/>
              <w:jc w:val="left"/>
              <w:rPr>
                <w:rFonts w:cs="Times New Roman Bold"/>
                <w:b/>
                <w:bCs/>
                <w:color w:val="808080"/>
                <w:sz w:val="28"/>
                <w:szCs w:val="28"/>
                <w:lang w:val="en-GB"/>
              </w:rPr>
            </w:pPr>
          </w:p>
        </w:tc>
      </w:tr>
      <w:tr w:rsidR="00651777" w:rsidRPr="00943BFC" w14:paraId="5A9B6224" w14:textId="77777777" w:rsidTr="006A1921">
        <w:trPr>
          <w:jc w:val="center"/>
        </w:trPr>
        <w:tc>
          <w:tcPr>
            <w:tcW w:w="7054" w:type="dxa"/>
            <w:gridSpan w:val="2"/>
            <w:shd w:val="clear" w:color="auto" w:fill="auto"/>
          </w:tcPr>
          <w:p w14:paraId="5BB0A1FF" w14:textId="77777777" w:rsidR="00A52F57" w:rsidRPr="00943BFC" w:rsidRDefault="00A52F57" w:rsidP="00D74BDE">
            <w:pPr>
              <w:spacing w:before="0"/>
              <w:jc w:val="left"/>
              <w:rPr>
                <w:sz w:val="28"/>
                <w:szCs w:val="28"/>
                <w:lang w:val="en-GB"/>
              </w:rPr>
            </w:pPr>
            <w:r w:rsidRPr="00943BFC">
              <w:rPr>
                <w:szCs w:val="24"/>
                <w:lang w:val="en-GB"/>
              </w:rPr>
              <w:t>Administrative Circular</w:t>
            </w:r>
          </w:p>
          <w:p w14:paraId="2243A1B5" w14:textId="3E6FBA40" w:rsidR="00651777" w:rsidRPr="00943BFC" w:rsidRDefault="00A52F57" w:rsidP="00D74BDE">
            <w:pPr>
              <w:spacing w:before="0"/>
              <w:jc w:val="left"/>
              <w:rPr>
                <w:b/>
                <w:bCs/>
                <w:szCs w:val="24"/>
                <w:lang w:val="en-GB"/>
              </w:rPr>
            </w:pPr>
            <w:r w:rsidRPr="00943BFC">
              <w:rPr>
                <w:b/>
                <w:bCs/>
                <w:szCs w:val="24"/>
                <w:lang w:val="en-GB"/>
              </w:rPr>
              <w:t>CACE</w:t>
            </w:r>
            <w:r w:rsidR="00D74BDE" w:rsidRPr="00943BFC">
              <w:rPr>
                <w:b/>
                <w:bCs/>
                <w:szCs w:val="24"/>
                <w:lang w:val="en-GB"/>
              </w:rPr>
              <w:t>/</w:t>
            </w:r>
            <w:r w:rsidR="00267DE9" w:rsidRPr="00943BFC">
              <w:rPr>
                <w:b/>
                <w:bCs/>
                <w:szCs w:val="24"/>
                <w:lang w:val="en-GB"/>
              </w:rPr>
              <w:t>1069</w:t>
            </w:r>
          </w:p>
        </w:tc>
        <w:tc>
          <w:tcPr>
            <w:tcW w:w="2835" w:type="dxa"/>
            <w:shd w:val="clear" w:color="auto" w:fill="auto"/>
          </w:tcPr>
          <w:p w14:paraId="179F7014" w14:textId="3381AECB" w:rsidR="00651777" w:rsidRPr="00943BFC" w:rsidRDefault="004249FC" w:rsidP="00542F0C">
            <w:pPr>
              <w:spacing w:before="0"/>
              <w:jc w:val="right"/>
              <w:rPr>
                <w:szCs w:val="24"/>
                <w:lang w:val="en-GB"/>
              </w:rPr>
            </w:pPr>
            <w:r>
              <w:rPr>
                <w:rFonts w:cs="Arial"/>
                <w:szCs w:val="24"/>
                <w:lang w:val="en-GB"/>
              </w:rPr>
              <w:t>20</w:t>
            </w:r>
            <w:r w:rsidR="00542F0C" w:rsidRPr="00943BFC">
              <w:rPr>
                <w:rFonts w:cs="Arial"/>
                <w:szCs w:val="24"/>
                <w:lang w:val="en-GB"/>
              </w:rPr>
              <w:t xml:space="preserve"> </w:t>
            </w:r>
            <w:r w:rsidR="00267DE9" w:rsidRPr="00943BFC">
              <w:rPr>
                <w:rFonts w:cs="Arial"/>
                <w:szCs w:val="24"/>
                <w:lang w:val="en-GB"/>
              </w:rPr>
              <w:t>July</w:t>
            </w:r>
            <w:r w:rsidR="00542F0C" w:rsidRPr="00943BFC">
              <w:rPr>
                <w:rFonts w:cs="Arial"/>
                <w:szCs w:val="24"/>
                <w:lang w:val="en-GB"/>
              </w:rPr>
              <w:t xml:space="preserve"> 202</w:t>
            </w:r>
            <w:r w:rsidR="00B829A1" w:rsidRPr="00943BFC">
              <w:rPr>
                <w:rFonts w:cs="Arial"/>
                <w:szCs w:val="24"/>
                <w:lang w:val="en-GB"/>
              </w:rPr>
              <w:t>3</w:t>
            </w:r>
          </w:p>
        </w:tc>
      </w:tr>
      <w:tr w:rsidR="0037309C" w:rsidRPr="00943BFC" w14:paraId="214A0AEE" w14:textId="77777777" w:rsidTr="006A1921">
        <w:trPr>
          <w:jc w:val="center"/>
        </w:trPr>
        <w:tc>
          <w:tcPr>
            <w:tcW w:w="9889" w:type="dxa"/>
            <w:gridSpan w:val="3"/>
            <w:shd w:val="clear" w:color="auto" w:fill="auto"/>
          </w:tcPr>
          <w:p w14:paraId="1610E5BC" w14:textId="77777777" w:rsidR="0037309C" w:rsidRPr="00943BFC" w:rsidRDefault="0037309C" w:rsidP="006047E5">
            <w:pPr>
              <w:spacing w:before="0"/>
              <w:jc w:val="left"/>
              <w:rPr>
                <w:rFonts w:cs="Arial"/>
                <w:szCs w:val="24"/>
                <w:lang w:val="en-GB"/>
              </w:rPr>
            </w:pPr>
          </w:p>
        </w:tc>
      </w:tr>
      <w:tr w:rsidR="0037309C" w:rsidRPr="00943BFC" w14:paraId="6FA3A2DC" w14:textId="77777777" w:rsidTr="006A1921">
        <w:trPr>
          <w:jc w:val="center"/>
        </w:trPr>
        <w:tc>
          <w:tcPr>
            <w:tcW w:w="9889" w:type="dxa"/>
            <w:gridSpan w:val="3"/>
            <w:shd w:val="clear" w:color="auto" w:fill="auto"/>
          </w:tcPr>
          <w:p w14:paraId="309217B1" w14:textId="77777777" w:rsidR="0037309C" w:rsidRPr="00943BFC" w:rsidRDefault="0037309C" w:rsidP="00D374CD">
            <w:pPr>
              <w:spacing w:before="0"/>
              <w:jc w:val="left"/>
              <w:rPr>
                <w:szCs w:val="24"/>
                <w:lang w:val="en-GB"/>
              </w:rPr>
            </w:pPr>
          </w:p>
        </w:tc>
      </w:tr>
      <w:tr w:rsidR="0037309C" w:rsidRPr="00943BFC" w14:paraId="214A0BB7" w14:textId="77777777" w:rsidTr="006A1921">
        <w:trPr>
          <w:jc w:val="center"/>
        </w:trPr>
        <w:tc>
          <w:tcPr>
            <w:tcW w:w="9889" w:type="dxa"/>
            <w:gridSpan w:val="3"/>
            <w:shd w:val="clear" w:color="auto" w:fill="auto"/>
          </w:tcPr>
          <w:p w14:paraId="73ABCFA6" w14:textId="5F490FFA" w:rsidR="0040406F" w:rsidRPr="00943BFC" w:rsidRDefault="0040406F" w:rsidP="0073517E">
            <w:pPr>
              <w:spacing w:before="0"/>
              <w:jc w:val="left"/>
              <w:rPr>
                <w:b/>
                <w:bCs/>
                <w:szCs w:val="24"/>
                <w:lang w:val="en-GB"/>
              </w:rPr>
            </w:pPr>
            <w:r w:rsidRPr="00943BFC">
              <w:rPr>
                <w:b/>
                <w:bCs/>
                <w:szCs w:val="24"/>
                <w:lang w:val="en-GB"/>
              </w:rPr>
              <w:t xml:space="preserve">To Administrations of Member States of the ITU, Radiocommunication Sector Members, </w:t>
            </w:r>
            <w:r w:rsidRPr="00943BFC">
              <w:rPr>
                <w:b/>
                <w:bCs/>
                <w:szCs w:val="24"/>
                <w:lang w:val="en-GB"/>
              </w:rPr>
              <w:br/>
              <w:t xml:space="preserve">ITU-R Associates participating in the work of Radiocommunication Study Group </w:t>
            </w:r>
            <w:r w:rsidR="00101CC4" w:rsidRPr="00943BFC">
              <w:rPr>
                <w:b/>
                <w:bCs/>
                <w:szCs w:val="24"/>
                <w:lang w:val="en-GB"/>
              </w:rPr>
              <w:t>4</w:t>
            </w:r>
            <w:r w:rsidRPr="00943BFC">
              <w:rPr>
                <w:b/>
                <w:bCs/>
                <w:szCs w:val="24"/>
                <w:lang w:val="en-GB"/>
              </w:rPr>
              <w:br/>
              <w:t>and ITU Academia</w:t>
            </w:r>
          </w:p>
        </w:tc>
      </w:tr>
      <w:tr w:rsidR="0037309C" w:rsidRPr="00943BFC" w14:paraId="74CAB32F" w14:textId="77777777" w:rsidTr="006A1921">
        <w:trPr>
          <w:jc w:val="center"/>
        </w:trPr>
        <w:tc>
          <w:tcPr>
            <w:tcW w:w="9889" w:type="dxa"/>
            <w:gridSpan w:val="3"/>
            <w:shd w:val="clear" w:color="auto" w:fill="auto"/>
          </w:tcPr>
          <w:p w14:paraId="30B0416D" w14:textId="77777777" w:rsidR="0037309C" w:rsidRPr="00943BFC" w:rsidRDefault="0037309C" w:rsidP="006047E5">
            <w:pPr>
              <w:spacing w:before="0"/>
              <w:jc w:val="left"/>
              <w:rPr>
                <w:szCs w:val="24"/>
                <w:lang w:val="en-GB"/>
              </w:rPr>
            </w:pPr>
          </w:p>
        </w:tc>
      </w:tr>
      <w:tr w:rsidR="0073517E" w:rsidRPr="00943BFC" w14:paraId="4EDC5BBB" w14:textId="77777777" w:rsidTr="006A1921">
        <w:trPr>
          <w:jc w:val="center"/>
        </w:trPr>
        <w:tc>
          <w:tcPr>
            <w:tcW w:w="9889" w:type="dxa"/>
            <w:gridSpan w:val="3"/>
            <w:shd w:val="clear" w:color="auto" w:fill="auto"/>
          </w:tcPr>
          <w:p w14:paraId="1F4901F2" w14:textId="77777777" w:rsidR="0073517E" w:rsidRPr="00943BFC" w:rsidRDefault="0073517E" w:rsidP="006047E5">
            <w:pPr>
              <w:spacing w:before="0"/>
              <w:jc w:val="left"/>
              <w:rPr>
                <w:szCs w:val="24"/>
                <w:lang w:val="en-GB"/>
              </w:rPr>
            </w:pPr>
          </w:p>
        </w:tc>
      </w:tr>
      <w:tr w:rsidR="00703E02" w:rsidRPr="00943BFC" w14:paraId="12B38C4F" w14:textId="77777777" w:rsidTr="006A1921">
        <w:trPr>
          <w:jc w:val="center"/>
        </w:trPr>
        <w:tc>
          <w:tcPr>
            <w:tcW w:w="1526" w:type="dxa"/>
            <w:shd w:val="clear" w:color="auto" w:fill="auto"/>
          </w:tcPr>
          <w:p w14:paraId="76B80553" w14:textId="77777777" w:rsidR="00703E02" w:rsidRPr="00943BFC" w:rsidRDefault="00703E02" w:rsidP="00703E02">
            <w:pPr>
              <w:spacing w:before="0"/>
              <w:jc w:val="left"/>
              <w:rPr>
                <w:szCs w:val="24"/>
                <w:lang w:val="en-GB"/>
              </w:rPr>
            </w:pPr>
            <w:r w:rsidRPr="00943BFC">
              <w:rPr>
                <w:szCs w:val="24"/>
                <w:lang w:val="en-GB"/>
              </w:rPr>
              <w:t>Subject:</w:t>
            </w:r>
          </w:p>
        </w:tc>
        <w:tc>
          <w:tcPr>
            <w:tcW w:w="8363" w:type="dxa"/>
            <w:gridSpan w:val="2"/>
            <w:shd w:val="clear" w:color="auto" w:fill="auto"/>
          </w:tcPr>
          <w:p w14:paraId="0CB12CAE" w14:textId="2789451A" w:rsidR="00703E02" w:rsidRPr="00943BFC" w:rsidRDefault="00703E02" w:rsidP="00703E02">
            <w:pPr>
              <w:spacing w:before="0"/>
              <w:jc w:val="left"/>
              <w:rPr>
                <w:b/>
                <w:bCs/>
                <w:lang w:val="en-GB"/>
              </w:rPr>
            </w:pPr>
            <w:r w:rsidRPr="00943BFC">
              <w:rPr>
                <w:b/>
                <w:bCs/>
                <w:szCs w:val="24"/>
                <w:lang w:val="en-GB"/>
              </w:rPr>
              <w:t xml:space="preserve">Radiocommunication Study Group </w:t>
            </w:r>
            <w:sdt>
              <w:sdtPr>
                <w:rPr>
                  <w:b/>
                  <w:bCs/>
                  <w:lang w:val="en-GB"/>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101CC4" w:rsidRPr="00943BFC">
                  <w:rPr>
                    <w:b/>
                    <w:bCs/>
                    <w:lang w:val="en-GB"/>
                  </w:rPr>
                  <w:t>4 (Satellite services)</w:t>
                </w:r>
              </w:sdtContent>
            </w:sdt>
          </w:p>
          <w:p w14:paraId="040BB581" w14:textId="158304DD" w:rsidR="00703E02" w:rsidRPr="00943BFC" w:rsidRDefault="00703E02" w:rsidP="0073517E">
            <w:pPr>
              <w:spacing w:before="120"/>
              <w:ind w:left="794" w:hanging="794"/>
              <w:jc w:val="left"/>
              <w:rPr>
                <w:rFonts w:asciiTheme="minorHAnsi" w:hAnsiTheme="minorHAnsi" w:cstheme="minorHAnsi"/>
                <w:b/>
                <w:bCs/>
                <w:szCs w:val="24"/>
                <w:lang w:val="en-GB"/>
              </w:rPr>
            </w:pPr>
            <w:r w:rsidRPr="00943BFC">
              <w:rPr>
                <w:rFonts w:asciiTheme="minorHAnsi" w:hAnsiTheme="minorHAnsi" w:cstheme="minorHAnsi"/>
                <w:b/>
                <w:bCs/>
                <w:szCs w:val="24"/>
                <w:lang w:val="en-GB"/>
              </w:rPr>
              <w:t>–</w:t>
            </w:r>
            <w:r w:rsidRPr="00943BFC">
              <w:rPr>
                <w:rFonts w:asciiTheme="minorHAnsi" w:hAnsiTheme="minorHAnsi" w:cstheme="minorHAnsi"/>
                <w:b/>
                <w:bCs/>
                <w:szCs w:val="24"/>
                <w:lang w:val="en-GB"/>
              </w:rPr>
              <w:tab/>
              <w:t xml:space="preserve">Proposed adoption of </w:t>
            </w:r>
            <w:r w:rsidR="00CA0F7A" w:rsidRPr="00943BFC">
              <w:rPr>
                <w:rFonts w:asciiTheme="minorHAnsi" w:hAnsiTheme="minorHAnsi" w:cstheme="minorHAnsi"/>
                <w:b/>
                <w:bCs/>
                <w:szCs w:val="24"/>
                <w:lang w:val="en-GB"/>
              </w:rPr>
              <w:t xml:space="preserve">2 </w:t>
            </w:r>
            <w:r w:rsidRPr="00943BFC">
              <w:rPr>
                <w:rFonts w:asciiTheme="minorHAnsi" w:hAnsiTheme="minorHAnsi" w:cstheme="minorHAnsi"/>
                <w:b/>
                <w:bCs/>
                <w:szCs w:val="24"/>
                <w:lang w:val="en-GB"/>
              </w:rPr>
              <w:t xml:space="preserve">draft new and </w:t>
            </w:r>
            <w:r w:rsidR="00CA0F7A" w:rsidRPr="00943BFC">
              <w:rPr>
                <w:rFonts w:asciiTheme="minorHAnsi" w:hAnsiTheme="minorHAnsi" w:cstheme="minorHAnsi"/>
                <w:b/>
                <w:bCs/>
                <w:szCs w:val="24"/>
                <w:lang w:val="en-GB"/>
              </w:rPr>
              <w:t xml:space="preserve">1 </w:t>
            </w:r>
            <w:r w:rsidRPr="00943BFC">
              <w:rPr>
                <w:rFonts w:asciiTheme="minorHAnsi" w:hAnsiTheme="minorHAnsi" w:cstheme="minorHAnsi"/>
                <w:b/>
                <w:bCs/>
                <w:szCs w:val="24"/>
                <w:lang w:val="en-GB"/>
              </w:rPr>
              <w:t>draft revised ITU-R Recommendations and their simultaneous approval by correspondence in accordance with § A2.6.2.4 of Resolution ITU</w:t>
            </w:r>
            <w:r w:rsidRPr="00943BFC">
              <w:rPr>
                <w:rFonts w:asciiTheme="minorHAnsi" w:hAnsiTheme="minorHAnsi" w:cstheme="minorHAnsi"/>
                <w:b/>
                <w:bCs/>
                <w:szCs w:val="24"/>
                <w:lang w:val="en-GB"/>
              </w:rPr>
              <w:noBreakHyphen/>
              <w:t>R 1-8 (Procedure for the simultaneous adoption and approval by correspondence)</w:t>
            </w:r>
          </w:p>
          <w:p w14:paraId="503EC25F" w14:textId="6C3AA130" w:rsidR="00703E02" w:rsidRPr="00943BFC" w:rsidRDefault="00703E02" w:rsidP="0073517E">
            <w:pPr>
              <w:spacing w:before="120"/>
              <w:ind w:left="794" w:hanging="794"/>
              <w:jc w:val="left"/>
              <w:rPr>
                <w:b/>
                <w:bCs/>
                <w:szCs w:val="24"/>
                <w:lang w:val="en-GB"/>
              </w:rPr>
            </w:pPr>
            <w:r w:rsidRPr="00943BFC">
              <w:rPr>
                <w:rFonts w:asciiTheme="minorHAnsi" w:hAnsiTheme="minorHAnsi" w:cstheme="minorHAnsi"/>
                <w:b/>
                <w:bCs/>
                <w:szCs w:val="24"/>
                <w:lang w:val="en-GB"/>
              </w:rPr>
              <w:t>–</w:t>
            </w:r>
            <w:r w:rsidRPr="00943BFC">
              <w:rPr>
                <w:rFonts w:asciiTheme="minorHAnsi" w:hAnsiTheme="minorHAnsi" w:cstheme="minorHAnsi"/>
                <w:b/>
                <w:bCs/>
                <w:szCs w:val="24"/>
                <w:lang w:val="en-GB"/>
              </w:rPr>
              <w:tab/>
              <w:t xml:space="preserve">Proposed suppression of </w:t>
            </w:r>
            <w:r w:rsidR="009339EF" w:rsidRPr="00943BFC">
              <w:rPr>
                <w:rFonts w:asciiTheme="minorHAnsi" w:hAnsiTheme="minorHAnsi" w:cstheme="minorHAnsi"/>
                <w:b/>
                <w:bCs/>
                <w:szCs w:val="24"/>
                <w:lang w:val="en-GB"/>
              </w:rPr>
              <w:t xml:space="preserve">1 </w:t>
            </w:r>
            <w:r w:rsidRPr="00943BFC">
              <w:rPr>
                <w:rFonts w:asciiTheme="minorHAnsi" w:hAnsiTheme="minorHAnsi" w:cstheme="minorHAnsi"/>
                <w:b/>
                <w:bCs/>
                <w:szCs w:val="24"/>
                <w:lang w:val="en-GB"/>
              </w:rPr>
              <w:t>ITU-R Recommendation</w:t>
            </w:r>
          </w:p>
        </w:tc>
      </w:tr>
      <w:tr w:rsidR="00703E02" w:rsidRPr="00943BFC" w14:paraId="48AEFF71" w14:textId="77777777" w:rsidTr="006A1921">
        <w:trPr>
          <w:jc w:val="center"/>
        </w:trPr>
        <w:tc>
          <w:tcPr>
            <w:tcW w:w="9889" w:type="dxa"/>
            <w:gridSpan w:val="3"/>
            <w:shd w:val="clear" w:color="auto" w:fill="auto"/>
          </w:tcPr>
          <w:p w14:paraId="0D1A655B" w14:textId="77777777" w:rsidR="00703E02" w:rsidRPr="00943BFC" w:rsidRDefault="00703E02" w:rsidP="00703E02">
            <w:pPr>
              <w:spacing w:before="0"/>
              <w:jc w:val="left"/>
              <w:rPr>
                <w:b/>
                <w:bCs/>
                <w:szCs w:val="24"/>
                <w:lang w:val="en-GB"/>
              </w:rPr>
            </w:pPr>
          </w:p>
        </w:tc>
      </w:tr>
    </w:tbl>
    <w:p w14:paraId="7C8A7268" w14:textId="3A10E8B9" w:rsidR="0040406F" w:rsidRPr="00943BFC" w:rsidRDefault="0040406F" w:rsidP="00EF05AD">
      <w:pPr>
        <w:pStyle w:val="Normalaftertitle"/>
        <w:spacing w:before="240"/>
        <w:rPr>
          <w:szCs w:val="24"/>
          <w:lang w:val="en-GB"/>
        </w:rPr>
      </w:pPr>
      <w:r w:rsidRPr="00943BFC">
        <w:rPr>
          <w:szCs w:val="24"/>
          <w:lang w:val="en-GB"/>
        </w:rPr>
        <w:t xml:space="preserve">At the meeting of Radiocommunication Study Group </w:t>
      </w:r>
      <w:r w:rsidR="00101CC4" w:rsidRPr="00943BFC">
        <w:rPr>
          <w:szCs w:val="24"/>
          <w:lang w:val="en-GB"/>
        </w:rPr>
        <w:t>4</w:t>
      </w:r>
      <w:r w:rsidRPr="00943BFC">
        <w:rPr>
          <w:szCs w:val="24"/>
          <w:lang w:val="en-GB"/>
        </w:rPr>
        <w:t xml:space="preserve">, held </w:t>
      </w:r>
      <w:r w:rsidR="00101CC4" w:rsidRPr="00943BFC">
        <w:rPr>
          <w:szCs w:val="24"/>
          <w:lang w:val="en-GB"/>
        </w:rPr>
        <w:t>on 7 July 2023</w:t>
      </w:r>
      <w:r w:rsidRPr="00943BFC">
        <w:rPr>
          <w:szCs w:val="24"/>
          <w:lang w:val="en-GB"/>
        </w:rPr>
        <w:t xml:space="preserve">, the Study Group decided to seek adoption of </w:t>
      </w:r>
      <w:r w:rsidR="00101CC4" w:rsidRPr="00943BFC">
        <w:rPr>
          <w:szCs w:val="24"/>
          <w:lang w:val="en-GB"/>
        </w:rPr>
        <w:t xml:space="preserve">2 </w:t>
      </w:r>
      <w:r w:rsidRPr="00943BFC">
        <w:rPr>
          <w:szCs w:val="24"/>
          <w:lang w:val="en-GB"/>
        </w:rPr>
        <w:t xml:space="preserve">draft new </w:t>
      </w:r>
      <w:r w:rsidRPr="00943BFC">
        <w:rPr>
          <w:bCs/>
          <w:szCs w:val="24"/>
          <w:lang w:val="en-GB"/>
        </w:rPr>
        <w:t xml:space="preserve">and </w:t>
      </w:r>
      <w:r w:rsidR="00101CC4" w:rsidRPr="00943BFC">
        <w:rPr>
          <w:bCs/>
          <w:szCs w:val="24"/>
          <w:lang w:val="en-GB"/>
        </w:rPr>
        <w:t xml:space="preserve">1 </w:t>
      </w:r>
      <w:r w:rsidRPr="00943BFC">
        <w:rPr>
          <w:bCs/>
          <w:szCs w:val="24"/>
          <w:lang w:val="en-GB"/>
        </w:rPr>
        <w:t>draft revised ITU-R Recommendations</w:t>
      </w:r>
      <w:r w:rsidRPr="00943BFC">
        <w:rPr>
          <w:szCs w:val="24"/>
          <w:lang w:val="en-GB"/>
        </w:rPr>
        <w:t xml:space="preserve"> by correspondence (§ A2.6.2 of Resolution ITU-R 1-</w:t>
      </w:r>
      <w:r w:rsidR="00703EBE" w:rsidRPr="00943BFC">
        <w:rPr>
          <w:szCs w:val="24"/>
          <w:lang w:val="en-GB"/>
        </w:rPr>
        <w:t>8</w:t>
      </w:r>
      <w:r w:rsidRPr="00943BFC">
        <w:rPr>
          <w:szCs w:val="24"/>
          <w:lang w:val="en-GB"/>
        </w:rPr>
        <w:t>) and further decided to apply the procedure for simultaneous adoption and approval by correspondence (PSAA, § A2.6.2.4 of Resolution ITU</w:t>
      </w:r>
      <w:r w:rsidRPr="00943BFC">
        <w:rPr>
          <w:szCs w:val="24"/>
          <w:lang w:val="en-GB"/>
        </w:rPr>
        <w:noBreakHyphen/>
        <w:t>R 1</w:t>
      </w:r>
      <w:r w:rsidRPr="00943BFC">
        <w:rPr>
          <w:szCs w:val="24"/>
          <w:lang w:val="en-GB"/>
        </w:rPr>
        <w:noBreakHyphen/>
      </w:r>
      <w:r w:rsidR="00703EBE" w:rsidRPr="00943BFC">
        <w:rPr>
          <w:szCs w:val="24"/>
          <w:lang w:val="en-GB"/>
        </w:rPr>
        <w:t>8</w:t>
      </w:r>
      <w:r w:rsidRPr="00943BFC">
        <w:rPr>
          <w:szCs w:val="24"/>
          <w:lang w:val="en-GB"/>
        </w:rPr>
        <w:t xml:space="preserve">). The titles and summaries of the draft Recommendations are given in Annex 1. Any Member State </w:t>
      </w:r>
      <w:bookmarkStart w:id="0" w:name="_Hlk116571750"/>
      <w:r w:rsidR="008F2746" w:rsidRPr="00943BFC">
        <w:rPr>
          <w:szCs w:val="24"/>
          <w:lang w:val="en-GB"/>
        </w:rPr>
        <w:t>raising an objection</w:t>
      </w:r>
      <w:bookmarkEnd w:id="0"/>
      <w:r w:rsidR="008F2746" w:rsidRPr="00943BFC">
        <w:rPr>
          <w:szCs w:val="24"/>
          <w:lang w:val="en-GB"/>
        </w:rPr>
        <w:t xml:space="preserve"> </w:t>
      </w:r>
      <w:r w:rsidRPr="00943BFC">
        <w:rPr>
          <w:szCs w:val="24"/>
          <w:lang w:val="en-GB"/>
        </w:rPr>
        <w:t>to the adoption of a draft Recommendation is requested to inform the Director and the Chairman of the Study Group of the reasons for the objection.</w:t>
      </w:r>
    </w:p>
    <w:p w14:paraId="6653F03F" w14:textId="6C0C6C21" w:rsidR="0040406F" w:rsidRPr="00943BFC" w:rsidRDefault="0040406F" w:rsidP="0040406F">
      <w:pPr>
        <w:rPr>
          <w:szCs w:val="24"/>
          <w:lang w:val="en-GB"/>
        </w:rPr>
      </w:pPr>
      <w:r w:rsidRPr="00943BFC">
        <w:rPr>
          <w:szCs w:val="24"/>
          <w:lang w:val="en-GB"/>
        </w:rPr>
        <w:t xml:space="preserve">The consideration period shall extend for 2 months ending on </w:t>
      </w:r>
      <w:r w:rsidR="005B3E46">
        <w:rPr>
          <w:szCs w:val="24"/>
          <w:u w:val="single"/>
          <w:lang w:val="en-GB"/>
        </w:rPr>
        <w:t>20</w:t>
      </w:r>
      <w:r w:rsidR="00101CC4" w:rsidRPr="00943BFC">
        <w:rPr>
          <w:szCs w:val="24"/>
          <w:u w:val="single"/>
          <w:lang w:val="en-GB"/>
        </w:rPr>
        <w:t xml:space="preserve"> September 2023</w:t>
      </w:r>
      <w:r w:rsidRPr="00943BFC">
        <w:rPr>
          <w:szCs w:val="24"/>
          <w:lang w:val="en-GB"/>
        </w:rPr>
        <w:t xml:space="preserve">. If within this period no objections are received from Member States, the draft Recommendations shall be considered to be adopted by Study Group </w:t>
      </w:r>
      <w:r w:rsidR="00101CC4" w:rsidRPr="00943BFC">
        <w:rPr>
          <w:szCs w:val="24"/>
          <w:lang w:val="en-GB"/>
        </w:rPr>
        <w:t>4</w:t>
      </w:r>
      <w:r w:rsidRPr="00943BFC">
        <w:rPr>
          <w:szCs w:val="24"/>
          <w:lang w:val="en-GB"/>
        </w:rPr>
        <w:t xml:space="preserve">. Furthermore, since the PSAA procedure has been followed, the draft Recommendations shall also be considered as approved. </w:t>
      </w:r>
    </w:p>
    <w:p w14:paraId="3D349374" w14:textId="740D7256" w:rsidR="0040406F" w:rsidRPr="00943BFC" w:rsidRDefault="0040406F" w:rsidP="0040406F">
      <w:pPr>
        <w:pStyle w:val="Normalaftertitle"/>
        <w:spacing w:before="160"/>
        <w:rPr>
          <w:szCs w:val="24"/>
          <w:lang w:val="en-GB"/>
        </w:rPr>
      </w:pPr>
      <w:r w:rsidRPr="00943BFC">
        <w:rPr>
          <w:szCs w:val="24"/>
          <w:lang w:val="en-GB"/>
        </w:rPr>
        <w:t xml:space="preserve">In addition, the Study Group proposed the suppression of </w:t>
      </w:r>
      <w:r w:rsidR="009339EF" w:rsidRPr="00943BFC">
        <w:rPr>
          <w:szCs w:val="24"/>
          <w:lang w:val="en-GB"/>
        </w:rPr>
        <w:t xml:space="preserve">1 </w:t>
      </w:r>
      <w:r w:rsidRPr="00943BFC">
        <w:rPr>
          <w:szCs w:val="24"/>
          <w:lang w:val="en-GB"/>
        </w:rPr>
        <w:t>Recommendation listed in Annex 2</w:t>
      </w:r>
      <w:r w:rsidR="001528AE" w:rsidRPr="00943BFC">
        <w:rPr>
          <w:lang w:val="en-GB"/>
        </w:rPr>
        <w:t xml:space="preserve"> </w:t>
      </w:r>
      <w:r w:rsidR="001528AE" w:rsidRPr="00943BFC">
        <w:rPr>
          <w:lang w:val="en-GB"/>
          <w:rPrChange w:id="1" w:author="Chamova, Alisa" w:date="2023-07-12T10:31:00Z">
            <w:rPr>
              <w:highlight w:val="yellow"/>
              <w:lang w:val="en-GB"/>
            </w:rPr>
          </w:rPrChange>
        </w:rPr>
        <w:t>in accordance with Resolution ITU-R 1-8 (§ A2.6.3)</w:t>
      </w:r>
      <w:r w:rsidRPr="00943BFC">
        <w:rPr>
          <w:szCs w:val="24"/>
          <w:lang w:val="en-GB"/>
        </w:rPr>
        <w:t>. Any Member State who objects to the suppression of a Recommendation is requested to inform the Director and the Chairman of the Study Group of the reasons for the objection.</w:t>
      </w:r>
    </w:p>
    <w:p w14:paraId="25099891" w14:textId="6983B14C" w:rsidR="0040406F" w:rsidRPr="00943BFC" w:rsidRDefault="0040406F" w:rsidP="0040406F">
      <w:pPr>
        <w:rPr>
          <w:szCs w:val="24"/>
          <w:lang w:val="en-GB"/>
        </w:rPr>
      </w:pPr>
      <w:r w:rsidRPr="00943BFC">
        <w:rPr>
          <w:szCs w:val="24"/>
          <w:lang w:val="en-GB"/>
        </w:rPr>
        <w:t xml:space="preserve">The consideration period shall extend for 2 months ending on </w:t>
      </w:r>
      <w:r w:rsidR="005B3E46">
        <w:rPr>
          <w:szCs w:val="24"/>
          <w:u w:val="single"/>
          <w:lang w:val="en-GB"/>
        </w:rPr>
        <w:t>20</w:t>
      </w:r>
      <w:r w:rsidR="009339EF" w:rsidRPr="00943BFC">
        <w:rPr>
          <w:szCs w:val="24"/>
          <w:u w:val="single"/>
          <w:lang w:val="en-GB"/>
        </w:rPr>
        <w:t xml:space="preserve"> </w:t>
      </w:r>
      <w:r w:rsidR="00F83831" w:rsidRPr="00943BFC">
        <w:rPr>
          <w:szCs w:val="24"/>
          <w:u w:val="single"/>
          <w:lang w:val="en-GB"/>
        </w:rPr>
        <w:t xml:space="preserve">September </w:t>
      </w:r>
      <w:r w:rsidR="009339EF" w:rsidRPr="00943BFC">
        <w:rPr>
          <w:szCs w:val="24"/>
          <w:u w:val="single"/>
          <w:lang w:val="en-GB"/>
        </w:rPr>
        <w:t>2023</w:t>
      </w:r>
      <w:r w:rsidRPr="00943BFC">
        <w:rPr>
          <w:szCs w:val="24"/>
          <w:lang w:val="en-GB"/>
        </w:rPr>
        <w:t xml:space="preserve">. If within this period no objections to the proposed suppression are received from Member States, the Recommendation shall be considered to be suppressed. </w:t>
      </w:r>
    </w:p>
    <w:p w14:paraId="7C2EBAD4" w14:textId="00B70F97" w:rsidR="0040406F" w:rsidRPr="00943BFC" w:rsidRDefault="0040406F" w:rsidP="002E579B">
      <w:pPr>
        <w:rPr>
          <w:lang w:val="en-GB"/>
        </w:rPr>
      </w:pPr>
      <w:r w:rsidRPr="00943BFC">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943BFC">
          <w:rPr>
            <w:rStyle w:val="Hyperlink"/>
            <w:szCs w:val="24"/>
            <w:lang w:val="en-GB"/>
          </w:rPr>
          <w:t>http://www.itu.int/pub/R-REC</w:t>
        </w:r>
      </w:hyperlink>
      <w:r w:rsidRPr="00943BFC">
        <w:rPr>
          <w:lang w:val="en-GB"/>
        </w:rPr>
        <w:t xml:space="preserve">). </w:t>
      </w:r>
    </w:p>
    <w:p w14:paraId="27C25426" w14:textId="1DDB668B" w:rsidR="0040406F" w:rsidRPr="00943BFC" w:rsidRDefault="0040406F" w:rsidP="0040406F">
      <w:pPr>
        <w:keepNext/>
        <w:keepLines/>
        <w:rPr>
          <w:szCs w:val="24"/>
          <w:lang w:val="en-GB"/>
        </w:rPr>
      </w:pPr>
      <w:r w:rsidRPr="00943BFC">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43BFC">
        <w:rPr>
          <w:szCs w:val="24"/>
          <w:lang w:val="en-GB"/>
        </w:rPr>
        <w:noBreakHyphen/>
        <w:t>T/ITU</w:t>
      </w:r>
      <w:r w:rsidRPr="00943BFC">
        <w:rPr>
          <w:szCs w:val="24"/>
          <w:lang w:val="en-GB"/>
        </w:rPr>
        <w:noBreakHyphen/>
        <w:t>R/ISO/IEC is available at</w:t>
      </w:r>
      <w:r w:rsidRPr="00943BFC">
        <w:rPr>
          <w:rStyle w:val="Hyperlink"/>
          <w:szCs w:val="24"/>
          <w:u w:val="none"/>
          <w:lang w:val="en-GB"/>
        </w:rPr>
        <w:t xml:space="preserve"> </w:t>
      </w:r>
      <w:hyperlink r:id="rId9" w:history="1">
        <w:r w:rsidRPr="00943BFC">
          <w:rPr>
            <w:rStyle w:val="Hyperlink"/>
            <w:szCs w:val="24"/>
            <w:lang w:val="en-GB"/>
          </w:rPr>
          <w:t>http://www.itu.int/en/ITU-T/ipr/Pages/policy.aspx</w:t>
        </w:r>
      </w:hyperlink>
      <w:r w:rsidRPr="00943BFC">
        <w:rPr>
          <w:szCs w:val="24"/>
          <w:lang w:val="en-GB"/>
        </w:rPr>
        <w:t>.</w:t>
      </w:r>
    </w:p>
    <w:p w14:paraId="6522F677" w14:textId="77777777" w:rsidR="0040406F" w:rsidRPr="00943BFC" w:rsidRDefault="0040406F" w:rsidP="00F942C7">
      <w:pPr>
        <w:spacing w:before="1200" w:line="240" w:lineRule="auto"/>
        <w:jc w:val="left"/>
        <w:rPr>
          <w:rFonts w:asciiTheme="minorHAnsi" w:hAnsiTheme="minorHAnsi" w:cstheme="minorHAnsi"/>
          <w:szCs w:val="24"/>
          <w:lang w:val="en-GB"/>
        </w:rPr>
      </w:pPr>
      <w:r w:rsidRPr="00943BFC">
        <w:rPr>
          <w:szCs w:val="24"/>
          <w:lang w:val="en-GB"/>
        </w:rPr>
        <w:t>Mario Maniewicz</w:t>
      </w:r>
      <w:r w:rsidR="00133F9E" w:rsidRPr="00943BFC">
        <w:rPr>
          <w:szCs w:val="24"/>
          <w:lang w:val="en-GB"/>
        </w:rPr>
        <w:br/>
      </w:r>
      <w:r w:rsidRPr="00943BFC">
        <w:rPr>
          <w:rFonts w:asciiTheme="minorHAnsi" w:hAnsiTheme="minorHAnsi" w:cstheme="minorHAnsi"/>
          <w:szCs w:val="24"/>
          <w:lang w:val="en-GB"/>
        </w:rPr>
        <w:t>Director</w:t>
      </w:r>
    </w:p>
    <w:p w14:paraId="09562A12" w14:textId="07972673" w:rsidR="0040406F" w:rsidRPr="00943BFC" w:rsidRDefault="0040406F" w:rsidP="00F942C7">
      <w:pPr>
        <w:spacing w:before="2400"/>
        <w:ind w:left="1191" w:hanging="1191"/>
        <w:rPr>
          <w:szCs w:val="24"/>
          <w:lang w:val="en-GB"/>
        </w:rPr>
      </w:pPr>
      <w:r w:rsidRPr="00943BFC">
        <w:rPr>
          <w:b/>
          <w:bCs/>
          <w:szCs w:val="24"/>
          <w:lang w:val="en-GB"/>
        </w:rPr>
        <w:t>Annex 1:</w:t>
      </w:r>
      <w:r w:rsidRPr="00943BFC">
        <w:rPr>
          <w:szCs w:val="24"/>
          <w:lang w:val="en-GB"/>
        </w:rPr>
        <w:t xml:space="preserve"> </w:t>
      </w:r>
      <w:r w:rsidRPr="00943BFC">
        <w:rPr>
          <w:szCs w:val="24"/>
          <w:lang w:val="en-GB"/>
        </w:rPr>
        <w:tab/>
        <w:t>Titles and summaries of the draft Recommendations</w:t>
      </w:r>
    </w:p>
    <w:p w14:paraId="4998AB29" w14:textId="4CAAC306" w:rsidR="0040406F" w:rsidRPr="00943BFC" w:rsidRDefault="0040406F" w:rsidP="0040406F">
      <w:pPr>
        <w:ind w:left="1191" w:hanging="1191"/>
        <w:rPr>
          <w:szCs w:val="24"/>
          <w:lang w:val="en-GB"/>
        </w:rPr>
      </w:pPr>
      <w:r w:rsidRPr="00943BFC">
        <w:rPr>
          <w:b/>
          <w:bCs/>
          <w:szCs w:val="24"/>
          <w:lang w:val="en-GB"/>
        </w:rPr>
        <w:t>Annex 2:</w:t>
      </w:r>
      <w:r w:rsidRPr="00943BFC">
        <w:rPr>
          <w:szCs w:val="24"/>
          <w:lang w:val="en-GB"/>
        </w:rPr>
        <w:tab/>
        <w:t xml:space="preserve">Recommendation proposed for </w:t>
      </w:r>
      <w:proofErr w:type="gramStart"/>
      <w:r w:rsidRPr="00943BFC">
        <w:rPr>
          <w:szCs w:val="24"/>
          <w:lang w:val="en-GB"/>
        </w:rPr>
        <w:t>suppression</w:t>
      </w:r>
      <w:proofErr w:type="gramEnd"/>
    </w:p>
    <w:p w14:paraId="00EB2DB3" w14:textId="7905D17C" w:rsidR="0040406F" w:rsidRPr="00943BFC" w:rsidRDefault="0040406F" w:rsidP="005D44C7">
      <w:pPr>
        <w:spacing w:before="1320"/>
        <w:rPr>
          <w:szCs w:val="24"/>
          <w:lang w:val="en-GB"/>
        </w:rPr>
      </w:pPr>
      <w:r w:rsidRPr="00943BFC">
        <w:rPr>
          <w:b/>
          <w:bCs/>
          <w:szCs w:val="24"/>
          <w:lang w:val="en-GB"/>
        </w:rPr>
        <w:t>Documents:</w:t>
      </w:r>
      <w:r w:rsidRPr="00943BFC">
        <w:rPr>
          <w:szCs w:val="24"/>
          <w:lang w:val="en-GB"/>
        </w:rPr>
        <w:tab/>
        <w:t>Document</w:t>
      </w:r>
      <w:r w:rsidR="00A41923" w:rsidRPr="00943BFC">
        <w:rPr>
          <w:szCs w:val="24"/>
          <w:lang w:val="en-GB"/>
        </w:rPr>
        <w:t>s</w:t>
      </w:r>
      <w:r w:rsidRPr="00943BFC">
        <w:rPr>
          <w:szCs w:val="24"/>
          <w:lang w:val="en-GB"/>
        </w:rPr>
        <w:t xml:space="preserve"> </w:t>
      </w:r>
      <w:r w:rsidR="00CA0F7A" w:rsidRPr="00943BFC">
        <w:rPr>
          <w:szCs w:val="24"/>
          <w:lang w:val="en-GB"/>
        </w:rPr>
        <w:t>4/91, 4/92</w:t>
      </w:r>
      <w:r w:rsidR="00FE0144" w:rsidRPr="00943BFC">
        <w:rPr>
          <w:szCs w:val="24"/>
          <w:lang w:val="en-GB"/>
        </w:rPr>
        <w:t>(Rev.1)</w:t>
      </w:r>
      <w:r w:rsidR="00CA0F7A" w:rsidRPr="00943BFC">
        <w:rPr>
          <w:szCs w:val="24"/>
          <w:lang w:val="en-GB"/>
        </w:rPr>
        <w:t xml:space="preserve"> and 4/93</w:t>
      </w:r>
      <w:r w:rsidR="00FE0144" w:rsidRPr="00943BFC">
        <w:rPr>
          <w:szCs w:val="24"/>
          <w:lang w:val="en-GB"/>
        </w:rPr>
        <w:t>(Rev.1)</w:t>
      </w:r>
    </w:p>
    <w:p w14:paraId="5944CB6C" w14:textId="0036A62E" w:rsidR="0040406F" w:rsidRPr="00943BFC" w:rsidRDefault="0040406F" w:rsidP="002E462D">
      <w:pPr>
        <w:tabs>
          <w:tab w:val="clear" w:pos="1588"/>
          <w:tab w:val="left" w:pos="2552"/>
        </w:tabs>
        <w:rPr>
          <w:szCs w:val="24"/>
          <w:lang w:val="en-GB"/>
        </w:rPr>
      </w:pPr>
      <w:r w:rsidRPr="00943BFC">
        <w:rPr>
          <w:szCs w:val="24"/>
          <w:lang w:val="en-GB"/>
        </w:rPr>
        <w:t>These documents</w:t>
      </w:r>
      <w:r w:rsidR="00101CC4" w:rsidRPr="00943BFC">
        <w:rPr>
          <w:szCs w:val="24"/>
          <w:lang w:val="en-GB"/>
        </w:rPr>
        <w:t xml:space="preserve"> </w:t>
      </w:r>
      <w:r w:rsidRPr="00943BFC">
        <w:rPr>
          <w:szCs w:val="24"/>
          <w:lang w:val="en-GB"/>
        </w:rPr>
        <w:t xml:space="preserve">are available in electronic format at: </w:t>
      </w:r>
      <w:hyperlink r:id="rId10" w:history="1">
        <w:r w:rsidR="00A53818" w:rsidRPr="00943BFC">
          <w:rPr>
            <w:rStyle w:val="Hyperlink"/>
            <w:szCs w:val="24"/>
            <w:lang w:val="en-GB"/>
          </w:rPr>
          <w:t>https://www.itu.int/md/R19-SG04-C/en</w:t>
        </w:r>
      </w:hyperlink>
      <w:r w:rsidR="002E462D" w:rsidRPr="00943BFC">
        <w:rPr>
          <w:szCs w:val="24"/>
          <w:lang w:val="en-GB"/>
        </w:rPr>
        <w:t xml:space="preserve"> </w:t>
      </w:r>
    </w:p>
    <w:p w14:paraId="3F3CCC32" w14:textId="77777777" w:rsidR="0040406F" w:rsidRPr="00943BFC" w:rsidRDefault="0040406F" w:rsidP="0040406F">
      <w:pPr>
        <w:pStyle w:val="BodyTextIndent"/>
        <w:ind w:left="284" w:hanging="284"/>
        <w:rPr>
          <w:lang w:val="en-GB"/>
        </w:rPr>
      </w:pPr>
      <w:r w:rsidRPr="00943BFC">
        <w:rPr>
          <w:lang w:val="en-GB"/>
        </w:rPr>
        <w:br w:type="page"/>
      </w:r>
    </w:p>
    <w:p w14:paraId="1A7276EE" w14:textId="2AB090E0" w:rsidR="0040406F" w:rsidRPr="00943BFC" w:rsidRDefault="0040406F" w:rsidP="00A41923">
      <w:pPr>
        <w:pStyle w:val="AnnexNotitle0"/>
        <w:rPr>
          <w:rFonts w:asciiTheme="minorHAnsi" w:hAnsiTheme="minorHAnsi" w:cstheme="minorHAnsi"/>
          <w:szCs w:val="28"/>
        </w:rPr>
      </w:pPr>
      <w:r w:rsidRPr="00943BFC">
        <w:rPr>
          <w:rFonts w:asciiTheme="minorHAnsi" w:hAnsiTheme="minorHAnsi" w:cstheme="minorHAnsi"/>
          <w:szCs w:val="28"/>
        </w:rPr>
        <w:lastRenderedPageBreak/>
        <w:t>Annex 1</w:t>
      </w:r>
      <w:r w:rsidR="00A41923" w:rsidRPr="00943BFC">
        <w:rPr>
          <w:rFonts w:asciiTheme="minorHAnsi" w:hAnsiTheme="minorHAnsi" w:cstheme="minorHAnsi"/>
          <w:szCs w:val="28"/>
        </w:rPr>
        <w:br/>
      </w:r>
      <w:r w:rsidR="00A41923" w:rsidRPr="00943BFC">
        <w:rPr>
          <w:rFonts w:asciiTheme="minorHAnsi" w:hAnsiTheme="minorHAnsi" w:cstheme="minorHAnsi"/>
          <w:szCs w:val="28"/>
        </w:rPr>
        <w:br/>
      </w:r>
      <w:r w:rsidRPr="00943BFC">
        <w:rPr>
          <w:rFonts w:asciiTheme="minorHAnsi" w:hAnsiTheme="minorHAnsi" w:cstheme="minorHAnsi"/>
          <w:szCs w:val="28"/>
        </w:rPr>
        <w:t xml:space="preserve">Titles and summaries of the draft </w:t>
      </w:r>
      <w:r w:rsidR="00041CF8" w:rsidRPr="00943BFC">
        <w:rPr>
          <w:rFonts w:asciiTheme="minorHAnsi" w:hAnsiTheme="minorHAnsi" w:cstheme="minorHAnsi"/>
          <w:szCs w:val="28"/>
        </w:rPr>
        <w:t xml:space="preserve">ITU-R </w:t>
      </w:r>
      <w:r w:rsidRPr="00943BFC">
        <w:rPr>
          <w:rFonts w:asciiTheme="minorHAnsi" w:hAnsiTheme="minorHAnsi" w:cstheme="minorHAnsi"/>
          <w:szCs w:val="28"/>
        </w:rPr>
        <w:t>Recommendations</w:t>
      </w:r>
    </w:p>
    <w:p w14:paraId="344936FE" w14:textId="30DB23C5" w:rsidR="0040406F" w:rsidRPr="00943BFC" w:rsidRDefault="0040406F" w:rsidP="007C656B">
      <w:pPr>
        <w:tabs>
          <w:tab w:val="right" w:pos="9639"/>
        </w:tabs>
        <w:spacing w:before="480"/>
        <w:rPr>
          <w:rFonts w:asciiTheme="minorHAnsi" w:hAnsiTheme="minorHAnsi" w:cstheme="minorHAnsi"/>
          <w:szCs w:val="24"/>
          <w:lang w:val="en-GB"/>
        </w:rPr>
      </w:pPr>
      <w:r w:rsidRPr="00943BFC">
        <w:rPr>
          <w:rFonts w:asciiTheme="minorHAnsi" w:hAnsiTheme="minorHAnsi" w:cstheme="minorHAnsi"/>
          <w:szCs w:val="24"/>
          <w:u w:val="single"/>
          <w:lang w:val="en-GB"/>
        </w:rPr>
        <w:t xml:space="preserve">Draft new Recommendation ITU-R </w:t>
      </w:r>
      <w:r w:rsidR="009339EF" w:rsidRPr="00943BFC">
        <w:rPr>
          <w:rFonts w:asciiTheme="minorHAnsi" w:hAnsiTheme="minorHAnsi" w:cstheme="minorHAnsi"/>
          <w:szCs w:val="24"/>
          <w:u w:val="single"/>
          <w:lang w:val="en-GB"/>
        </w:rPr>
        <w:t>S.[QV-METH-REF-LINKS]</w:t>
      </w:r>
      <w:r w:rsidRPr="00943BFC">
        <w:rPr>
          <w:rFonts w:asciiTheme="minorHAnsi" w:hAnsiTheme="minorHAnsi" w:cstheme="minorHAnsi"/>
          <w:szCs w:val="24"/>
          <w:lang w:val="en-GB"/>
        </w:rPr>
        <w:tab/>
        <w:t xml:space="preserve">Doc. </w:t>
      </w:r>
      <w:r w:rsidR="009339EF" w:rsidRPr="00943BFC">
        <w:rPr>
          <w:rFonts w:asciiTheme="minorHAnsi" w:hAnsiTheme="minorHAnsi" w:cstheme="minorHAnsi"/>
          <w:szCs w:val="24"/>
          <w:lang w:val="en-GB"/>
        </w:rPr>
        <w:t>4/91</w:t>
      </w:r>
    </w:p>
    <w:p w14:paraId="26FC9DAE" w14:textId="26A1ED42" w:rsidR="009339EF" w:rsidRPr="00943BFC" w:rsidRDefault="009339EF" w:rsidP="00B27683">
      <w:pPr>
        <w:pStyle w:val="Reftitle"/>
        <w:rPr>
          <w:sz w:val="28"/>
          <w:szCs w:val="24"/>
          <w:lang w:val="en-GB"/>
        </w:rPr>
      </w:pPr>
      <w:r w:rsidRPr="00943BFC">
        <w:rPr>
          <w:sz w:val="28"/>
          <w:szCs w:val="24"/>
          <w:lang w:val="en-GB"/>
        </w:rPr>
        <w:t>Procedures for the evaluation of interference from any non-GSO system into a global set of the generic GSO reference links in the frequency bands 37.5-39.5 GHz (space-to-Earth), 39.5-42.5 GHz (space-to-Earth), 47.2-50.2 GHz (Earth-to-space) and 50.4-51.4 GHz (Earth-to-space)</w:t>
      </w:r>
    </w:p>
    <w:p w14:paraId="48FA4320" w14:textId="4A548199" w:rsidR="009339EF" w:rsidRPr="00943BFC" w:rsidRDefault="009339EF" w:rsidP="00FE0144">
      <w:pPr>
        <w:pStyle w:val="Normalaftertitle0"/>
        <w:jc w:val="both"/>
        <w:rPr>
          <w:rFonts w:asciiTheme="minorHAnsi" w:hAnsiTheme="minorHAnsi" w:cstheme="minorHAnsi"/>
        </w:rPr>
      </w:pPr>
      <w:r w:rsidRPr="00943BFC">
        <w:rPr>
          <w:rFonts w:asciiTheme="minorHAnsi" w:hAnsiTheme="minorHAnsi" w:cstheme="minorHAnsi"/>
        </w:rPr>
        <w:t xml:space="preserve">This Recommendation provides procedures for assessment of compliance for any non-GSO system with No. </w:t>
      </w:r>
      <w:r w:rsidRPr="00943BFC">
        <w:rPr>
          <w:rFonts w:asciiTheme="minorHAnsi" w:hAnsiTheme="minorHAnsi" w:cstheme="minorHAnsi"/>
          <w:b/>
          <w:bCs/>
        </w:rPr>
        <w:t>22.5L</w:t>
      </w:r>
      <w:r w:rsidRPr="00943BFC">
        <w:rPr>
          <w:rFonts w:asciiTheme="minorHAnsi" w:hAnsiTheme="minorHAnsi" w:cstheme="minorHAnsi"/>
        </w:rPr>
        <w:t xml:space="preserve"> of the Radio Regulations in order to ensure the protection of GSO satellite networks in the frequency bands 37.5-39.5 GHz (space-to-Earth), 39.5-42.5 GHz (space-to-Earth), 47.2-50.2 GHz (Earth-to-space) and 50.4-51.4 GHz (Earth-to-space).</w:t>
      </w:r>
    </w:p>
    <w:p w14:paraId="0D9418DB" w14:textId="280D7DBC" w:rsidR="009339EF" w:rsidRPr="00943BFC" w:rsidRDefault="009339EF" w:rsidP="009339EF">
      <w:pPr>
        <w:tabs>
          <w:tab w:val="right" w:pos="9639"/>
        </w:tabs>
        <w:spacing w:before="480"/>
        <w:rPr>
          <w:rFonts w:asciiTheme="minorHAnsi" w:hAnsiTheme="minorHAnsi" w:cstheme="minorHAnsi"/>
          <w:szCs w:val="24"/>
          <w:lang w:val="en-GB"/>
        </w:rPr>
      </w:pPr>
      <w:r w:rsidRPr="00943BFC">
        <w:rPr>
          <w:rFonts w:asciiTheme="minorHAnsi" w:hAnsiTheme="minorHAnsi" w:cstheme="minorHAnsi"/>
          <w:szCs w:val="24"/>
          <w:u w:val="single"/>
          <w:lang w:val="en-GB"/>
        </w:rPr>
        <w:t xml:space="preserve">Draft new Recommendation ITU-R </w:t>
      </w:r>
      <w:r w:rsidRPr="00943BFC">
        <w:rPr>
          <w:u w:val="single"/>
          <w:lang w:val="en-GB"/>
          <w:rPrChange w:id="2" w:author="Chamova, Alisa" w:date="2023-07-12T10:31:00Z">
            <w:rPr>
              <w:highlight w:val="yellow"/>
              <w:u w:val="single"/>
              <w:lang w:val="en-GB"/>
            </w:rPr>
          </w:rPrChange>
        </w:rPr>
        <w:t>S</w:t>
      </w:r>
      <w:r w:rsidRPr="00943BFC">
        <w:rPr>
          <w:u w:val="single"/>
          <w:lang w:val="en-GB"/>
        </w:rPr>
        <w:t>.[METHOD]</w:t>
      </w:r>
      <w:r w:rsidRPr="00943BFC">
        <w:rPr>
          <w:rFonts w:asciiTheme="minorHAnsi" w:hAnsiTheme="minorHAnsi" w:cstheme="minorHAnsi"/>
          <w:szCs w:val="24"/>
          <w:lang w:val="en-GB"/>
        </w:rPr>
        <w:tab/>
        <w:t>Doc. 4/93</w:t>
      </w:r>
      <w:r w:rsidR="00FE0144" w:rsidRPr="00943BFC">
        <w:rPr>
          <w:rFonts w:asciiTheme="minorHAnsi" w:hAnsiTheme="minorHAnsi" w:cstheme="minorHAnsi"/>
          <w:szCs w:val="24"/>
          <w:lang w:val="en-GB"/>
        </w:rPr>
        <w:t>(Rev.1)</w:t>
      </w:r>
    </w:p>
    <w:p w14:paraId="6828A3A1" w14:textId="48654123" w:rsidR="00881E14" w:rsidRPr="00943BFC" w:rsidRDefault="00881E14" w:rsidP="00B27683">
      <w:pPr>
        <w:pStyle w:val="Reftitle"/>
        <w:rPr>
          <w:sz w:val="28"/>
          <w:szCs w:val="24"/>
          <w:lang w:val="en-GB"/>
        </w:rPr>
      </w:pPr>
      <w:r w:rsidRPr="00943BFC">
        <w:rPr>
          <w:sz w:val="28"/>
          <w:szCs w:val="24"/>
          <w:lang w:val="en-GB"/>
        </w:rPr>
        <w:t>Methodology for examining the compliance of an aeronautical earth station in motion (A-ESIM) communicating with geostationary space stations in the fixed</w:t>
      </w:r>
      <w:r w:rsidR="00FE0144" w:rsidRPr="00943BFC">
        <w:rPr>
          <w:sz w:val="28"/>
          <w:szCs w:val="24"/>
          <w:lang w:val="en-GB"/>
        </w:rPr>
        <w:noBreakHyphen/>
      </w:r>
      <w:r w:rsidRPr="00943BFC">
        <w:rPr>
          <w:sz w:val="28"/>
          <w:szCs w:val="24"/>
          <w:lang w:val="en-GB"/>
        </w:rPr>
        <w:t xml:space="preserve">satellite service in the 27.5-29.5 GHz band with a set of </w:t>
      </w:r>
      <w:r w:rsidR="00FE0144" w:rsidRPr="00943BFC">
        <w:rPr>
          <w:sz w:val="28"/>
          <w:szCs w:val="24"/>
          <w:lang w:val="en-GB"/>
        </w:rPr>
        <w:br/>
      </w:r>
      <w:r w:rsidRPr="00943BFC">
        <w:rPr>
          <w:sz w:val="28"/>
          <w:szCs w:val="24"/>
          <w:lang w:val="en-GB"/>
        </w:rPr>
        <w:t xml:space="preserve">pre-established pfd limits on the Earth’s </w:t>
      </w:r>
      <w:proofErr w:type="gramStart"/>
      <w:r w:rsidRPr="00943BFC">
        <w:rPr>
          <w:sz w:val="28"/>
          <w:szCs w:val="24"/>
          <w:lang w:val="en-GB"/>
        </w:rPr>
        <w:t>surface</w:t>
      </w:r>
      <w:proofErr w:type="gramEnd"/>
    </w:p>
    <w:p w14:paraId="3E755CAF" w14:textId="75FD2EA9" w:rsidR="009339EF" w:rsidRPr="00943BFC" w:rsidRDefault="009339EF" w:rsidP="00FE0144">
      <w:pPr>
        <w:pStyle w:val="Normalaftertitle0"/>
        <w:jc w:val="both"/>
        <w:rPr>
          <w:rFonts w:asciiTheme="minorHAnsi" w:hAnsiTheme="minorHAnsi" w:cstheme="minorHAnsi"/>
        </w:rPr>
      </w:pPr>
      <w:r w:rsidRPr="00943BFC">
        <w:rPr>
          <w:rFonts w:asciiTheme="minorHAnsi" w:hAnsiTheme="minorHAnsi" w:cstheme="minorHAnsi"/>
        </w:rPr>
        <w:t>This Recommendation provides a methodology for use by the Radiocommunication Bureau of ITU to conduct examination of the characteristics of an aeronautical earth station in motion (A-ESIM) operating with geostationary satellite networks with respect to conformity with power flux</w:t>
      </w:r>
      <w:r w:rsidR="00AA5EFD" w:rsidRPr="00943BFC">
        <w:rPr>
          <w:rFonts w:asciiTheme="minorHAnsi" w:hAnsiTheme="minorHAnsi" w:cstheme="minorHAnsi"/>
          <w:rPrChange w:id="3" w:author="Chamova, Alisa" w:date="2023-07-12T10:31:00Z">
            <w:rPr>
              <w:rFonts w:asciiTheme="minorHAnsi" w:hAnsiTheme="minorHAnsi" w:cstheme="minorHAnsi"/>
              <w:highlight w:val="yellow"/>
            </w:rPr>
          </w:rPrChange>
        </w:rPr>
        <w:t>-</w:t>
      </w:r>
      <w:r w:rsidRPr="00943BFC">
        <w:rPr>
          <w:rFonts w:asciiTheme="minorHAnsi" w:hAnsiTheme="minorHAnsi" w:cstheme="minorHAnsi"/>
        </w:rPr>
        <w:t xml:space="preserve">density limits specified in Part II, Annex 3 of Resolution </w:t>
      </w:r>
      <w:r w:rsidRPr="00943BFC">
        <w:rPr>
          <w:rFonts w:asciiTheme="minorHAnsi" w:hAnsiTheme="minorHAnsi" w:cstheme="minorHAnsi"/>
          <w:b/>
          <w:bCs/>
        </w:rPr>
        <w:t>169 (WRC-19)</w:t>
      </w:r>
      <w:r w:rsidRPr="00943BFC">
        <w:rPr>
          <w:rFonts w:asciiTheme="minorHAnsi" w:hAnsiTheme="minorHAnsi" w:cstheme="minorHAnsi"/>
        </w:rPr>
        <w:t xml:space="preserve"> of the Radio Regulations.</w:t>
      </w:r>
    </w:p>
    <w:p w14:paraId="0D0EE6F9" w14:textId="0E24C113" w:rsidR="009339EF" w:rsidRPr="00943BFC" w:rsidRDefault="009339EF" w:rsidP="009339EF">
      <w:pPr>
        <w:tabs>
          <w:tab w:val="right" w:pos="9639"/>
        </w:tabs>
        <w:spacing w:before="480"/>
        <w:rPr>
          <w:rFonts w:asciiTheme="minorHAnsi" w:hAnsiTheme="minorHAnsi" w:cstheme="minorHAnsi"/>
          <w:szCs w:val="24"/>
          <w:lang w:val="en-GB"/>
        </w:rPr>
      </w:pPr>
      <w:r w:rsidRPr="00943BFC">
        <w:rPr>
          <w:rFonts w:asciiTheme="minorHAnsi" w:hAnsiTheme="minorHAnsi" w:cstheme="minorHAnsi"/>
          <w:szCs w:val="24"/>
          <w:u w:val="single"/>
          <w:lang w:val="en-GB"/>
        </w:rPr>
        <w:t xml:space="preserve">Draft revision of Recommendation ITU-R </w:t>
      </w:r>
      <w:r w:rsidRPr="00943BFC">
        <w:rPr>
          <w:rStyle w:val="href"/>
          <w:u w:val="single"/>
          <w:lang w:val="en-GB"/>
        </w:rPr>
        <w:t>S.1503-3</w:t>
      </w:r>
      <w:r w:rsidRPr="00943BFC">
        <w:rPr>
          <w:rFonts w:asciiTheme="minorHAnsi" w:hAnsiTheme="minorHAnsi" w:cstheme="minorHAnsi"/>
          <w:szCs w:val="24"/>
          <w:lang w:val="en-GB"/>
        </w:rPr>
        <w:tab/>
        <w:t>Doc. 4/92</w:t>
      </w:r>
      <w:r w:rsidR="00FE0144" w:rsidRPr="00943BFC">
        <w:rPr>
          <w:rFonts w:asciiTheme="minorHAnsi" w:hAnsiTheme="minorHAnsi" w:cstheme="minorHAnsi"/>
          <w:szCs w:val="24"/>
          <w:lang w:val="en-GB"/>
        </w:rPr>
        <w:t>(Rev.1)</w:t>
      </w:r>
    </w:p>
    <w:p w14:paraId="5210D7DB" w14:textId="4E0BA1F5" w:rsidR="00881E14" w:rsidRPr="00943BFC" w:rsidRDefault="00881E14" w:rsidP="00B27683">
      <w:pPr>
        <w:pStyle w:val="Reftitle"/>
        <w:rPr>
          <w:sz w:val="28"/>
          <w:szCs w:val="24"/>
          <w:lang w:val="en-GB"/>
        </w:rPr>
      </w:pPr>
      <w:r w:rsidRPr="00943BFC">
        <w:rPr>
          <w:sz w:val="28"/>
          <w:szCs w:val="24"/>
          <w:lang w:val="en-GB"/>
        </w:rPr>
        <w:t>Functional description to be used in developing software tools for determining conformity of non-geostationary-satellite orbit fixed-satellite service systems or networks with limits contained in Article 22 of the Radio Regulations</w:t>
      </w:r>
    </w:p>
    <w:p w14:paraId="6E98AF08" w14:textId="086643BE" w:rsidR="009339EF" w:rsidRPr="00943BFC" w:rsidRDefault="009339EF" w:rsidP="00FE0144">
      <w:pPr>
        <w:pStyle w:val="Normalaftertitle0"/>
        <w:jc w:val="both"/>
        <w:rPr>
          <w:rFonts w:asciiTheme="minorHAnsi" w:hAnsiTheme="minorHAnsi" w:cstheme="minorHAnsi"/>
          <w:lang w:eastAsia="zh-CN"/>
        </w:rPr>
      </w:pPr>
      <w:r w:rsidRPr="00943BFC">
        <w:rPr>
          <w:rFonts w:asciiTheme="minorHAnsi" w:hAnsiTheme="minorHAnsi" w:cstheme="minorHAnsi"/>
          <w:lang w:eastAsia="zh-CN"/>
        </w:rPr>
        <w:t xml:space="preserve">Recommendation </w:t>
      </w:r>
      <w:hyperlink r:id="rId11" w:history="1">
        <w:r w:rsidRPr="00943BFC">
          <w:rPr>
            <w:rStyle w:val="Hyperlink"/>
            <w:rFonts w:asciiTheme="minorHAnsi" w:hAnsiTheme="minorHAnsi" w:cstheme="minorHAnsi"/>
            <w:spacing w:val="-2"/>
            <w:lang w:eastAsia="zh-CN"/>
          </w:rPr>
          <w:t>ITU-R S.1503-3</w:t>
        </w:r>
      </w:hyperlink>
      <w:r w:rsidRPr="00943BFC">
        <w:rPr>
          <w:rFonts w:asciiTheme="minorHAnsi" w:hAnsiTheme="minorHAnsi" w:cstheme="minorHAnsi"/>
          <w:lang w:eastAsia="zh-CN"/>
        </w:rPr>
        <w:t xml:space="preserve"> defines a methodology to be used to determine conformity of a non-geostationary-orbit (non-GSO) satellite system in the fixed-satellite service (FSS) with the equivalent power flux-density (epfd) limits contained in Article </w:t>
      </w:r>
      <w:r w:rsidRPr="00943BFC">
        <w:rPr>
          <w:rFonts w:asciiTheme="minorHAnsi" w:hAnsiTheme="minorHAnsi" w:cstheme="minorHAnsi"/>
          <w:b/>
          <w:lang w:eastAsia="zh-CN"/>
        </w:rPr>
        <w:t>22</w:t>
      </w:r>
      <w:r w:rsidRPr="00943BFC">
        <w:rPr>
          <w:rFonts w:asciiTheme="minorHAnsi" w:hAnsiTheme="minorHAnsi" w:cstheme="minorHAnsi"/>
          <w:lang w:eastAsia="zh-CN"/>
        </w:rPr>
        <w:t xml:space="preserve"> of the Radio Regulations (RR). This methodology computes the epfd of a non-GSO satellite system into a GSO satellite network by propagating the position of the non-GSO satellites over time and aggregating the epfd from/to certain non-GSO satellites at each time step. Compliance with the epfd limits in </w:t>
      </w:r>
      <w:r w:rsidR="00240C3F" w:rsidRPr="00943BFC">
        <w:rPr>
          <w:rFonts w:asciiTheme="minorHAnsi" w:hAnsiTheme="minorHAnsi" w:cstheme="minorHAnsi"/>
          <w:lang w:eastAsia="zh-CN"/>
          <w:rPrChange w:id="4" w:author="Chamova, Alisa" w:date="2023-07-12T10:31:00Z">
            <w:rPr>
              <w:rFonts w:asciiTheme="minorHAnsi" w:hAnsiTheme="minorHAnsi" w:cstheme="minorHAnsi"/>
              <w:highlight w:val="yellow"/>
              <w:lang w:eastAsia="zh-CN"/>
            </w:rPr>
          </w:rPrChange>
        </w:rPr>
        <w:t>RR</w:t>
      </w:r>
      <w:r w:rsidR="00240C3F" w:rsidRPr="00943BFC">
        <w:rPr>
          <w:rFonts w:asciiTheme="minorHAnsi" w:hAnsiTheme="minorHAnsi" w:cstheme="minorHAnsi"/>
          <w:lang w:eastAsia="zh-CN"/>
        </w:rPr>
        <w:t xml:space="preserve"> </w:t>
      </w:r>
      <w:r w:rsidRPr="00943BFC">
        <w:rPr>
          <w:rFonts w:asciiTheme="minorHAnsi" w:hAnsiTheme="minorHAnsi" w:cstheme="minorHAnsi"/>
          <w:lang w:eastAsia="zh-CN"/>
        </w:rPr>
        <w:t xml:space="preserve">Article </w:t>
      </w:r>
      <w:r w:rsidRPr="00943BFC">
        <w:rPr>
          <w:rFonts w:asciiTheme="minorHAnsi" w:hAnsiTheme="minorHAnsi" w:cstheme="minorHAnsi"/>
          <w:b/>
          <w:lang w:eastAsia="zh-CN"/>
        </w:rPr>
        <w:t>22</w:t>
      </w:r>
      <w:r w:rsidRPr="00943BFC">
        <w:rPr>
          <w:rFonts w:asciiTheme="minorHAnsi" w:hAnsiTheme="minorHAnsi" w:cstheme="minorHAnsi"/>
          <w:lang w:eastAsia="zh-CN"/>
        </w:rPr>
        <w:t xml:space="preserve"> is then determined by comparing the cumulative density function (CDF) of the computed epfd samples to the CDF corresponding to the relevant epfd limits. </w:t>
      </w:r>
    </w:p>
    <w:p w14:paraId="48D5C1EE" w14:textId="77777777" w:rsidR="00501657" w:rsidRDefault="00501657">
      <w:pPr>
        <w:tabs>
          <w:tab w:val="clear" w:pos="794"/>
          <w:tab w:val="clear" w:pos="1191"/>
          <w:tab w:val="clear" w:pos="1588"/>
          <w:tab w:val="clear" w:pos="1985"/>
        </w:tabs>
        <w:overflowPunct/>
        <w:autoSpaceDE/>
        <w:autoSpaceDN/>
        <w:adjustRightInd/>
        <w:spacing w:before="0" w:line="240" w:lineRule="auto"/>
        <w:jc w:val="left"/>
        <w:textAlignment w:val="auto"/>
        <w:rPr>
          <w:spacing w:val="-2"/>
          <w:lang w:val="en-GB" w:eastAsia="zh-CN"/>
        </w:rPr>
      </w:pPr>
      <w:r>
        <w:rPr>
          <w:spacing w:val="-2"/>
          <w:lang w:val="en-GB" w:eastAsia="zh-CN"/>
        </w:rPr>
        <w:br w:type="page"/>
      </w:r>
    </w:p>
    <w:p w14:paraId="727FB28D" w14:textId="77A3252A" w:rsidR="009339EF" w:rsidRPr="00943BFC" w:rsidRDefault="009339EF" w:rsidP="009339EF">
      <w:pPr>
        <w:rPr>
          <w:spacing w:val="-2"/>
          <w:lang w:val="en-GB" w:eastAsia="zh-CN"/>
        </w:rPr>
      </w:pPr>
      <w:r w:rsidRPr="00943BFC">
        <w:rPr>
          <w:spacing w:val="-2"/>
          <w:lang w:val="en-GB" w:eastAsia="zh-CN"/>
        </w:rPr>
        <w:lastRenderedPageBreak/>
        <w:t xml:space="preserve">Working Party </w:t>
      </w:r>
      <w:proofErr w:type="spellStart"/>
      <w:r w:rsidRPr="00943BFC">
        <w:rPr>
          <w:spacing w:val="-2"/>
          <w:lang w:val="en-GB" w:eastAsia="zh-CN"/>
        </w:rPr>
        <w:t>4A</w:t>
      </w:r>
      <w:proofErr w:type="spellEnd"/>
      <w:r w:rsidRPr="00943BFC">
        <w:rPr>
          <w:spacing w:val="-2"/>
          <w:lang w:val="en-GB" w:eastAsia="zh-CN"/>
        </w:rPr>
        <w:t xml:space="preserve"> has been working on a revision to Recommendation ITU-R S.1503-3 and has identified potential changes that would more accurately model the capabilities and operations of non-GSO systems and improve the text to ensure consistent definition and use of various terms.</w:t>
      </w:r>
    </w:p>
    <w:p w14:paraId="27F1B3C0" w14:textId="77777777" w:rsidR="009339EF" w:rsidRPr="00943BFC" w:rsidRDefault="009339EF" w:rsidP="00F83831">
      <w:pPr>
        <w:keepNext/>
        <w:rPr>
          <w:lang w:val="en-GB"/>
        </w:rPr>
      </w:pPr>
      <w:r w:rsidRPr="00943BFC">
        <w:rPr>
          <w:lang w:val="en-GB"/>
        </w:rPr>
        <w:t>This proposed revision to Recommendation ITU-R S.1503-3 contains the following changes:</w:t>
      </w:r>
    </w:p>
    <w:p w14:paraId="7E898F35" w14:textId="35BAD563" w:rsidR="009339EF" w:rsidRPr="00943BFC" w:rsidRDefault="009339EF" w:rsidP="00F83831">
      <w:pPr>
        <w:pStyle w:val="enumlev1"/>
        <w:keepNext/>
        <w:rPr>
          <w:lang w:val="en-GB"/>
        </w:rPr>
      </w:pPr>
      <w:r w:rsidRPr="00943BFC">
        <w:rPr>
          <w:lang w:val="en-GB"/>
        </w:rPr>
        <w:t>–</w:t>
      </w:r>
      <w:r w:rsidRPr="00943BFC">
        <w:rPr>
          <w:lang w:val="en-GB"/>
        </w:rPr>
        <w:tab/>
        <w:t>Minimum separation angle between co-frequency non-GSO communication links at non-GSO ES and satellite</w:t>
      </w:r>
      <w:r w:rsidR="001B5824" w:rsidRPr="00943BFC">
        <w:rPr>
          <w:lang w:val="en-GB"/>
          <w:rPrChange w:id="5" w:author="Chamova, Alisa" w:date="2023-07-12T10:31:00Z">
            <w:rPr>
              <w:highlight w:val="yellow"/>
              <w:lang w:val="en-GB"/>
            </w:rPr>
          </w:rPrChange>
        </w:rPr>
        <w:t>.</w:t>
      </w:r>
    </w:p>
    <w:p w14:paraId="7E47E8E0" w14:textId="6115D210" w:rsidR="009339EF" w:rsidRPr="00943BFC" w:rsidRDefault="009339EF" w:rsidP="009339EF">
      <w:pPr>
        <w:pStyle w:val="enumlev1"/>
        <w:rPr>
          <w:lang w:val="en-GB"/>
        </w:rPr>
      </w:pPr>
      <w:r w:rsidRPr="00943BFC">
        <w:rPr>
          <w:lang w:val="en-GB"/>
        </w:rPr>
        <w:t>–</w:t>
      </w:r>
      <w:r w:rsidRPr="00943BFC">
        <w:rPr>
          <w:lang w:val="en-GB"/>
        </w:rPr>
        <w:tab/>
        <w:t>Maximum number of co-frequency non-GSO ES that can be tracked by a non-GSO satellite</w:t>
      </w:r>
      <w:r w:rsidR="001B5824" w:rsidRPr="00943BFC">
        <w:rPr>
          <w:lang w:val="en-GB"/>
          <w:rPrChange w:id="6" w:author="Chamova, Alisa" w:date="2023-07-12T10:31:00Z">
            <w:rPr>
              <w:highlight w:val="yellow"/>
              <w:lang w:val="en-GB"/>
            </w:rPr>
          </w:rPrChange>
        </w:rPr>
        <w:t>.</w:t>
      </w:r>
    </w:p>
    <w:p w14:paraId="27BDC6B2" w14:textId="07E31C10" w:rsidR="009339EF" w:rsidRPr="00943BFC" w:rsidRDefault="009339EF" w:rsidP="009339EF">
      <w:pPr>
        <w:pStyle w:val="enumlev1"/>
        <w:rPr>
          <w:lang w:val="en-GB"/>
        </w:rPr>
      </w:pPr>
      <w:r w:rsidRPr="00943BFC">
        <w:rPr>
          <w:lang w:val="en-GB"/>
        </w:rPr>
        <w:t>–</w:t>
      </w:r>
      <w:r w:rsidRPr="00943BFC">
        <w:rPr>
          <w:lang w:val="en-GB"/>
        </w:rPr>
        <w:tab/>
        <w:t>Definition of an equivalent isotropically radiated power (e.i.r.p.) mask to be used for the epfd(up) case</w:t>
      </w:r>
      <w:r w:rsidR="001B5824" w:rsidRPr="00943BFC">
        <w:rPr>
          <w:lang w:val="en-GB"/>
          <w:rPrChange w:id="7" w:author="Chamova, Alisa" w:date="2023-07-12T10:31:00Z">
            <w:rPr>
              <w:highlight w:val="yellow"/>
              <w:lang w:val="en-GB"/>
            </w:rPr>
          </w:rPrChange>
        </w:rPr>
        <w:t>.</w:t>
      </w:r>
    </w:p>
    <w:p w14:paraId="367C751A" w14:textId="693E7FFF" w:rsidR="009339EF" w:rsidRPr="00943BFC" w:rsidRDefault="009339EF" w:rsidP="009339EF">
      <w:pPr>
        <w:pStyle w:val="enumlev1"/>
        <w:rPr>
          <w:lang w:val="en-GB"/>
        </w:rPr>
      </w:pPr>
      <w:r w:rsidRPr="00943BFC">
        <w:rPr>
          <w:lang w:val="en-GB"/>
        </w:rPr>
        <w:t>–</w:t>
      </w:r>
      <w:r w:rsidRPr="00943BFC">
        <w:rPr>
          <w:lang w:val="en-GB"/>
        </w:rPr>
        <w:tab/>
        <w:t>Amendments to existing text to ensure consistent definition and use of various concepts throughout the Recommendation</w:t>
      </w:r>
      <w:r w:rsidR="001B5824" w:rsidRPr="00943BFC">
        <w:rPr>
          <w:lang w:val="en-GB"/>
          <w:rPrChange w:id="8" w:author="Chamova, Alisa" w:date="2023-07-12T10:31:00Z">
            <w:rPr>
              <w:highlight w:val="yellow"/>
              <w:lang w:val="en-GB"/>
            </w:rPr>
          </w:rPrChange>
        </w:rPr>
        <w:t>.</w:t>
      </w:r>
    </w:p>
    <w:p w14:paraId="5FA54980" w14:textId="02726799" w:rsidR="009339EF" w:rsidRPr="00943BFC" w:rsidRDefault="009339EF" w:rsidP="009339EF">
      <w:pPr>
        <w:pStyle w:val="enumlev1"/>
        <w:rPr>
          <w:lang w:val="en-GB"/>
        </w:rPr>
      </w:pPr>
      <w:r w:rsidRPr="00943BFC">
        <w:rPr>
          <w:lang w:val="en-GB"/>
        </w:rPr>
        <w:t>–</w:t>
      </w:r>
      <w:r w:rsidRPr="00943BFC">
        <w:rPr>
          <w:lang w:val="en-GB"/>
        </w:rPr>
        <w:tab/>
        <w:t>Minimum GSO ES elevation angle</w:t>
      </w:r>
      <w:r w:rsidR="001B5824" w:rsidRPr="00943BFC">
        <w:rPr>
          <w:lang w:val="en-GB"/>
          <w:rPrChange w:id="9" w:author="Chamova, Alisa" w:date="2023-07-12T10:31:00Z">
            <w:rPr>
              <w:highlight w:val="yellow"/>
              <w:lang w:val="en-GB"/>
            </w:rPr>
          </w:rPrChange>
        </w:rPr>
        <w:t>.</w:t>
      </w:r>
    </w:p>
    <w:p w14:paraId="63019248" w14:textId="5D19799D" w:rsidR="009339EF" w:rsidRPr="00943BFC" w:rsidRDefault="009339EF" w:rsidP="009339EF">
      <w:pPr>
        <w:pStyle w:val="enumlev1"/>
        <w:keepNext/>
        <w:rPr>
          <w:lang w:val="en-GB"/>
        </w:rPr>
      </w:pPr>
      <w:r w:rsidRPr="00943BFC">
        <w:rPr>
          <w:lang w:val="en-GB"/>
        </w:rPr>
        <w:t>–</w:t>
      </w:r>
      <w:r w:rsidRPr="00943BFC">
        <w:rPr>
          <w:lang w:val="en-GB"/>
        </w:rPr>
        <w:tab/>
        <w:t>Removal of X angle pfd mask format</w:t>
      </w:r>
      <w:r w:rsidR="001B5824" w:rsidRPr="00943BFC">
        <w:rPr>
          <w:lang w:val="en-GB"/>
          <w:rPrChange w:id="10" w:author="Chamova, Alisa" w:date="2023-07-12T10:31:00Z">
            <w:rPr>
              <w:highlight w:val="yellow"/>
              <w:lang w:val="en-GB"/>
            </w:rPr>
          </w:rPrChange>
        </w:rPr>
        <w:t>.</w:t>
      </w:r>
    </w:p>
    <w:p w14:paraId="4E55CBBE" w14:textId="7A7978F6" w:rsidR="009339EF" w:rsidRPr="00943BFC" w:rsidRDefault="009339EF" w:rsidP="009339EF">
      <w:pPr>
        <w:pStyle w:val="enumlev1"/>
        <w:rPr>
          <w:lang w:val="en-GB"/>
        </w:rPr>
      </w:pPr>
      <w:r w:rsidRPr="00943BFC">
        <w:rPr>
          <w:lang w:val="en-GB"/>
        </w:rPr>
        <w:t>–</w:t>
      </w:r>
      <w:r w:rsidRPr="00943BFC">
        <w:rPr>
          <w:lang w:val="en-GB"/>
        </w:rPr>
        <w:tab/>
        <w:t>Clarification of the (theta, phi) coordinates used by Recommendation ITU-R S.1503</w:t>
      </w:r>
      <w:r w:rsidR="00F83831" w:rsidRPr="00943BFC">
        <w:rPr>
          <w:lang w:val="en-GB"/>
        </w:rPr>
        <w:t>.</w:t>
      </w:r>
    </w:p>
    <w:p w14:paraId="4C760DF7" w14:textId="6A156050" w:rsidR="009339EF" w:rsidRPr="00943BFC" w:rsidRDefault="00F83831" w:rsidP="009339EF">
      <w:pPr>
        <w:rPr>
          <w:lang w:val="en-GB"/>
        </w:rPr>
      </w:pPr>
      <w:r w:rsidRPr="00943BFC">
        <w:rPr>
          <w:spacing w:val="-2"/>
          <w:lang w:val="en-GB" w:eastAsia="zh-CN"/>
        </w:rPr>
        <w:t xml:space="preserve">Working Party </w:t>
      </w:r>
      <w:r w:rsidR="009339EF" w:rsidRPr="00943BFC">
        <w:rPr>
          <w:lang w:val="en-GB"/>
        </w:rPr>
        <w:t xml:space="preserve">4A agreed to work immediately on a further revision and has prepared a draft Workplan and Working Document towards a PDRR ITU-R S.1503 in </w:t>
      </w:r>
      <w:r w:rsidR="009E1A72" w:rsidRPr="00943BFC">
        <w:rPr>
          <w:lang w:val="en-GB"/>
          <w:rPrChange w:id="11" w:author="Chamova, Alisa" w:date="2023-07-12T10:31:00Z">
            <w:rPr>
              <w:highlight w:val="yellow"/>
              <w:lang w:val="en-GB"/>
            </w:rPr>
          </w:rPrChange>
        </w:rPr>
        <w:t xml:space="preserve">Annexes </w:t>
      </w:r>
      <w:r w:rsidR="006846C6">
        <w:rPr>
          <w:lang w:val="en-GB"/>
        </w:rPr>
        <w:t>9</w:t>
      </w:r>
      <w:r w:rsidR="009E1A72" w:rsidRPr="00943BFC">
        <w:rPr>
          <w:lang w:val="en-GB"/>
          <w:rPrChange w:id="12" w:author="Chamova, Alisa" w:date="2023-07-12T10:31:00Z">
            <w:rPr>
              <w:highlight w:val="yellow"/>
              <w:lang w:val="en-GB"/>
            </w:rPr>
          </w:rPrChange>
        </w:rPr>
        <w:t xml:space="preserve"> and </w:t>
      </w:r>
      <w:r w:rsidR="006846C6">
        <w:rPr>
          <w:lang w:val="en-GB"/>
        </w:rPr>
        <w:t>10</w:t>
      </w:r>
      <w:r w:rsidR="009E1A72" w:rsidRPr="00943BFC">
        <w:rPr>
          <w:lang w:val="en-GB"/>
          <w:rPrChange w:id="13" w:author="Chamova, Alisa" w:date="2023-07-12T10:31:00Z">
            <w:rPr>
              <w:highlight w:val="yellow"/>
              <w:lang w:val="en-GB"/>
            </w:rPr>
          </w:rPrChange>
        </w:rPr>
        <w:t xml:space="preserve"> to</w:t>
      </w:r>
      <w:r w:rsidR="009E1A72" w:rsidRPr="00943BFC">
        <w:rPr>
          <w:lang w:val="en-GB"/>
        </w:rPr>
        <w:t xml:space="preserve"> </w:t>
      </w:r>
      <w:r w:rsidR="009339EF" w:rsidRPr="00943BFC">
        <w:rPr>
          <w:lang w:val="en-GB"/>
        </w:rPr>
        <w:t xml:space="preserve">Document </w:t>
      </w:r>
      <w:r w:rsidR="00AA7E49">
        <w:rPr>
          <w:lang w:val="en-GB"/>
        </w:rPr>
        <w:fldChar w:fldCharType="begin"/>
      </w:r>
      <w:r w:rsidR="00AA7E49">
        <w:rPr>
          <w:lang w:val="en-GB"/>
        </w:rPr>
        <w:instrText xml:space="preserve"> HYPERLINK "https://www.itu.int/md/R19-WP4A-C-0978/en" </w:instrText>
      </w:r>
      <w:r w:rsidR="00AA7E49">
        <w:rPr>
          <w:lang w:val="en-GB"/>
        </w:rPr>
      </w:r>
      <w:r w:rsidR="00AA7E49">
        <w:rPr>
          <w:lang w:val="en-GB"/>
        </w:rPr>
        <w:fldChar w:fldCharType="separate"/>
      </w:r>
      <w:proofErr w:type="spellStart"/>
      <w:r w:rsidR="009339EF" w:rsidRPr="00AA7E49">
        <w:rPr>
          <w:rStyle w:val="Hyperlink"/>
          <w:lang w:val="en-GB"/>
        </w:rPr>
        <w:t>4A</w:t>
      </w:r>
      <w:proofErr w:type="spellEnd"/>
      <w:r w:rsidR="009339EF" w:rsidRPr="00AA7E49">
        <w:rPr>
          <w:rStyle w:val="Hyperlink"/>
          <w:lang w:val="en-GB"/>
        </w:rPr>
        <w:t>/</w:t>
      </w:r>
      <w:r w:rsidR="006E209D" w:rsidRPr="00AA7E49">
        <w:rPr>
          <w:rStyle w:val="Hyperlink"/>
          <w:rPrChange w:id="14" w:author="Chamova, Alisa" w:date="2023-07-12T10:31:00Z">
            <w:rPr>
              <w:highlight w:val="yellow"/>
              <w:lang w:val="en-GB"/>
            </w:rPr>
          </w:rPrChange>
        </w:rPr>
        <w:t>978</w:t>
      </w:r>
      <w:r w:rsidR="00AA7E49">
        <w:rPr>
          <w:lang w:val="en-GB"/>
        </w:rPr>
        <w:fldChar w:fldCharType="end"/>
      </w:r>
      <w:r w:rsidR="009339EF" w:rsidRPr="00943BFC">
        <w:rPr>
          <w:lang w:val="en-GB"/>
        </w:rPr>
        <w:t>. The WD towards a PDRR ITU-R S.1503 has identified the following points in particular for consideration:</w:t>
      </w:r>
    </w:p>
    <w:p w14:paraId="6802A3AE" w14:textId="77777777" w:rsidR="009339EF" w:rsidRPr="00943BFC" w:rsidRDefault="009339EF" w:rsidP="009339EF">
      <w:pPr>
        <w:pStyle w:val="enumlev1"/>
        <w:rPr>
          <w:lang w:val="en-GB"/>
        </w:rPr>
      </w:pPr>
      <w:r w:rsidRPr="00943BFC">
        <w:rPr>
          <w:lang w:val="en-GB"/>
        </w:rPr>
        <w:t>•</w:t>
      </w:r>
      <w:r w:rsidRPr="00943BFC">
        <w:rPr>
          <w:lang w:val="en-GB"/>
        </w:rPr>
        <w:tab/>
        <w:t>Worst case geometry issue.</w:t>
      </w:r>
    </w:p>
    <w:p w14:paraId="484E3A14" w14:textId="77777777" w:rsidR="009339EF" w:rsidRPr="00943BFC" w:rsidRDefault="009339EF" w:rsidP="009339EF">
      <w:pPr>
        <w:pStyle w:val="enumlev1"/>
        <w:rPr>
          <w:lang w:val="en-GB"/>
        </w:rPr>
      </w:pPr>
      <w:r w:rsidRPr="00943BFC">
        <w:rPr>
          <w:lang w:val="en-GB"/>
        </w:rPr>
        <w:t>•</w:t>
      </w:r>
      <w:r w:rsidRPr="00943BFC">
        <w:rPr>
          <w:lang w:val="en-GB"/>
        </w:rPr>
        <w:tab/>
        <w:t xml:space="preserve">Downlink emission mask duty cycle. </w:t>
      </w:r>
    </w:p>
    <w:p w14:paraId="7C16F25F" w14:textId="77777777" w:rsidR="009339EF" w:rsidRPr="00943BFC" w:rsidRDefault="009339EF" w:rsidP="009339EF">
      <w:pPr>
        <w:pStyle w:val="enumlev1"/>
        <w:rPr>
          <w:lang w:val="en-GB"/>
        </w:rPr>
      </w:pPr>
      <w:r w:rsidRPr="00943BFC">
        <w:rPr>
          <w:lang w:val="en-GB"/>
        </w:rPr>
        <w:t>•</w:t>
      </w:r>
      <w:r w:rsidRPr="00943BFC">
        <w:rPr>
          <w:lang w:val="en-GB"/>
        </w:rPr>
        <w:tab/>
        <w:t xml:space="preserve">Time-framed transmission scheme. </w:t>
      </w:r>
    </w:p>
    <w:p w14:paraId="175D0FF0" w14:textId="77777777" w:rsidR="009339EF" w:rsidRPr="00943BFC" w:rsidRDefault="009339EF" w:rsidP="009339EF">
      <w:pPr>
        <w:pStyle w:val="enumlev1"/>
        <w:rPr>
          <w:lang w:val="en-GB"/>
        </w:rPr>
      </w:pPr>
      <w:r w:rsidRPr="00943BFC">
        <w:rPr>
          <w:lang w:val="en-GB"/>
        </w:rPr>
        <w:t>•</w:t>
      </w:r>
      <w:r w:rsidRPr="00943BFC">
        <w:rPr>
          <w:lang w:val="en-GB"/>
        </w:rPr>
        <w:tab/>
        <w:t xml:space="preserve">EPFD(down) satellite selection, for example the alpha table concept. </w:t>
      </w:r>
    </w:p>
    <w:p w14:paraId="6839338A" w14:textId="77777777" w:rsidR="009339EF" w:rsidRPr="00943BFC" w:rsidRDefault="009339EF" w:rsidP="009339EF">
      <w:pPr>
        <w:pStyle w:val="enumlev1"/>
        <w:rPr>
          <w:lang w:val="en-GB"/>
        </w:rPr>
      </w:pPr>
      <w:r w:rsidRPr="00943BFC">
        <w:rPr>
          <w:lang w:val="en-GB"/>
        </w:rPr>
        <w:t>•</w:t>
      </w:r>
      <w:r w:rsidRPr="00943BFC">
        <w:rPr>
          <w:lang w:val="en-GB"/>
        </w:rPr>
        <w:tab/>
        <w:t>GSO earth station antenna patterns.</w:t>
      </w:r>
    </w:p>
    <w:p w14:paraId="757B2EAA" w14:textId="77777777" w:rsidR="009339EF" w:rsidRPr="00943BFC" w:rsidRDefault="009339EF" w:rsidP="009339EF">
      <w:pPr>
        <w:pStyle w:val="enumlev1"/>
        <w:rPr>
          <w:lang w:val="en-GB"/>
        </w:rPr>
      </w:pPr>
      <w:r w:rsidRPr="00943BFC">
        <w:rPr>
          <w:lang w:val="en-GB"/>
        </w:rPr>
        <w:t>•</w:t>
      </w:r>
      <w:r w:rsidRPr="00943BFC">
        <w:rPr>
          <w:lang w:val="en-GB"/>
        </w:rPr>
        <w:tab/>
        <w:t xml:space="preserve">Run time improvements. </w:t>
      </w:r>
    </w:p>
    <w:p w14:paraId="11BA216D" w14:textId="77777777" w:rsidR="009339EF" w:rsidRPr="00943BFC" w:rsidRDefault="009339EF" w:rsidP="009339EF">
      <w:pPr>
        <w:pStyle w:val="enumlev1"/>
        <w:rPr>
          <w:lang w:val="en-GB"/>
        </w:rPr>
      </w:pPr>
      <w:r w:rsidRPr="00943BFC">
        <w:rPr>
          <w:lang w:val="en-GB"/>
        </w:rPr>
        <w:t>•</w:t>
      </w:r>
      <w:r w:rsidRPr="00943BFC">
        <w:rPr>
          <w:lang w:val="en-GB"/>
        </w:rPr>
        <w:tab/>
        <w:t>Relationship between parameters.</w:t>
      </w:r>
    </w:p>
    <w:p w14:paraId="2CA11B34" w14:textId="77777777" w:rsidR="009339EF" w:rsidRPr="00943BFC" w:rsidRDefault="009339EF" w:rsidP="009339EF">
      <w:pPr>
        <w:pStyle w:val="enumlev1"/>
        <w:rPr>
          <w:lang w:val="en-GB"/>
        </w:rPr>
      </w:pPr>
      <w:r w:rsidRPr="00943BFC">
        <w:rPr>
          <w:lang w:val="en-GB"/>
        </w:rPr>
        <w:t>•</w:t>
      </w:r>
      <w:r w:rsidRPr="00943BFC">
        <w:rPr>
          <w:lang w:val="en-GB"/>
        </w:rPr>
        <w:tab/>
        <w:t>Methodology to assess potential changes to this Recommendation.</w:t>
      </w:r>
    </w:p>
    <w:p w14:paraId="3B9D741B" w14:textId="77777777" w:rsidR="009339EF" w:rsidRPr="00943BFC" w:rsidRDefault="009339EF" w:rsidP="009339EF">
      <w:pPr>
        <w:pStyle w:val="enumlev1"/>
        <w:rPr>
          <w:lang w:val="en-GB"/>
        </w:rPr>
      </w:pPr>
      <w:r w:rsidRPr="00943BFC">
        <w:rPr>
          <w:lang w:val="en-GB"/>
        </w:rPr>
        <w:t>•</w:t>
      </w:r>
      <w:r w:rsidRPr="00943BFC">
        <w:rPr>
          <w:lang w:val="en-GB"/>
        </w:rPr>
        <w:tab/>
        <w:t>Consideration of non-GSO satellite systems using steerable beams and other satellite selection methods.</w:t>
      </w:r>
    </w:p>
    <w:p w14:paraId="227BFDF6" w14:textId="77777777" w:rsidR="009339EF" w:rsidRPr="00943BFC" w:rsidRDefault="009339EF" w:rsidP="009339EF">
      <w:pPr>
        <w:pStyle w:val="enumlev1"/>
        <w:rPr>
          <w:lang w:val="en-GB"/>
        </w:rPr>
      </w:pPr>
      <w:r w:rsidRPr="00943BFC">
        <w:rPr>
          <w:lang w:val="en-GB"/>
        </w:rPr>
        <w:t xml:space="preserve">Some of these elements could have regulatory and/or procedural implications. </w:t>
      </w:r>
    </w:p>
    <w:p w14:paraId="09CA8B28" w14:textId="77777777" w:rsidR="009339EF" w:rsidRPr="00943BFC" w:rsidRDefault="009339EF" w:rsidP="009339EF">
      <w:pPr>
        <w:pStyle w:val="enumlev1"/>
        <w:ind w:left="0" w:firstLine="0"/>
        <w:rPr>
          <w:lang w:val="en-GB"/>
        </w:rPr>
      </w:pPr>
      <w:r w:rsidRPr="00943BFC">
        <w:rPr>
          <w:lang w:val="en-GB"/>
        </w:rPr>
        <w:t>For example, for the first item on the worst geometry issue, should this concept be pursued, the notifying administration of the non-GSO satellite system should be given the opportunity to take corrective measures to remove the exceedance of epfd at those test point for which the epfd is exceeded.</w:t>
      </w:r>
    </w:p>
    <w:p w14:paraId="3A492744" w14:textId="77777777" w:rsidR="009339EF" w:rsidRPr="00943BFC" w:rsidRDefault="009339EF" w:rsidP="009339EF">
      <w:pPr>
        <w:pStyle w:val="enumlev1"/>
        <w:ind w:left="0" w:firstLine="0"/>
        <w:rPr>
          <w:lang w:val="en-GB"/>
        </w:rPr>
      </w:pPr>
      <w:r w:rsidRPr="00943BFC">
        <w:rPr>
          <w:lang w:val="en-GB"/>
        </w:rPr>
        <w:t>With respect to the alpha table, it should be demonstrated that this solution treats small scale non-GSO satellite systems (less than one thousand satellites) and large scale (over one thousand satellites) equitably.</w:t>
      </w:r>
    </w:p>
    <w:p w14:paraId="23743C36" w14:textId="77777777" w:rsidR="009339EF" w:rsidRPr="00943BFC" w:rsidRDefault="009339EF" w:rsidP="009339EF">
      <w:pPr>
        <w:pStyle w:val="enumlev1"/>
        <w:ind w:left="0" w:firstLine="0"/>
        <w:rPr>
          <w:lang w:val="en-GB"/>
        </w:rPr>
      </w:pPr>
      <w:r w:rsidRPr="00943BFC">
        <w:rPr>
          <w:lang w:val="en-GB"/>
        </w:rPr>
        <w:t>Any combination or package of the above elements should appropriately reflect the reality of the operation of the non-GSO system.</w:t>
      </w:r>
    </w:p>
    <w:p w14:paraId="3D36BBA9" w14:textId="6CD8D8FB" w:rsidR="009339EF" w:rsidRPr="0018771A" w:rsidRDefault="00F83831" w:rsidP="009339EF">
      <w:pPr>
        <w:pStyle w:val="enumlev1"/>
        <w:ind w:left="0" w:firstLine="0"/>
        <w:rPr>
          <w:lang w:val="en-GB"/>
        </w:rPr>
      </w:pPr>
      <w:r w:rsidRPr="00943BFC">
        <w:rPr>
          <w:spacing w:val="-2"/>
          <w:lang w:val="en-GB" w:eastAsia="zh-CN"/>
        </w:rPr>
        <w:t xml:space="preserve">Working Party </w:t>
      </w:r>
      <w:r w:rsidR="009339EF" w:rsidRPr="00943BFC">
        <w:rPr>
          <w:lang w:val="en-GB"/>
        </w:rPr>
        <w:t xml:space="preserve">4A believes that this workplan in </w:t>
      </w:r>
      <w:r w:rsidR="006846C6">
        <w:rPr>
          <w:lang w:val="en-GB"/>
        </w:rPr>
        <w:fldChar w:fldCharType="begin"/>
      </w:r>
      <w:r w:rsidR="006846C6">
        <w:rPr>
          <w:lang w:val="en-GB"/>
        </w:rPr>
        <w:instrText xml:space="preserve"> HYPERLINK "https://www.itu.int/dms_ties/itu-r/md/19/wp4a/c/R19-WP4A-C-0978!N09!MSW-E.docx" </w:instrText>
      </w:r>
      <w:r w:rsidR="006846C6">
        <w:rPr>
          <w:lang w:val="en-GB"/>
        </w:rPr>
      </w:r>
      <w:r w:rsidR="006846C6">
        <w:rPr>
          <w:lang w:val="en-GB"/>
        </w:rPr>
        <w:fldChar w:fldCharType="separate"/>
      </w:r>
      <w:r w:rsidR="00CC783D" w:rsidRPr="006846C6">
        <w:rPr>
          <w:rStyle w:val="Hyperlink"/>
          <w:rPrChange w:id="15" w:author="Chamova, Alisa" w:date="2023-07-12T10:31:00Z">
            <w:rPr>
              <w:highlight w:val="yellow"/>
              <w:lang w:val="en-GB"/>
            </w:rPr>
          </w:rPrChange>
        </w:rPr>
        <w:t xml:space="preserve">Annex </w:t>
      </w:r>
      <w:r w:rsidR="006846C6" w:rsidRPr="006846C6">
        <w:rPr>
          <w:rStyle w:val="Hyperlink"/>
          <w:lang w:val="en-GB"/>
        </w:rPr>
        <w:t>9</w:t>
      </w:r>
      <w:r w:rsidR="00CC783D" w:rsidRPr="006846C6">
        <w:rPr>
          <w:rStyle w:val="Hyperlink"/>
          <w:rPrChange w:id="16" w:author="Chamova, Alisa" w:date="2023-07-12T10:31:00Z">
            <w:rPr>
              <w:highlight w:val="yellow"/>
              <w:lang w:val="en-GB"/>
            </w:rPr>
          </w:rPrChange>
        </w:rPr>
        <w:t xml:space="preserve"> to</w:t>
      </w:r>
      <w:r w:rsidR="00CC783D" w:rsidRPr="006846C6">
        <w:rPr>
          <w:rStyle w:val="Hyperlink"/>
          <w:lang w:val="en-GB"/>
        </w:rPr>
        <w:t xml:space="preserve"> </w:t>
      </w:r>
      <w:r w:rsidR="009339EF" w:rsidRPr="006846C6">
        <w:rPr>
          <w:rStyle w:val="Hyperlink"/>
          <w:lang w:val="en-GB"/>
        </w:rPr>
        <w:t xml:space="preserve">Document </w:t>
      </w:r>
      <w:proofErr w:type="spellStart"/>
      <w:r w:rsidR="009339EF" w:rsidRPr="006846C6">
        <w:rPr>
          <w:rStyle w:val="Hyperlink"/>
          <w:lang w:val="en-GB"/>
        </w:rPr>
        <w:t>4A</w:t>
      </w:r>
      <w:proofErr w:type="spellEnd"/>
      <w:r w:rsidR="009339EF" w:rsidRPr="006846C6">
        <w:rPr>
          <w:rStyle w:val="Hyperlink"/>
          <w:lang w:val="en-GB"/>
        </w:rPr>
        <w:t>/</w:t>
      </w:r>
      <w:r w:rsidR="00CC783D" w:rsidRPr="006846C6">
        <w:rPr>
          <w:rStyle w:val="Hyperlink"/>
          <w:rPrChange w:id="17" w:author="Chamova, Alisa" w:date="2023-07-12T10:31:00Z">
            <w:rPr>
              <w:highlight w:val="yellow"/>
              <w:lang w:val="en-GB"/>
            </w:rPr>
          </w:rPrChange>
        </w:rPr>
        <w:t>978</w:t>
      </w:r>
      <w:r w:rsidR="006846C6">
        <w:rPr>
          <w:lang w:val="en-GB"/>
        </w:rPr>
        <w:fldChar w:fldCharType="end"/>
      </w:r>
      <w:r w:rsidR="009339EF" w:rsidRPr="00943BFC">
        <w:rPr>
          <w:lang w:val="en-GB"/>
        </w:rPr>
        <w:t xml:space="preserve"> is very important for administration in the consideration in adoption</w:t>
      </w:r>
      <w:r w:rsidR="004D0160" w:rsidRPr="00943BFC">
        <w:rPr>
          <w:lang w:val="en-GB"/>
        </w:rPr>
        <w:t xml:space="preserve"> </w:t>
      </w:r>
      <w:r w:rsidR="004D0160" w:rsidRPr="00943BFC">
        <w:rPr>
          <w:lang w:val="en-GB"/>
          <w:rPrChange w:id="18" w:author="Chamova, Alisa" w:date="2023-07-12T10:31:00Z">
            <w:rPr>
              <w:highlight w:val="yellow"/>
              <w:lang w:val="en-GB"/>
            </w:rPr>
          </w:rPrChange>
        </w:rPr>
        <w:t>and approval</w:t>
      </w:r>
      <w:r w:rsidR="009339EF" w:rsidRPr="00943BFC">
        <w:rPr>
          <w:lang w:val="en-GB"/>
        </w:rPr>
        <w:t xml:space="preserve"> of the DRR ITU-R S.1503</w:t>
      </w:r>
      <w:r w:rsidR="00A1418F" w:rsidRPr="00943BFC">
        <w:rPr>
          <w:lang w:val="en-GB"/>
          <w:rPrChange w:id="19" w:author="Chamova, Alisa" w:date="2023-07-12T10:31:00Z">
            <w:rPr>
              <w:highlight w:val="yellow"/>
              <w:lang w:val="en-GB"/>
            </w:rPr>
          </w:rPrChange>
        </w:rPr>
        <w:t>-3</w:t>
      </w:r>
      <w:r w:rsidR="009339EF" w:rsidRPr="00943BFC">
        <w:rPr>
          <w:lang w:val="en-GB"/>
        </w:rPr>
        <w:t>. As a result, WP 4A would recommend to SG 4 to also include this workplan when circulating the draft revision of Recommendation ITU-R S.1503</w:t>
      </w:r>
      <w:r w:rsidR="00A1418F" w:rsidRPr="00943BFC">
        <w:rPr>
          <w:lang w:val="en-GB"/>
          <w:rPrChange w:id="20" w:author="Chamova, Alisa" w:date="2023-07-12T10:31:00Z">
            <w:rPr>
              <w:highlight w:val="yellow"/>
              <w:lang w:val="en-GB"/>
            </w:rPr>
          </w:rPrChange>
        </w:rPr>
        <w:t>-3</w:t>
      </w:r>
      <w:r w:rsidR="009339EF" w:rsidRPr="00943BFC">
        <w:rPr>
          <w:lang w:val="en-GB"/>
        </w:rPr>
        <w:t xml:space="preserve"> to administrations for adoption and approval by correspondence.</w:t>
      </w:r>
    </w:p>
    <w:p w14:paraId="7E38BC20" w14:textId="23B27C3E" w:rsidR="00A41923" w:rsidRPr="0018771A" w:rsidRDefault="0040406F" w:rsidP="00B6016F">
      <w:pPr>
        <w:pStyle w:val="AnnexNoTitle"/>
        <w:rPr>
          <w:sz w:val="28"/>
          <w:szCs w:val="24"/>
          <w:lang w:val="en-GB"/>
        </w:rPr>
      </w:pPr>
      <w:r w:rsidRPr="0018771A">
        <w:rPr>
          <w:sz w:val="28"/>
          <w:szCs w:val="24"/>
          <w:lang w:val="en-GB"/>
        </w:rPr>
        <w:lastRenderedPageBreak/>
        <w:t>Annex 2</w:t>
      </w:r>
      <w:r w:rsidR="00A41923" w:rsidRPr="0018771A">
        <w:rPr>
          <w:sz w:val="28"/>
          <w:szCs w:val="24"/>
          <w:lang w:val="en-GB"/>
        </w:rPr>
        <w:br/>
      </w:r>
      <w:r w:rsidR="00A41923" w:rsidRPr="0018771A">
        <w:rPr>
          <w:sz w:val="28"/>
          <w:szCs w:val="24"/>
          <w:lang w:val="en-GB"/>
        </w:rPr>
        <w:br/>
      </w:r>
      <w:r w:rsidR="00B6016F" w:rsidRPr="0018771A">
        <w:rPr>
          <w:sz w:val="28"/>
          <w:szCs w:val="24"/>
          <w:lang w:val="en-GB"/>
        </w:rPr>
        <w:t xml:space="preserve">ITU-R </w:t>
      </w:r>
      <w:r w:rsidRPr="0018771A">
        <w:rPr>
          <w:sz w:val="28"/>
          <w:szCs w:val="24"/>
          <w:lang w:val="en-GB"/>
        </w:rPr>
        <w:t xml:space="preserve">Recommendation proposed for </w:t>
      </w:r>
      <w:proofErr w:type="gramStart"/>
      <w:r w:rsidRPr="0018771A">
        <w:rPr>
          <w:sz w:val="28"/>
          <w:szCs w:val="24"/>
          <w:lang w:val="en-GB"/>
        </w:rPr>
        <w:t>suppression</w:t>
      </w:r>
      <w:proofErr w:type="gramEnd"/>
    </w:p>
    <w:p w14:paraId="61961295" w14:textId="7F5B8803" w:rsidR="0040406F" w:rsidRPr="0018771A" w:rsidRDefault="00A41923" w:rsidP="00500637">
      <w:pPr>
        <w:spacing w:before="240" w:after="360"/>
        <w:jc w:val="center"/>
        <w:rPr>
          <w:rFonts w:asciiTheme="minorHAnsi" w:hAnsiTheme="minorHAnsi" w:cstheme="minorHAnsi"/>
          <w:szCs w:val="24"/>
          <w:lang w:val="en-GB"/>
        </w:rPr>
      </w:pPr>
      <w:r w:rsidRPr="0018771A">
        <w:rPr>
          <w:rFonts w:asciiTheme="minorHAnsi" w:hAnsiTheme="minorHAnsi" w:cstheme="minorHAnsi"/>
          <w:szCs w:val="24"/>
          <w:lang w:val="en-GB"/>
        </w:rPr>
        <w:t>(Source: Document</w:t>
      </w:r>
      <w:r w:rsidR="00C2148E" w:rsidRPr="0018771A">
        <w:rPr>
          <w:rFonts w:asciiTheme="minorHAnsi" w:hAnsiTheme="minorHAnsi" w:cstheme="minorHAnsi"/>
          <w:szCs w:val="24"/>
          <w:lang w:val="en-GB"/>
        </w:rPr>
        <w:t xml:space="preserve"> </w:t>
      </w:r>
      <w:r w:rsidR="00964BB4" w:rsidRPr="0018771A">
        <w:rPr>
          <w:rFonts w:asciiTheme="minorHAnsi" w:hAnsiTheme="minorHAnsi" w:cstheme="minorHAnsi"/>
          <w:szCs w:val="24"/>
          <w:lang w:val="en-GB"/>
        </w:rPr>
        <w:t>4/89</w:t>
      </w:r>
      <w:r w:rsidR="00420156">
        <w:rPr>
          <w:rFonts w:asciiTheme="minorHAnsi" w:hAnsiTheme="minorHAnsi" w:cstheme="minorHAnsi"/>
          <w:szCs w:val="24"/>
          <w:lang w:val="en-GB"/>
        </w:rPr>
        <w:t>, § 1.2.3</w:t>
      </w:r>
      <w:r w:rsidRPr="0018771A">
        <w:rPr>
          <w:rFonts w:asciiTheme="minorHAnsi" w:hAnsiTheme="minorHAnsi" w:cstheme="minorHAnsi"/>
          <w:szCs w:val="24"/>
          <w:lang w:val="en-GB"/>
        </w:rPr>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40406F" w:rsidRPr="00943BFC" w14:paraId="1BDDCE71" w14:textId="60C3019C" w:rsidTr="007527C9">
        <w:trPr>
          <w:cantSplit/>
          <w:tblHeader/>
          <w:jc w:val="center"/>
        </w:trPr>
        <w:tc>
          <w:tcPr>
            <w:tcW w:w="1745" w:type="dxa"/>
            <w:vAlign w:val="center"/>
            <w:hideMark/>
          </w:tcPr>
          <w:p w14:paraId="5553BAD0" w14:textId="5A9D7B0C" w:rsidR="0040406F" w:rsidRPr="0018771A" w:rsidRDefault="0040406F" w:rsidP="00C72A30">
            <w:pPr>
              <w:pStyle w:val="Tablehead"/>
              <w:rPr>
                <w:rFonts w:asciiTheme="minorHAnsi" w:hAnsiTheme="minorHAnsi" w:cstheme="majorBidi"/>
                <w:lang w:val="en-GB"/>
              </w:rPr>
            </w:pPr>
            <w:r w:rsidRPr="0018771A">
              <w:rPr>
                <w:rFonts w:asciiTheme="minorHAnsi" w:hAnsiTheme="minorHAnsi" w:cstheme="majorBidi"/>
                <w:lang w:val="en-GB"/>
              </w:rPr>
              <w:t xml:space="preserve">Recommendation </w:t>
            </w:r>
            <w:r w:rsidR="00500637" w:rsidRPr="0018771A">
              <w:rPr>
                <w:rFonts w:asciiTheme="minorHAnsi" w:hAnsiTheme="minorHAnsi" w:cstheme="majorBidi"/>
                <w:lang w:val="en-GB"/>
              </w:rPr>
              <w:br/>
            </w:r>
            <w:r w:rsidRPr="0018771A">
              <w:rPr>
                <w:rFonts w:asciiTheme="minorHAnsi" w:hAnsiTheme="minorHAnsi" w:cstheme="majorBidi"/>
                <w:lang w:val="en-GB"/>
              </w:rPr>
              <w:t>ITU-R</w:t>
            </w:r>
          </w:p>
        </w:tc>
        <w:tc>
          <w:tcPr>
            <w:tcW w:w="7698" w:type="dxa"/>
            <w:vAlign w:val="center"/>
            <w:hideMark/>
          </w:tcPr>
          <w:p w14:paraId="0832B1DB" w14:textId="4C11C518" w:rsidR="0040406F" w:rsidRPr="0018771A" w:rsidRDefault="0040406F" w:rsidP="00C72A30">
            <w:pPr>
              <w:pStyle w:val="Tablehead"/>
              <w:rPr>
                <w:rFonts w:asciiTheme="minorHAnsi" w:hAnsiTheme="minorHAnsi" w:cstheme="majorBidi"/>
                <w:lang w:val="en-GB"/>
              </w:rPr>
            </w:pPr>
            <w:r w:rsidRPr="0018771A">
              <w:rPr>
                <w:rFonts w:asciiTheme="minorHAnsi" w:hAnsiTheme="minorHAnsi" w:cstheme="majorBidi"/>
                <w:lang w:val="en-GB"/>
              </w:rPr>
              <w:t>Title</w:t>
            </w:r>
          </w:p>
        </w:tc>
      </w:tr>
      <w:tr w:rsidR="0040406F" w:rsidRPr="00943BFC" w14:paraId="18B5540C" w14:textId="61E0E01F" w:rsidTr="007527C9">
        <w:trPr>
          <w:cantSplit/>
          <w:jc w:val="center"/>
        </w:trPr>
        <w:tc>
          <w:tcPr>
            <w:tcW w:w="1745" w:type="dxa"/>
            <w:tcMar>
              <w:top w:w="0" w:type="dxa"/>
              <w:left w:w="108" w:type="dxa"/>
              <w:bottom w:w="0" w:type="dxa"/>
              <w:right w:w="108" w:type="dxa"/>
            </w:tcMar>
          </w:tcPr>
          <w:p w14:paraId="27457B27" w14:textId="63712448" w:rsidR="0040406F" w:rsidRPr="0018771A" w:rsidRDefault="00964BB4" w:rsidP="00C72A30">
            <w:pPr>
              <w:pStyle w:val="Tabletext"/>
              <w:jc w:val="center"/>
              <w:rPr>
                <w:rFonts w:asciiTheme="minorHAnsi" w:hAnsiTheme="minorHAnsi" w:cstheme="majorBidi"/>
                <w:lang w:val="en-GB" w:eastAsia="ja-JP"/>
              </w:rPr>
            </w:pPr>
            <w:r w:rsidRPr="0018771A">
              <w:rPr>
                <w:rFonts w:asciiTheme="minorHAnsi" w:hAnsiTheme="minorHAnsi" w:cstheme="majorBidi"/>
                <w:lang w:val="en-GB" w:eastAsia="ja-JP"/>
              </w:rPr>
              <w:t>S.354</w:t>
            </w:r>
          </w:p>
        </w:tc>
        <w:tc>
          <w:tcPr>
            <w:tcW w:w="7698" w:type="dxa"/>
            <w:tcMar>
              <w:top w:w="0" w:type="dxa"/>
              <w:left w:w="108" w:type="dxa"/>
              <w:bottom w:w="0" w:type="dxa"/>
              <w:right w:w="108" w:type="dxa"/>
            </w:tcMar>
          </w:tcPr>
          <w:p w14:paraId="2F924031" w14:textId="35D4A4CC" w:rsidR="0040406F" w:rsidRPr="0018771A" w:rsidRDefault="00964BB4" w:rsidP="00C72A30">
            <w:pPr>
              <w:pStyle w:val="Tabletext"/>
              <w:rPr>
                <w:rFonts w:asciiTheme="minorHAnsi" w:hAnsiTheme="minorHAnsi" w:cstheme="majorBidi"/>
                <w:lang w:val="en-GB" w:eastAsia="ja-JP"/>
              </w:rPr>
            </w:pPr>
            <w:r w:rsidRPr="0018771A">
              <w:rPr>
                <w:rFonts w:asciiTheme="minorHAnsi" w:hAnsiTheme="minorHAnsi" w:cstheme="majorBidi"/>
                <w:lang w:val="en-GB" w:eastAsia="ja-JP"/>
              </w:rPr>
              <w:t xml:space="preserve">Video bandwidth and permissible noise level in the hypothetical reference circuit for the fixed-satellite service  </w:t>
            </w:r>
          </w:p>
        </w:tc>
      </w:tr>
    </w:tbl>
    <w:p w14:paraId="05063193" w14:textId="77777777" w:rsidR="002E462D" w:rsidRPr="0018771A" w:rsidRDefault="002E462D" w:rsidP="0032202E">
      <w:pPr>
        <w:pStyle w:val="Reasons"/>
        <w:rPr>
          <w:lang w:val="en-GB"/>
        </w:rPr>
      </w:pPr>
    </w:p>
    <w:p w14:paraId="65F31E57" w14:textId="77777777" w:rsidR="00FE0144" w:rsidRPr="0018771A" w:rsidRDefault="00FE0144" w:rsidP="0032202E">
      <w:pPr>
        <w:pStyle w:val="Reasons"/>
        <w:rPr>
          <w:lang w:val="en-GB"/>
        </w:rPr>
      </w:pPr>
    </w:p>
    <w:p w14:paraId="59A884BB" w14:textId="77777777" w:rsidR="002E462D" w:rsidRPr="0018771A" w:rsidRDefault="002E462D" w:rsidP="002E462D">
      <w:pPr>
        <w:jc w:val="center"/>
        <w:rPr>
          <w:lang w:val="en-GB"/>
        </w:rPr>
      </w:pPr>
      <w:r w:rsidRPr="0018771A">
        <w:rPr>
          <w:lang w:val="en-GB"/>
        </w:rPr>
        <w:t>______________</w:t>
      </w:r>
    </w:p>
    <w:sectPr w:rsidR="002E462D" w:rsidRPr="0018771A"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AD25" w14:textId="77777777" w:rsidR="00163F4E" w:rsidRDefault="00163F4E">
      <w:r>
        <w:separator/>
      </w:r>
    </w:p>
  </w:endnote>
  <w:endnote w:type="continuationSeparator" w:id="0">
    <w:p w14:paraId="581E7CDF" w14:textId="77777777" w:rsidR="00163F4E" w:rsidRDefault="0016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80CD" w14:textId="77777777" w:rsidR="007268BA" w:rsidRDefault="0072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5390" w14:textId="77777777" w:rsidR="007268BA" w:rsidRDefault="00726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C75C" w14:textId="77777777" w:rsidR="00163F4E" w:rsidRDefault="00163F4E">
      <w:r>
        <w:t>____________________</w:t>
      </w:r>
    </w:p>
  </w:footnote>
  <w:footnote w:type="continuationSeparator" w:id="0">
    <w:p w14:paraId="42EBF097" w14:textId="77777777" w:rsidR="00163F4E" w:rsidRDefault="0016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3A5A4034"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2315B">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16659BAA"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22315B">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0385" w14:paraId="52206C05" w14:textId="77777777" w:rsidTr="00057AAA">
      <w:tc>
        <w:tcPr>
          <w:tcW w:w="4814" w:type="dxa"/>
        </w:tcPr>
        <w:p w14:paraId="38E1FD0A" w14:textId="77777777" w:rsidR="00270385" w:rsidRDefault="00270385" w:rsidP="00270385">
          <w:pPr>
            <w:pStyle w:val="Header"/>
            <w:spacing w:line="360" w:lineRule="auto"/>
            <w:ind w:left="567"/>
          </w:pPr>
          <w:r>
            <w:rPr>
              <w:noProof/>
              <w:lang w:val="en-GB" w:eastAsia="en-GB"/>
            </w:rPr>
            <w:drawing>
              <wp:inline distT="0" distB="0" distL="0" distR="0" wp14:anchorId="7453704F" wp14:editId="40088EC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0B530DD" w14:textId="77777777" w:rsidR="00270385" w:rsidRDefault="00270385" w:rsidP="00270385">
          <w:pPr>
            <w:pStyle w:val="Header"/>
            <w:spacing w:line="360" w:lineRule="auto"/>
            <w:jc w:val="center"/>
          </w:pPr>
          <w:r>
            <w:rPr>
              <w:noProof/>
            </w:rPr>
            <w:drawing>
              <wp:inline distT="0" distB="0" distL="0" distR="0" wp14:anchorId="2359F003" wp14:editId="4C5971C4">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DCDE92" w14:textId="77777777" w:rsidR="00270385" w:rsidRPr="00EA15B3" w:rsidRDefault="00270385" w:rsidP="00270385">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063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429928">
    <w:abstractNumId w:val="4"/>
  </w:num>
  <w:num w:numId="3" w16cid:durableId="317419450">
    <w:abstractNumId w:val="6"/>
  </w:num>
  <w:num w:numId="4" w16cid:durableId="52097655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CC4"/>
    <w:rsid w:val="00101F7D"/>
    <w:rsid w:val="00103C76"/>
    <w:rsid w:val="00104C35"/>
    <w:rsid w:val="0011265F"/>
    <w:rsid w:val="0011321A"/>
    <w:rsid w:val="00117282"/>
    <w:rsid w:val="00117389"/>
    <w:rsid w:val="00121C2D"/>
    <w:rsid w:val="00133F9E"/>
    <w:rsid w:val="00134404"/>
    <w:rsid w:val="00134757"/>
    <w:rsid w:val="00144DFB"/>
    <w:rsid w:val="001528AE"/>
    <w:rsid w:val="00163F4E"/>
    <w:rsid w:val="00172B20"/>
    <w:rsid w:val="00181E26"/>
    <w:rsid w:val="0018771A"/>
    <w:rsid w:val="00187CA3"/>
    <w:rsid w:val="00196710"/>
    <w:rsid w:val="00197324"/>
    <w:rsid w:val="001B351B"/>
    <w:rsid w:val="001B5824"/>
    <w:rsid w:val="001C06DB"/>
    <w:rsid w:val="001C6971"/>
    <w:rsid w:val="001D2785"/>
    <w:rsid w:val="001D7070"/>
    <w:rsid w:val="001F2170"/>
    <w:rsid w:val="001F3948"/>
    <w:rsid w:val="001F5A49"/>
    <w:rsid w:val="00201097"/>
    <w:rsid w:val="00201B6E"/>
    <w:rsid w:val="00217875"/>
    <w:rsid w:val="00220F10"/>
    <w:rsid w:val="0022315B"/>
    <w:rsid w:val="002302B3"/>
    <w:rsid w:val="00230C66"/>
    <w:rsid w:val="00235A29"/>
    <w:rsid w:val="00240C3F"/>
    <w:rsid w:val="00241526"/>
    <w:rsid w:val="002443A2"/>
    <w:rsid w:val="00266E74"/>
    <w:rsid w:val="00267DE9"/>
    <w:rsid w:val="00270385"/>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0156"/>
    <w:rsid w:val="004249FC"/>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6DDA"/>
    <w:rsid w:val="004B7C9A"/>
    <w:rsid w:val="004C6779"/>
    <w:rsid w:val="004D0160"/>
    <w:rsid w:val="004D733B"/>
    <w:rsid w:val="004E0DC4"/>
    <w:rsid w:val="004E0FB5"/>
    <w:rsid w:val="004E43BB"/>
    <w:rsid w:val="004E460D"/>
    <w:rsid w:val="004F16C7"/>
    <w:rsid w:val="004F178E"/>
    <w:rsid w:val="004F4543"/>
    <w:rsid w:val="004F57BB"/>
    <w:rsid w:val="00500637"/>
    <w:rsid w:val="0050165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6EA9"/>
    <w:rsid w:val="005A79E9"/>
    <w:rsid w:val="005B214C"/>
    <w:rsid w:val="005B3E46"/>
    <w:rsid w:val="005B5E4B"/>
    <w:rsid w:val="005D2CC7"/>
    <w:rsid w:val="005D3669"/>
    <w:rsid w:val="005D44C7"/>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846C6"/>
    <w:rsid w:val="006A1921"/>
    <w:rsid w:val="006A518B"/>
    <w:rsid w:val="006B0590"/>
    <w:rsid w:val="006B49DA"/>
    <w:rsid w:val="006B4C75"/>
    <w:rsid w:val="006C53F8"/>
    <w:rsid w:val="006C7CDE"/>
    <w:rsid w:val="006E209D"/>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1E14"/>
    <w:rsid w:val="008B35A3"/>
    <w:rsid w:val="008B37E1"/>
    <w:rsid w:val="008B45F8"/>
    <w:rsid w:val="008B50B4"/>
    <w:rsid w:val="008C2E74"/>
    <w:rsid w:val="008D5409"/>
    <w:rsid w:val="008E006D"/>
    <w:rsid w:val="008E38B4"/>
    <w:rsid w:val="008F2746"/>
    <w:rsid w:val="008F4F21"/>
    <w:rsid w:val="00904D4A"/>
    <w:rsid w:val="009151BA"/>
    <w:rsid w:val="00925023"/>
    <w:rsid w:val="009277BC"/>
    <w:rsid w:val="00927D57"/>
    <w:rsid w:val="00931A51"/>
    <w:rsid w:val="009339EF"/>
    <w:rsid w:val="00941E6E"/>
    <w:rsid w:val="00943BFC"/>
    <w:rsid w:val="00947185"/>
    <w:rsid w:val="009518B3"/>
    <w:rsid w:val="009578C8"/>
    <w:rsid w:val="00963D9D"/>
    <w:rsid w:val="00964BB4"/>
    <w:rsid w:val="0098013E"/>
    <w:rsid w:val="00981B54"/>
    <w:rsid w:val="009842C3"/>
    <w:rsid w:val="009A009A"/>
    <w:rsid w:val="009A6BB6"/>
    <w:rsid w:val="009B3F43"/>
    <w:rsid w:val="009B5CFA"/>
    <w:rsid w:val="009C161F"/>
    <w:rsid w:val="009C56B4"/>
    <w:rsid w:val="009D51A2"/>
    <w:rsid w:val="009E04A8"/>
    <w:rsid w:val="009E1A72"/>
    <w:rsid w:val="009E4AEC"/>
    <w:rsid w:val="009E50C2"/>
    <w:rsid w:val="009E5BD8"/>
    <w:rsid w:val="009E681E"/>
    <w:rsid w:val="00A119E6"/>
    <w:rsid w:val="00A1418F"/>
    <w:rsid w:val="00A20FBC"/>
    <w:rsid w:val="00A31370"/>
    <w:rsid w:val="00A34D6F"/>
    <w:rsid w:val="00A41923"/>
    <w:rsid w:val="00A41F91"/>
    <w:rsid w:val="00A52F57"/>
    <w:rsid w:val="00A53818"/>
    <w:rsid w:val="00A63355"/>
    <w:rsid w:val="00A7596D"/>
    <w:rsid w:val="00A963DF"/>
    <w:rsid w:val="00AA5EFD"/>
    <w:rsid w:val="00AA7E49"/>
    <w:rsid w:val="00AC0C22"/>
    <w:rsid w:val="00AC3896"/>
    <w:rsid w:val="00AD2CF2"/>
    <w:rsid w:val="00AD38A7"/>
    <w:rsid w:val="00AD4554"/>
    <w:rsid w:val="00AE2D88"/>
    <w:rsid w:val="00AE6F6F"/>
    <w:rsid w:val="00AF3325"/>
    <w:rsid w:val="00AF34D9"/>
    <w:rsid w:val="00AF70DA"/>
    <w:rsid w:val="00B019D3"/>
    <w:rsid w:val="00B27683"/>
    <w:rsid w:val="00B34CF9"/>
    <w:rsid w:val="00B37559"/>
    <w:rsid w:val="00B4054B"/>
    <w:rsid w:val="00B579B0"/>
    <w:rsid w:val="00B57D11"/>
    <w:rsid w:val="00B6016F"/>
    <w:rsid w:val="00B649D7"/>
    <w:rsid w:val="00B75983"/>
    <w:rsid w:val="00B81C2F"/>
    <w:rsid w:val="00B829A1"/>
    <w:rsid w:val="00B90743"/>
    <w:rsid w:val="00B90C45"/>
    <w:rsid w:val="00B933BE"/>
    <w:rsid w:val="00B940C2"/>
    <w:rsid w:val="00BA072F"/>
    <w:rsid w:val="00BD6738"/>
    <w:rsid w:val="00BD7E5E"/>
    <w:rsid w:val="00BE63DB"/>
    <w:rsid w:val="00BE6574"/>
    <w:rsid w:val="00C07319"/>
    <w:rsid w:val="00C16FD2"/>
    <w:rsid w:val="00C2148E"/>
    <w:rsid w:val="00C4395E"/>
    <w:rsid w:val="00C47FFD"/>
    <w:rsid w:val="00C51E92"/>
    <w:rsid w:val="00C57E2C"/>
    <w:rsid w:val="00C608B7"/>
    <w:rsid w:val="00C66F24"/>
    <w:rsid w:val="00C76D7F"/>
    <w:rsid w:val="00C813AA"/>
    <w:rsid w:val="00C818D7"/>
    <w:rsid w:val="00C9291E"/>
    <w:rsid w:val="00CA0F7A"/>
    <w:rsid w:val="00CA3F44"/>
    <w:rsid w:val="00CA4E58"/>
    <w:rsid w:val="00CB3771"/>
    <w:rsid w:val="00CB44BF"/>
    <w:rsid w:val="00CB5153"/>
    <w:rsid w:val="00CB55EA"/>
    <w:rsid w:val="00CC783D"/>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83831"/>
    <w:rsid w:val="00F914DD"/>
    <w:rsid w:val="00F942C7"/>
    <w:rsid w:val="00FA2358"/>
    <w:rsid w:val="00FA64C3"/>
    <w:rsid w:val="00FB2592"/>
    <w:rsid w:val="00FB2810"/>
    <w:rsid w:val="00FB7A2C"/>
    <w:rsid w:val="00FC2947"/>
    <w:rsid w:val="00FC6F6B"/>
    <w:rsid w:val="00FE0144"/>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0"/>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22315B"/>
    <w:pPr>
      <w:spacing w:line="240" w:lineRule="auto"/>
    </w:pPr>
    <w:rPr>
      <w:b/>
      <w:bCs/>
      <w:szCs w:val="20"/>
    </w:rPr>
  </w:style>
  <w:style w:type="character" w:customStyle="1" w:styleId="CommentTextChar">
    <w:name w:val="Comment Text Char"/>
    <w:basedOn w:val="DefaultParagraphFont"/>
    <w:link w:val="CommentText"/>
    <w:semiHidden/>
    <w:rsid w:val="0022315B"/>
    <w:rPr>
      <w:szCs w:val="22"/>
      <w:lang w:val="en-US" w:eastAsia="en-US"/>
    </w:rPr>
  </w:style>
  <w:style w:type="character" w:customStyle="1" w:styleId="CommentSubjectChar">
    <w:name w:val="Comment Subject Char"/>
    <w:basedOn w:val="CommentTextChar"/>
    <w:link w:val="CommentSubject"/>
    <w:semiHidden/>
    <w:rsid w:val="0022315B"/>
    <w:rPr>
      <w:b/>
      <w:bCs/>
      <w:szCs w:val="22"/>
      <w:lang w:val="en-US" w:eastAsia="en-US"/>
    </w:rPr>
  </w:style>
  <w:style w:type="paragraph" w:styleId="Revision">
    <w:name w:val="Revision"/>
    <w:hidden/>
    <w:uiPriority w:val="99"/>
    <w:semiHidden/>
    <w:rsid w:val="0022315B"/>
    <w:rPr>
      <w:sz w:val="24"/>
      <w:szCs w:val="22"/>
      <w:lang w:val="en-US" w:eastAsia="en-US"/>
    </w:rPr>
  </w:style>
  <w:style w:type="character" w:styleId="UnresolvedMention">
    <w:name w:val="Unresolved Mention"/>
    <w:basedOn w:val="DefaultParagraphFont"/>
    <w:uiPriority w:val="99"/>
    <w:semiHidden/>
    <w:unhideWhenUsed/>
    <w:rsid w:val="00A53818"/>
    <w:rPr>
      <w:color w:val="605E5C"/>
      <w:shd w:val="clear" w:color="auto" w:fill="E1DFDD"/>
    </w:rPr>
  </w:style>
  <w:style w:type="character" w:customStyle="1" w:styleId="enumlev10">
    <w:name w:val="enumlev1 Знак"/>
    <w:link w:val="enumlev1"/>
    <w:qFormat/>
    <w:locked/>
    <w:rsid w:val="009339E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50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4-C/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A91216"/>
    <w:rsid w:val="00E372DD"/>
    <w:rsid w:val="00F570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3CF05-075C-4AA2-BEF5-F5215BEE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158</TotalTime>
  <Pages>5</Pages>
  <Words>1233</Words>
  <Characters>7728</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9</cp:revision>
  <cp:lastPrinted>2020-01-30T15:57:00Z</cp:lastPrinted>
  <dcterms:created xsi:type="dcterms:W3CDTF">2023-07-12T08:31:00Z</dcterms:created>
  <dcterms:modified xsi:type="dcterms:W3CDTF">2023-07-18T14:47:00Z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