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84730E2" w14:textId="77777777" w:rsidTr="00153E23">
        <w:tc>
          <w:tcPr>
            <w:tcW w:w="5000" w:type="pct"/>
            <w:gridSpan w:val="3"/>
            <w:shd w:val="clear" w:color="auto" w:fill="auto"/>
          </w:tcPr>
          <w:p w14:paraId="39C09BE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D28FB8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986A457" w14:textId="77777777" w:rsidTr="00153E23">
        <w:tc>
          <w:tcPr>
            <w:tcW w:w="2707" w:type="pct"/>
            <w:gridSpan w:val="2"/>
            <w:shd w:val="clear" w:color="auto" w:fill="auto"/>
          </w:tcPr>
          <w:p w14:paraId="7E2B0DB6" w14:textId="0D57E369" w:rsidR="000F7BBE" w:rsidRPr="005D0CA8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5D0CA8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54BA077C" w14:textId="45BBB17D" w:rsidR="000F7BBE" w:rsidRPr="000F7BBE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D0CA8">
              <w:rPr>
                <w:b/>
                <w:bCs/>
                <w:position w:val="2"/>
                <w:lang w:val="en-GB" w:bidi="ar-EG"/>
              </w:rPr>
              <w:t>CACE/</w:t>
            </w:r>
            <w:r w:rsidR="005D0CA8" w:rsidRPr="005D0CA8">
              <w:rPr>
                <w:b/>
                <w:bCs/>
                <w:position w:val="2"/>
                <w:lang w:val="en-GB" w:bidi="ar-EG"/>
              </w:rPr>
              <w:t>1073</w:t>
            </w:r>
          </w:p>
        </w:tc>
        <w:tc>
          <w:tcPr>
            <w:tcW w:w="2293" w:type="pct"/>
            <w:shd w:val="clear" w:color="auto" w:fill="auto"/>
          </w:tcPr>
          <w:p w14:paraId="7FBE105C" w14:textId="6852AD08" w:rsidR="000F7BBE" w:rsidRPr="000F7BBE" w:rsidRDefault="005D0CA8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bidi="ar-EG"/>
              </w:rPr>
              <w:t>29</w:t>
            </w:r>
            <w:r>
              <w:rPr>
                <w:rFonts w:hint="cs"/>
                <w:position w:val="2"/>
                <w:rtl/>
                <w:lang w:bidi="ar-SY"/>
              </w:rPr>
              <w:t xml:space="preserve"> أغسطس </w:t>
            </w:r>
            <w:r w:rsidR="004C39C6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37A9319B" w14:textId="77777777" w:rsidTr="00153E23">
        <w:tc>
          <w:tcPr>
            <w:tcW w:w="5000" w:type="pct"/>
            <w:gridSpan w:val="3"/>
            <w:shd w:val="clear" w:color="auto" w:fill="auto"/>
          </w:tcPr>
          <w:p w14:paraId="7D5B6E73" w14:textId="77777777" w:rsidR="000F7BBE" w:rsidRPr="000F7BBE" w:rsidRDefault="000F7BBE" w:rsidP="005D0C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D7DC83C" w14:textId="77777777" w:rsidTr="00153E23">
        <w:tc>
          <w:tcPr>
            <w:tcW w:w="5000" w:type="pct"/>
            <w:gridSpan w:val="3"/>
            <w:shd w:val="clear" w:color="auto" w:fill="auto"/>
          </w:tcPr>
          <w:p w14:paraId="70E0DCA6" w14:textId="77777777" w:rsidR="000F7BBE" w:rsidRPr="000F7BBE" w:rsidRDefault="000F7BBE" w:rsidP="005D0C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EC44FE" w14:textId="77777777" w:rsidTr="00153E23">
        <w:tc>
          <w:tcPr>
            <w:tcW w:w="5000" w:type="pct"/>
            <w:gridSpan w:val="3"/>
            <w:shd w:val="clear" w:color="auto" w:fill="auto"/>
          </w:tcPr>
          <w:p w14:paraId="5D77906B" w14:textId="4A324E34" w:rsidR="000F7BBE" w:rsidRPr="005D0CA8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D0CA8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5D0CA8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5D0CA8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5D0CA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5D0CA8">
              <w:rPr>
                <w:b/>
                <w:bCs/>
                <w:position w:val="2"/>
                <w:rtl/>
              </w:rPr>
              <w:t>المنتسبين إليه</w:t>
            </w:r>
            <w:r w:rsidRPr="005D0CA8">
              <w:rPr>
                <w:b/>
                <w:bCs/>
                <w:position w:val="2"/>
                <w:rtl/>
              </w:rPr>
              <w:br/>
            </w:r>
            <w:r w:rsidRPr="005D0CA8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D0CA8">
              <w:rPr>
                <w:b/>
                <w:bCs/>
                <w:position w:val="2"/>
                <w:lang w:val="en-GB" w:bidi="ar-EG"/>
              </w:rPr>
              <w:t>3</w:t>
            </w:r>
            <w:r w:rsidRPr="005D0CA8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D0C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D9FA918" w14:textId="77777777" w:rsidTr="00153E23">
        <w:tc>
          <w:tcPr>
            <w:tcW w:w="5000" w:type="pct"/>
            <w:gridSpan w:val="3"/>
            <w:shd w:val="clear" w:color="auto" w:fill="auto"/>
          </w:tcPr>
          <w:p w14:paraId="591FA23B" w14:textId="77777777" w:rsidR="000F7BBE" w:rsidRPr="000F7BBE" w:rsidRDefault="000F7BBE" w:rsidP="005D0C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A9E3552" w14:textId="77777777" w:rsidTr="00153E23">
        <w:tc>
          <w:tcPr>
            <w:tcW w:w="5000" w:type="pct"/>
            <w:gridSpan w:val="3"/>
            <w:shd w:val="clear" w:color="auto" w:fill="auto"/>
          </w:tcPr>
          <w:p w14:paraId="6126DAA1" w14:textId="77777777" w:rsidR="000F7BBE" w:rsidRPr="000F7BBE" w:rsidRDefault="000F7BBE" w:rsidP="005D0C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30D61" w14:paraId="5F600B8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7054A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A6D01B4" w14:textId="7A3063D6" w:rsidR="00D37F70" w:rsidRPr="00E30D61" w:rsidRDefault="00D37F70" w:rsidP="005D0CA8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211D6">
              <w:rPr>
                <w:rFonts w:hint="cs"/>
                <w:b/>
                <w:bCs/>
                <w:rtl/>
                <w:lang w:bidi="ar-EG"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 (انتشار الموجات الراديوية)</w:t>
            </w:r>
          </w:p>
          <w:p w14:paraId="3F313F8E" w14:textId="67927130" w:rsidR="000F7BBE" w:rsidRPr="00E30D61" w:rsidRDefault="00D37F70" w:rsidP="005D0CA8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 اعتماد</w:t>
            </w:r>
            <w:r w:rsidR="005D0CA8">
              <w:rPr>
                <w:rFonts w:hint="cs"/>
                <w:b/>
                <w:bCs/>
                <w:rtl/>
              </w:rPr>
              <w:t xml:space="preserve"> 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5D0CA8" w:rsidRPr="00E30D61">
              <w:rPr>
                <w:b/>
                <w:bCs/>
                <w:lang w:val="fr-FR" w:bidi="ar-EG"/>
              </w:rPr>
              <w:t>14</w:t>
            </w:r>
            <w:r w:rsidR="005D0CA8" w:rsidRPr="005D0CA8">
              <w:rPr>
                <w:rFonts w:hint="cs"/>
                <w:b/>
                <w:bCs/>
                <w:rtl/>
                <w:lang w:bidi="ar-EG"/>
              </w:rPr>
              <w:t xml:space="preserve"> توص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>ية لقطاع الاتصالات الراديوية والموافقة عليها في</w:t>
            </w:r>
            <w:r w:rsidR="005D0C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5D0CA8" w:rsidRPr="00E30D61">
              <w:rPr>
                <w:b/>
                <w:bCs/>
                <w:lang w:val="fr-FR" w:bidi="ar-EG"/>
              </w:rPr>
              <w:t>4.2.6.A2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5D0CA8" w:rsidRPr="00E30D61">
              <w:rPr>
                <w:b/>
                <w:bCs/>
                <w:lang w:val="fr-FR" w:bidi="ar-EG"/>
              </w:rPr>
              <w:t>ITU</w:t>
            </w:r>
            <w:r w:rsidR="005D0CA8" w:rsidRPr="00E30D61">
              <w:rPr>
                <w:b/>
                <w:bCs/>
                <w:lang w:val="fr-FR" w:bidi="ar-EG"/>
              </w:rPr>
              <w:noBreakHyphen/>
              <w:t>R 1</w:t>
            </w:r>
            <w:r w:rsidR="005D0CA8" w:rsidRPr="00E30D61">
              <w:rPr>
                <w:b/>
                <w:bCs/>
                <w:lang w:val="fr-FR" w:bidi="ar-EG"/>
              </w:rPr>
              <w:noBreakHyphen/>
              <w:t>8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5D0C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5D0CA8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E30D61" w14:paraId="31AB3CFF" w14:textId="77777777" w:rsidTr="005D0CA8">
        <w:trPr>
          <w:trHeight w:val="178"/>
        </w:trPr>
        <w:tc>
          <w:tcPr>
            <w:tcW w:w="699" w:type="pct"/>
            <w:shd w:val="clear" w:color="auto" w:fill="auto"/>
          </w:tcPr>
          <w:p w14:paraId="02A7AEFD" w14:textId="77777777" w:rsidR="00FC09E8" w:rsidRPr="000F7BBE" w:rsidRDefault="00FC09E8" w:rsidP="005D0C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5F0CB11" w14:textId="77777777" w:rsidR="00FC09E8" w:rsidRPr="005D0CA8" w:rsidRDefault="00FC09E8" w:rsidP="005D0CA8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position w:val="2"/>
                <w:rtl/>
                <w:lang w:bidi="ar-SY"/>
              </w:rPr>
            </w:pPr>
          </w:p>
        </w:tc>
      </w:tr>
    </w:tbl>
    <w:p w14:paraId="114FC9BF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25F0DEE0" w14:textId="1C10359D" w:rsidR="005D0CA8" w:rsidRDefault="005D0CA8" w:rsidP="005D0CA8">
      <w:pPr>
        <w:rPr>
          <w:rtl/>
        </w:rPr>
      </w:pPr>
      <w:r w:rsidRPr="005D0CA8">
        <w:rPr>
          <w:rFonts w:hint="cs"/>
          <w:rtl/>
          <w:lang w:bidi="ar-EG"/>
        </w:rPr>
        <w:t>تم</w:t>
      </w:r>
      <w:r w:rsidRPr="005D0CA8">
        <w:rPr>
          <w:rtl/>
          <w:lang w:bidi="ar-EG"/>
        </w:rPr>
        <w:t xml:space="preserve"> </w:t>
      </w:r>
      <w:r w:rsidRPr="005D0CA8">
        <w:rPr>
          <w:rFonts w:hint="cs"/>
          <w:rtl/>
          <w:lang w:bidi="ar-EG"/>
        </w:rPr>
        <w:t>بموجب</w:t>
      </w:r>
      <w:r w:rsidRPr="005D0CA8">
        <w:rPr>
          <w:rtl/>
          <w:lang w:bidi="ar-EG"/>
        </w:rPr>
        <w:t xml:space="preserve"> </w:t>
      </w:r>
      <w:r w:rsidRPr="005D0CA8">
        <w:rPr>
          <w:rFonts w:hint="cs"/>
          <w:rtl/>
          <w:lang w:bidi="ar-EG"/>
        </w:rPr>
        <w:t>الرسالة</w:t>
      </w:r>
      <w:r w:rsidRPr="005D0CA8">
        <w:rPr>
          <w:rtl/>
          <w:lang w:bidi="ar-EG"/>
        </w:rPr>
        <w:t xml:space="preserve"> الإدارية</w:t>
      </w:r>
      <w:r w:rsidRPr="005D0CA8">
        <w:rPr>
          <w:rFonts w:hint="cs"/>
          <w:rtl/>
          <w:lang w:bidi="ar-EG"/>
        </w:rPr>
        <w:t xml:space="preserve"> المعممة</w:t>
      </w:r>
      <w:r w:rsidRPr="005D0CA8">
        <w:rPr>
          <w:rtl/>
          <w:lang w:bidi="ar-EG"/>
        </w:rPr>
        <w:t xml:space="preserve"> </w:t>
      </w:r>
      <w:hyperlink r:id="rId8" w:history="1">
        <w:r w:rsidRPr="00E30D61">
          <w:rPr>
            <w:rStyle w:val="Hyperlink"/>
            <w:lang w:val="fr-FR"/>
          </w:rPr>
          <w:t>CACE/1065</w:t>
        </w:r>
      </w:hyperlink>
      <w:r w:rsidRPr="005D0CA8">
        <w:rPr>
          <w:rtl/>
          <w:lang w:bidi="ar-EG"/>
        </w:rPr>
        <w:t xml:space="preserve"> </w:t>
      </w:r>
      <w:r w:rsidRPr="005D0CA8">
        <w:rPr>
          <w:rFonts w:hint="cs"/>
          <w:rtl/>
          <w:lang w:bidi="ar-EG"/>
        </w:rPr>
        <w:t>المؤرخة</w:t>
      </w:r>
      <w:r w:rsidRPr="005D0CA8">
        <w:rPr>
          <w:rtl/>
          <w:lang w:bidi="ar-EG"/>
        </w:rPr>
        <w:t xml:space="preserve"> </w:t>
      </w:r>
      <w:r w:rsidRPr="00E30D61">
        <w:rPr>
          <w:lang w:val="fr-FR" w:bidi="ar-EG"/>
        </w:rPr>
        <w:t>23</w:t>
      </w:r>
      <w:r w:rsidRPr="005D0CA8">
        <w:rPr>
          <w:rFonts w:hint="cs"/>
          <w:rtl/>
          <w:lang w:bidi="ar-SY"/>
        </w:rPr>
        <w:t xml:space="preserve"> يونيو </w:t>
      </w:r>
      <w:r w:rsidRPr="00E30D61">
        <w:rPr>
          <w:lang w:val="fr-FR" w:bidi="ar-SY"/>
        </w:rPr>
        <w:t>2023</w:t>
      </w:r>
      <w:r w:rsidRPr="005D0CA8">
        <w:rPr>
          <w:rtl/>
          <w:lang w:bidi="ar-EG"/>
        </w:rPr>
        <w:t xml:space="preserve">، </w:t>
      </w:r>
      <w:r w:rsidRPr="005D0CA8">
        <w:rPr>
          <w:rFonts w:hint="cs"/>
          <w:rtl/>
          <w:lang w:bidi="ar-EG"/>
        </w:rPr>
        <w:t xml:space="preserve">تقديم </w:t>
      </w:r>
      <w:r w:rsidRPr="005D0CA8">
        <w:rPr>
          <w:rFonts w:hint="cs"/>
          <w:rtl/>
        </w:rPr>
        <w:t xml:space="preserve">مشاريع مراجعة </w:t>
      </w:r>
      <w:r w:rsidRPr="00E30D61">
        <w:rPr>
          <w:lang w:val="fr-FR"/>
        </w:rPr>
        <w:t>15</w:t>
      </w:r>
      <w:r w:rsidRPr="005D0CA8">
        <w:rPr>
          <w:rFonts w:hint="cs"/>
          <w:rtl/>
          <w:lang w:bidi="ar-SY"/>
        </w:rPr>
        <w:t xml:space="preserve"> </w:t>
      </w:r>
      <w:r w:rsidRPr="005D0CA8">
        <w:rPr>
          <w:rFonts w:hint="cs"/>
          <w:rtl/>
        </w:rPr>
        <w:t>توصية</w:t>
      </w:r>
      <w:r w:rsidRPr="005D0CA8">
        <w:rPr>
          <w:rFonts w:hint="eastAsia"/>
          <w:rtl/>
        </w:rPr>
        <w:t> </w:t>
      </w:r>
      <w:r w:rsidRPr="005D0CA8">
        <w:rPr>
          <w:rFonts w:hint="cs"/>
          <w:rtl/>
          <w:lang w:bidi="ar-EG"/>
        </w:rPr>
        <w:t xml:space="preserve">لقطاع الاتصالات الراديوية </w:t>
      </w:r>
      <w:r w:rsidRPr="005D0CA8">
        <w:rPr>
          <w:rtl/>
          <w:lang w:bidi="ar-EG"/>
        </w:rPr>
        <w:t xml:space="preserve">لاعتمادها </w:t>
      </w:r>
      <w:r w:rsidRPr="005D0CA8">
        <w:rPr>
          <w:rFonts w:hint="cs"/>
          <w:rtl/>
          <w:lang w:bidi="ar-EG"/>
        </w:rPr>
        <w:t>والموافقة</w:t>
      </w:r>
      <w:r w:rsidRPr="005D0CA8">
        <w:rPr>
          <w:rtl/>
          <w:lang w:bidi="ar-EG"/>
        </w:rPr>
        <w:t xml:space="preserve"> عليها في نفس الوقت عن طريق </w:t>
      </w:r>
      <w:r w:rsidRPr="005D0CA8">
        <w:rPr>
          <w:rFonts w:hint="cs"/>
          <w:rtl/>
          <w:lang w:bidi="ar-EG"/>
        </w:rPr>
        <w:t xml:space="preserve">المراسلة </w:t>
      </w:r>
      <w:r w:rsidRPr="00E30D61">
        <w:rPr>
          <w:lang w:val="fr-FR"/>
        </w:rPr>
        <w:t>(PSAA)</w:t>
      </w:r>
      <w:r w:rsidRPr="005D0CA8">
        <w:rPr>
          <w:rtl/>
          <w:lang w:bidi="ar-EG"/>
        </w:rPr>
        <w:t xml:space="preserve"> وفقاً للإجراء </w:t>
      </w:r>
      <w:r w:rsidRPr="005D0CA8">
        <w:rPr>
          <w:rFonts w:hint="cs"/>
          <w:rtl/>
          <w:lang w:bidi="ar-EG"/>
        </w:rPr>
        <w:t>المنصوص</w:t>
      </w:r>
      <w:r w:rsidRPr="005D0CA8">
        <w:rPr>
          <w:rtl/>
          <w:lang w:bidi="ar-EG"/>
        </w:rPr>
        <w:t xml:space="preserve"> عليه في</w:t>
      </w:r>
      <w:r w:rsidRPr="005D0CA8">
        <w:rPr>
          <w:rFonts w:hint="cs"/>
          <w:rtl/>
          <w:lang w:bidi="ar-EG"/>
        </w:rPr>
        <w:t> </w:t>
      </w:r>
      <w:r w:rsidRPr="005D0CA8">
        <w:rPr>
          <w:rtl/>
          <w:lang w:bidi="ar-EG"/>
        </w:rPr>
        <w:t>القرار</w:t>
      </w:r>
      <w:r w:rsidRPr="005D0CA8">
        <w:rPr>
          <w:rFonts w:hint="cs"/>
          <w:rtl/>
          <w:lang w:bidi="ar-EG"/>
        </w:rPr>
        <w:t> </w:t>
      </w:r>
      <w:r w:rsidRPr="00E30D61">
        <w:rPr>
          <w:lang w:val="fr-FR"/>
        </w:rPr>
        <w:t>ITU</w:t>
      </w:r>
      <w:r w:rsidR="009211D6" w:rsidRPr="00E30D61">
        <w:rPr>
          <w:lang w:val="fr-FR"/>
        </w:rPr>
        <w:noBreakHyphen/>
      </w:r>
      <w:r w:rsidRPr="00E30D61">
        <w:rPr>
          <w:lang w:val="fr-FR"/>
        </w:rPr>
        <w:t>R 1</w:t>
      </w:r>
      <w:r w:rsidRPr="00E30D61">
        <w:rPr>
          <w:lang w:val="fr-FR"/>
        </w:rPr>
        <w:noBreakHyphen/>
        <w:t>8</w:t>
      </w:r>
      <w:r w:rsidRPr="005D0CA8">
        <w:rPr>
          <w:rtl/>
          <w:lang w:bidi="ar-EG"/>
        </w:rPr>
        <w:t xml:space="preserve"> (الفقرة </w:t>
      </w:r>
      <w:r w:rsidRPr="00E30D61">
        <w:rPr>
          <w:lang w:val="fr-FR"/>
        </w:rPr>
        <w:t>4.2.6.A2</w:t>
      </w:r>
      <w:r w:rsidRPr="005D0CA8">
        <w:rPr>
          <w:rtl/>
          <w:lang w:bidi="ar-EG"/>
        </w:rPr>
        <w:t>).</w:t>
      </w:r>
    </w:p>
    <w:p w14:paraId="24A2F079" w14:textId="2FFDBFB5" w:rsidR="005D0CA8" w:rsidRDefault="005D0CA8" w:rsidP="005D0CA8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>التي 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 xml:space="preserve">كم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23</w:t>
      </w:r>
      <w:r>
        <w:rPr>
          <w:rFonts w:hint="cs"/>
          <w:rtl/>
          <w:lang w:bidi="ar-SY"/>
        </w:rPr>
        <w:t xml:space="preserve"> أغسطس </w:t>
      </w:r>
      <w:r>
        <w:rPr>
          <w:lang w:bidi="ar-SY"/>
        </w:rPr>
        <w:t>2023</w:t>
      </w:r>
      <w:r>
        <w:rPr>
          <w:rFonts w:hint="cs"/>
          <w:rtl/>
          <w:lang w:bidi="ar-SY"/>
        </w:rPr>
        <w:t xml:space="preserve">، </w:t>
      </w:r>
      <w:r w:rsidR="009211D6">
        <w:rPr>
          <w:rFonts w:hint="cs"/>
          <w:rtl/>
          <w:lang w:bidi="ar-SY"/>
        </w:rPr>
        <w:t xml:space="preserve">باستثناء مشروع مراجعة التوصية </w:t>
      </w:r>
      <w:r w:rsidR="009211D6" w:rsidRPr="00E56D2D">
        <w:rPr>
          <w:lang w:val="en-GB"/>
        </w:rPr>
        <w:t>ITU</w:t>
      </w:r>
      <w:r w:rsidR="00C10E03">
        <w:rPr>
          <w:lang w:val="en-GB"/>
        </w:rPr>
        <w:noBreakHyphen/>
      </w:r>
      <w:r w:rsidR="009211D6" w:rsidRPr="00E56D2D">
        <w:rPr>
          <w:lang w:val="en-GB"/>
        </w:rPr>
        <w:t>R</w:t>
      </w:r>
      <w:r w:rsidR="00C10E03">
        <w:rPr>
          <w:lang w:val="en-GB"/>
        </w:rPr>
        <w:t> </w:t>
      </w:r>
      <w:r w:rsidR="009211D6">
        <w:rPr>
          <w:lang w:val="en-GB"/>
        </w:rPr>
        <w:t>P</w:t>
      </w:r>
      <w:r w:rsidR="009211D6" w:rsidRPr="00E56D2D">
        <w:rPr>
          <w:lang w:val="en-GB"/>
        </w:rPr>
        <w:t>.</w:t>
      </w:r>
      <w:r w:rsidR="009211D6">
        <w:rPr>
          <w:lang w:val="en-GB"/>
        </w:rPr>
        <w:t>1546</w:t>
      </w:r>
      <w:r w:rsidR="00C10E03">
        <w:rPr>
          <w:lang w:val="en-GB"/>
        </w:rPr>
        <w:noBreakHyphen/>
      </w:r>
      <w:r w:rsidR="009211D6">
        <w:rPr>
          <w:lang w:val="en-GB"/>
        </w:rPr>
        <w:t>6</w:t>
      </w:r>
      <w:r w:rsidR="009211D6">
        <w:rPr>
          <w:rFonts w:hint="cs"/>
          <w:rtl/>
          <w:lang w:bidi="ar-SY"/>
        </w:rPr>
        <w:t xml:space="preserve"> الذي سيعاد إلى لجنة الدراسات 3 نظراً إلى تلقي اعتراضات على اعتماده.</w:t>
      </w:r>
    </w:p>
    <w:p w14:paraId="19F0152C" w14:textId="5004A28E" w:rsidR="005D0CA8" w:rsidRPr="005D0CA8" w:rsidRDefault="005D0CA8" w:rsidP="005D0CA8">
      <w:pPr>
        <w:rPr>
          <w:spacing w:val="-2"/>
          <w:rtl/>
        </w:rPr>
      </w:pPr>
      <w:r w:rsidRPr="005D0CA8">
        <w:rPr>
          <w:spacing w:val="-2"/>
          <w:rtl/>
          <w:lang w:bidi="ar-EG"/>
        </w:rPr>
        <w:t xml:space="preserve">وسينشر </w:t>
      </w:r>
      <w:r w:rsidRPr="005D0CA8">
        <w:rPr>
          <w:rFonts w:hint="cs"/>
          <w:spacing w:val="-2"/>
          <w:rtl/>
          <w:lang w:bidi="ar-EG"/>
        </w:rPr>
        <w:t>الاتحاد</w:t>
      </w:r>
      <w:r w:rsidRPr="005D0CA8">
        <w:rPr>
          <w:spacing w:val="-2"/>
          <w:rtl/>
          <w:lang w:bidi="ar-EG"/>
        </w:rPr>
        <w:t xml:space="preserve"> </w:t>
      </w:r>
      <w:r w:rsidRPr="005D0CA8">
        <w:rPr>
          <w:rFonts w:hint="cs"/>
          <w:spacing w:val="-2"/>
          <w:rtl/>
          <w:lang w:bidi="ar-EG"/>
        </w:rPr>
        <w:t>التوصيات الموافَق</w:t>
      </w:r>
      <w:r w:rsidRPr="005D0CA8">
        <w:rPr>
          <w:spacing w:val="-2"/>
          <w:rtl/>
          <w:lang w:bidi="ar-EG"/>
        </w:rPr>
        <w:t xml:space="preserve"> عليها، ويتضمن </w:t>
      </w:r>
      <w:r w:rsidRPr="005D0CA8">
        <w:rPr>
          <w:rFonts w:hint="cs"/>
          <w:spacing w:val="-2"/>
          <w:rtl/>
          <w:lang w:bidi="ar-EG"/>
        </w:rPr>
        <w:t>الملحق ب</w:t>
      </w:r>
      <w:r w:rsidRPr="005D0CA8">
        <w:rPr>
          <w:spacing w:val="-2"/>
          <w:rtl/>
          <w:lang w:bidi="ar-EG"/>
        </w:rPr>
        <w:t xml:space="preserve">هذه </w:t>
      </w:r>
      <w:r w:rsidRPr="005D0CA8">
        <w:rPr>
          <w:rFonts w:hint="cs"/>
          <w:spacing w:val="-2"/>
          <w:rtl/>
          <w:lang w:bidi="ar-EG"/>
        </w:rPr>
        <w:t>الرسالة المعممة عناوين هذه التوصيات والأرقام المخصصة</w:t>
      </w:r>
      <w:r w:rsidRPr="005D0CA8">
        <w:rPr>
          <w:spacing w:val="-2"/>
          <w:rtl/>
          <w:lang w:bidi="ar-EG"/>
        </w:rPr>
        <w:t xml:space="preserve"> لها.</w:t>
      </w:r>
    </w:p>
    <w:p w14:paraId="276A120D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B435357" w14:textId="77777777" w:rsidR="00D02121" w:rsidRDefault="00D02121" w:rsidP="00D02121">
      <w:pPr>
        <w:spacing w:before="144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0E1098B" w14:textId="51657DBD" w:rsidR="00D02121" w:rsidRDefault="009211D6" w:rsidP="00E30D61">
      <w:pPr>
        <w:spacing w:before="1440"/>
        <w:rPr>
          <w:lang w:bidi="ar-EG"/>
        </w:rPr>
      </w:pPr>
      <w:r>
        <w:rPr>
          <w:rFonts w:hint="cs"/>
          <w:b/>
          <w:bCs/>
          <w:rtl/>
          <w:lang w:bidi="ar-EG"/>
        </w:rPr>
        <w:t>الملحقات: 1</w:t>
      </w:r>
    </w:p>
    <w:p w14:paraId="64380AA3" w14:textId="77777777" w:rsidR="00FC09E8" w:rsidRDefault="00FC09E8" w:rsidP="00506DEC">
      <w:pPr>
        <w:rPr>
          <w:rtl/>
        </w:rPr>
      </w:pPr>
      <w:r>
        <w:rPr>
          <w:rtl/>
        </w:rPr>
        <w:br w:type="page"/>
      </w:r>
    </w:p>
    <w:p w14:paraId="13E6303F" w14:textId="00EC4538" w:rsidR="005D0CA8" w:rsidRPr="00EA53F4" w:rsidRDefault="005D0CA8" w:rsidP="005D0CA8">
      <w:pPr>
        <w:pStyle w:val="AnnexNotitle"/>
        <w:rPr>
          <w:rtl/>
        </w:rPr>
      </w:pPr>
      <w:r w:rsidRPr="005D0CA8">
        <w:rPr>
          <w:rFonts w:hint="cs"/>
          <w:rtl/>
        </w:rPr>
        <w:lastRenderedPageBreak/>
        <w:t xml:space="preserve">الملحق </w:t>
      </w:r>
      <w:r w:rsidRPr="005D0CA8">
        <w:rPr>
          <w:rtl/>
        </w:rPr>
        <w:br/>
      </w:r>
      <w:r w:rsidRPr="005D0CA8">
        <w:rPr>
          <w:rtl/>
        </w:rPr>
        <w:br/>
      </w:r>
      <w:r w:rsidRPr="005D0CA8">
        <w:rPr>
          <w:rFonts w:hint="cs"/>
          <w:rtl/>
        </w:rPr>
        <w:t>عناوين توصيات</w:t>
      </w:r>
      <w:r>
        <w:rPr>
          <w:rFonts w:hint="cs"/>
          <w:rtl/>
        </w:rPr>
        <w:t xml:space="preserve">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5D0CA8" w:rsidRPr="00506DEC" w14:paraId="4F6A1489" w14:textId="77777777" w:rsidTr="00354C53">
        <w:trPr>
          <w:jc w:val="center"/>
        </w:trPr>
        <w:tc>
          <w:tcPr>
            <w:tcW w:w="1982" w:type="dxa"/>
            <w:vAlign w:val="center"/>
          </w:tcPr>
          <w:p w14:paraId="45B74D57" w14:textId="77777777" w:rsidR="005D0CA8" w:rsidRPr="00506DEC" w:rsidRDefault="005D0CA8" w:rsidP="00C10E03">
            <w:pPr>
              <w:pStyle w:val="TableHead"/>
              <w:spacing w:before="40" w:after="40" w:line="280" w:lineRule="exact"/>
              <w:rPr>
                <w:rtl/>
                <w:lang w:bidi="ar-EG"/>
              </w:rPr>
            </w:pPr>
            <w:r w:rsidRPr="00506DEC">
              <w:rPr>
                <w:rtl/>
              </w:rPr>
              <w:t xml:space="preserve">توصية قطاع الاتصالات الراديوية </w:t>
            </w:r>
            <w:r w:rsidRPr="00506DEC">
              <w:t>(ITU-R)</w:t>
            </w:r>
          </w:p>
        </w:tc>
        <w:tc>
          <w:tcPr>
            <w:tcW w:w="5812" w:type="dxa"/>
            <w:vAlign w:val="center"/>
          </w:tcPr>
          <w:p w14:paraId="241ED999" w14:textId="77777777" w:rsidR="005D0CA8" w:rsidRPr="00506DEC" w:rsidRDefault="005D0CA8" w:rsidP="00C10E03">
            <w:pPr>
              <w:pStyle w:val="TableHead"/>
              <w:spacing w:before="40" w:after="40" w:line="280" w:lineRule="exact"/>
              <w:rPr>
                <w:rtl/>
              </w:rPr>
            </w:pPr>
            <w:r w:rsidRPr="00506DEC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4E8E9800" w14:textId="77777777" w:rsidR="005D0CA8" w:rsidRPr="00506DEC" w:rsidRDefault="005D0CA8" w:rsidP="00C10E03">
            <w:pPr>
              <w:spacing w:before="40" w:after="40" w:line="28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06DEC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5D0CA8" w:rsidRPr="00506DEC" w14:paraId="6018A982" w14:textId="77777777" w:rsidTr="004F6ABA">
        <w:trPr>
          <w:jc w:val="center"/>
        </w:trPr>
        <w:tc>
          <w:tcPr>
            <w:tcW w:w="1982" w:type="dxa"/>
            <w:vAlign w:val="center"/>
          </w:tcPr>
          <w:p w14:paraId="33A2B21F" w14:textId="55E9D79A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rtl/>
                <w:lang w:bidi="ar-EG"/>
              </w:rPr>
            </w:pPr>
            <w:r w:rsidRPr="00506DEC">
              <w:t>P.371-9</w:t>
            </w:r>
          </w:p>
        </w:tc>
        <w:tc>
          <w:tcPr>
            <w:tcW w:w="5812" w:type="dxa"/>
          </w:tcPr>
          <w:p w14:paraId="03982DC0" w14:textId="129AB663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اختيار الدلائل للتنبؤات </w:t>
            </w:r>
            <w:proofErr w:type="spellStart"/>
            <w:r w:rsidRPr="00506DEC">
              <w:rPr>
                <w:rtl/>
              </w:rPr>
              <w:t>الأيونوسفيرية</w:t>
            </w:r>
            <w:proofErr w:type="spellEnd"/>
            <w:r w:rsidRPr="00506DEC">
              <w:rPr>
                <w:rtl/>
              </w:rPr>
              <w:t xml:space="preserve"> طويلة الأجل</w:t>
            </w:r>
          </w:p>
        </w:tc>
        <w:tc>
          <w:tcPr>
            <w:tcW w:w="1835" w:type="dxa"/>
            <w:vAlign w:val="center"/>
          </w:tcPr>
          <w:p w14:paraId="001FD41A" w14:textId="27DEC57D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rtl/>
              </w:rPr>
            </w:pPr>
            <w:r w:rsidRPr="00506DEC">
              <w:rPr>
                <w:bCs/>
              </w:rPr>
              <w:t>3/</w:t>
            </w:r>
            <w:r w:rsidRPr="00506DEC">
              <w:t>106(Rev.1)</w:t>
            </w:r>
          </w:p>
        </w:tc>
      </w:tr>
      <w:tr w:rsidR="005D0CA8" w:rsidRPr="00506DEC" w14:paraId="3D6C205F" w14:textId="77777777" w:rsidTr="004F6ABA">
        <w:trPr>
          <w:jc w:val="center"/>
        </w:trPr>
        <w:tc>
          <w:tcPr>
            <w:tcW w:w="1982" w:type="dxa"/>
            <w:vAlign w:val="center"/>
          </w:tcPr>
          <w:p w14:paraId="2D2BC5AF" w14:textId="51EB0874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P.1239-4</w:t>
            </w:r>
          </w:p>
        </w:tc>
        <w:tc>
          <w:tcPr>
            <w:tcW w:w="5812" w:type="dxa"/>
          </w:tcPr>
          <w:p w14:paraId="034B8A31" w14:textId="49E2C093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الخصائص </w:t>
            </w:r>
            <w:proofErr w:type="spellStart"/>
            <w:r w:rsidRPr="00506DEC">
              <w:rPr>
                <w:rtl/>
              </w:rPr>
              <w:t>الأيونوسفيرية</w:t>
            </w:r>
            <w:proofErr w:type="spellEnd"/>
            <w:r w:rsidRPr="00506DEC">
              <w:rPr>
                <w:rtl/>
              </w:rPr>
              <w:t xml:space="preserve"> المرجعية لقطاع الاتصالات الراديوية</w:t>
            </w:r>
          </w:p>
        </w:tc>
        <w:tc>
          <w:tcPr>
            <w:tcW w:w="1835" w:type="dxa"/>
            <w:vAlign w:val="center"/>
          </w:tcPr>
          <w:p w14:paraId="04013573" w14:textId="61F0E5FF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107(Rev.1)</w:t>
            </w:r>
          </w:p>
        </w:tc>
      </w:tr>
      <w:tr w:rsidR="005D0CA8" w:rsidRPr="00506DEC" w14:paraId="3A049787" w14:textId="77777777" w:rsidTr="004F6ABA">
        <w:trPr>
          <w:jc w:val="center"/>
        </w:trPr>
        <w:tc>
          <w:tcPr>
            <w:tcW w:w="1982" w:type="dxa"/>
            <w:vAlign w:val="center"/>
          </w:tcPr>
          <w:p w14:paraId="15B1697A" w14:textId="3FEB4B28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P.531-15</w:t>
            </w:r>
          </w:p>
        </w:tc>
        <w:tc>
          <w:tcPr>
            <w:tcW w:w="5812" w:type="dxa"/>
          </w:tcPr>
          <w:p w14:paraId="52283507" w14:textId="135FE5BE" w:rsidR="005D0CA8" w:rsidRPr="00506DEC" w:rsidRDefault="009211D6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بيانات</w:t>
            </w:r>
            <w:r w:rsidR="003935FF" w:rsidRPr="00506DEC">
              <w:rPr>
                <w:rtl/>
              </w:rPr>
              <w:t xml:space="preserve"> الانتشار </w:t>
            </w:r>
            <w:proofErr w:type="spellStart"/>
            <w:r w:rsidR="003935FF" w:rsidRPr="00506DEC">
              <w:rPr>
                <w:rtl/>
              </w:rPr>
              <w:t>الأيونوسفيري</w:t>
            </w:r>
            <w:proofErr w:type="spellEnd"/>
            <w:r w:rsidR="003935FF" w:rsidRPr="00506DEC">
              <w:rPr>
                <w:rtl/>
              </w:rPr>
              <w:t xml:space="preserve"> وطرائق التنبؤ المطلوبة من أجل تصميم الشبكات والأنظمة الساتلية</w:t>
            </w:r>
          </w:p>
        </w:tc>
        <w:tc>
          <w:tcPr>
            <w:tcW w:w="1835" w:type="dxa"/>
            <w:vAlign w:val="center"/>
          </w:tcPr>
          <w:p w14:paraId="6B8720DC" w14:textId="2BC4F10B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108(Rev.1)</w:t>
            </w:r>
          </w:p>
        </w:tc>
      </w:tr>
      <w:tr w:rsidR="005D0CA8" w:rsidRPr="00506DEC" w14:paraId="5D263100" w14:textId="77777777" w:rsidTr="004F6ABA">
        <w:trPr>
          <w:jc w:val="center"/>
        </w:trPr>
        <w:tc>
          <w:tcPr>
            <w:tcW w:w="1982" w:type="dxa"/>
            <w:vAlign w:val="center"/>
          </w:tcPr>
          <w:p w14:paraId="398EF626" w14:textId="1A622F31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P.840-9</w:t>
            </w:r>
          </w:p>
        </w:tc>
        <w:tc>
          <w:tcPr>
            <w:tcW w:w="5812" w:type="dxa"/>
          </w:tcPr>
          <w:p w14:paraId="3C85EA9E" w14:textId="32E89552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>التوهين الناجم عن السحب والضباب</w:t>
            </w:r>
          </w:p>
        </w:tc>
        <w:tc>
          <w:tcPr>
            <w:tcW w:w="1835" w:type="dxa"/>
            <w:vAlign w:val="center"/>
          </w:tcPr>
          <w:p w14:paraId="78868EEE" w14:textId="291E3C50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114(Rev.1)</w:t>
            </w:r>
          </w:p>
        </w:tc>
      </w:tr>
      <w:tr w:rsidR="005D0CA8" w:rsidRPr="00506DEC" w14:paraId="096544BC" w14:textId="77777777" w:rsidTr="004F6ABA">
        <w:trPr>
          <w:jc w:val="center"/>
        </w:trPr>
        <w:tc>
          <w:tcPr>
            <w:tcW w:w="1982" w:type="dxa"/>
            <w:vAlign w:val="center"/>
          </w:tcPr>
          <w:p w14:paraId="081C4BC7" w14:textId="3212E136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P.2040-3</w:t>
            </w:r>
          </w:p>
        </w:tc>
        <w:tc>
          <w:tcPr>
            <w:tcW w:w="5812" w:type="dxa"/>
          </w:tcPr>
          <w:p w14:paraId="4093B9AE" w14:textId="2620FB4D" w:rsidR="005D0CA8" w:rsidRPr="00635917" w:rsidRDefault="003935FF" w:rsidP="00C10E03">
            <w:pPr>
              <w:pStyle w:val="Tabletexte"/>
              <w:spacing w:before="40" w:after="40" w:line="280" w:lineRule="exact"/>
              <w:rPr>
                <w:spacing w:val="-2"/>
                <w:highlight w:val="yellow"/>
                <w:rtl/>
              </w:rPr>
            </w:pPr>
            <w:r w:rsidRPr="00635917">
              <w:rPr>
                <w:spacing w:val="-2"/>
                <w:rtl/>
              </w:rPr>
              <w:t xml:space="preserve">آثار مواد البناء وهياكل المباني على انتشار الموجات الراديوية فوق </w:t>
            </w:r>
            <w:r w:rsidRPr="00635917">
              <w:rPr>
                <w:spacing w:val="-2"/>
              </w:rPr>
              <w:t>MHz 100</w:t>
            </w:r>
            <w:r w:rsidRPr="00635917">
              <w:rPr>
                <w:spacing w:val="-2"/>
                <w:rtl/>
              </w:rPr>
              <w:t xml:space="preserve"> تقريباً</w:t>
            </w:r>
          </w:p>
        </w:tc>
        <w:tc>
          <w:tcPr>
            <w:tcW w:w="1835" w:type="dxa"/>
            <w:vAlign w:val="center"/>
          </w:tcPr>
          <w:p w14:paraId="7E471E60" w14:textId="7E9E30A5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115(Rev.1)</w:t>
            </w:r>
          </w:p>
        </w:tc>
      </w:tr>
      <w:tr w:rsidR="005D0CA8" w:rsidRPr="00506DEC" w14:paraId="1D59770D" w14:textId="77777777" w:rsidTr="004F6ABA">
        <w:trPr>
          <w:jc w:val="center"/>
        </w:trPr>
        <w:tc>
          <w:tcPr>
            <w:tcW w:w="1982" w:type="dxa"/>
            <w:vAlign w:val="center"/>
          </w:tcPr>
          <w:p w14:paraId="1BC788E8" w14:textId="2E7AE426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P.2109-2</w:t>
            </w:r>
          </w:p>
        </w:tc>
        <w:tc>
          <w:tcPr>
            <w:tcW w:w="5812" w:type="dxa"/>
          </w:tcPr>
          <w:p w14:paraId="50DBDB30" w14:textId="29051B61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>التنبؤ بالخسارة الناجمة عن الدخول إلى المباني</w:t>
            </w:r>
          </w:p>
        </w:tc>
        <w:tc>
          <w:tcPr>
            <w:tcW w:w="1835" w:type="dxa"/>
            <w:vAlign w:val="center"/>
          </w:tcPr>
          <w:p w14:paraId="1D749A8B" w14:textId="11BF44F4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117(Rev.1)</w:t>
            </w:r>
          </w:p>
        </w:tc>
      </w:tr>
      <w:tr w:rsidR="005D0CA8" w:rsidRPr="00506DEC" w14:paraId="655B3B6A" w14:textId="77777777" w:rsidTr="004F6ABA">
        <w:trPr>
          <w:jc w:val="center"/>
        </w:trPr>
        <w:tc>
          <w:tcPr>
            <w:tcW w:w="1982" w:type="dxa"/>
            <w:vAlign w:val="center"/>
          </w:tcPr>
          <w:p w14:paraId="27934298" w14:textId="06522EBF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P.1812-7</w:t>
            </w:r>
          </w:p>
        </w:tc>
        <w:tc>
          <w:tcPr>
            <w:tcW w:w="5812" w:type="dxa"/>
          </w:tcPr>
          <w:p w14:paraId="576E96AB" w14:textId="6FEE2B8D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طريقة تنبؤ </w:t>
            </w:r>
            <w:proofErr w:type="spellStart"/>
            <w:r w:rsidRPr="00506DEC">
              <w:rPr>
                <w:rtl/>
              </w:rPr>
              <w:t>با</w:t>
            </w:r>
            <w:proofErr w:type="spellEnd"/>
            <w:r w:rsidR="00545CBD">
              <w:rPr>
                <w:rFonts w:hint="cs"/>
                <w:rtl/>
                <w:lang w:bidi="ar-EG"/>
              </w:rPr>
              <w:t>لا</w:t>
            </w:r>
            <w:r w:rsidRPr="00506DEC">
              <w:rPr>
                <w:rtl/>
              </w:rPr>
              <w:t xml:space="preserve">نتشار خاصة بمسير لخدمات الأرض من نقطة-إلى-منطقة في مدى التردد من </w:t>
            </w:r>
            <w:r w:rsidRPr="00506DEC">
              <w:t>MHz 30</w:t>
            </w:r>
            <w:r w:rsidRPr="00506DEC">
              <w:rPr>
                <w:rtl/>
              </w:rPr>
              <w:t xml:space="preserve"> إلى </w:t>
            </w:r>
            <w:r w:rsidRPr="00506DEC">
              <w:t>GHz 6</w:t>
            </w:r>
          </w:p>
        </w:tc>
        <w:tc>
          <w:tcPr>
            <w:tcW w:w="1835" w:type="dxa"/>
            <w:vAlign w:val="center"/>
          </w:tcPr>
          <w:p w14:paraId="489709AE" w14:textId="2F85E502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118(Rev.1)</w:t>
            </w:r>
          </w:p>
        </w:tc>
      </w:tr>
      <w:tr w:rsidR="005D0CA8" w:rsidRPr="00506DEC" w14:paraId="1E46699A" w14:textId="77777777" w:rsidTr="004F6ABA">
        <w:trPr>
          <w:jc w:val="center"/>
        </w:trPr>
        <w:tc>
          <w:tcPr>
            <w:tcW w:w="1982" w:type="dxa"/>
            <w:vAlign w:val="center"/>
          </w:tcPr>
          <w:p w14:paraId="4D9A4F2D" w14:textId="1065B1A0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P.618-14</w:t>
            </w:r>
          </w:p>
        </w:tc>
        <w:tc>
          <w:tcPr>
            <w:tcW w:w="5812" w:type="dxa"/>
          </w:tcPr>
          <w:p w14:paraId="33DC5621" w14:textId="20DB4D80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>بيانات الانتشار وطرائق التنبؤ المطلوبة لتصميم أنظمة الاتصالات أرض-فضاء</w:t>
            </w:r>
          </w:p>
        </w:tc>
        <w:tc>
          <w:tcPr>
            <w:tcW w:w="1835" w:type="dxa"/>
            <w:vAlign w:val="center"/>
          </w:tcPr>
          <w:p w14:paraId="26E0EF3B" w14:textId="64948BD1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120(Rev.1)</w:t>
            </w:r>
          </w:p>
        </w:tc>
      </w:tr>
      <w:tr w:rsidR="005D0CA8" w:rsidRPr="00506DEC" w14:paraId="0FBE2887" w14:textId="77777777" w:rsidTr="004F6ABA">
        <w:trPr>
          <w:jc w:val="center"/>
        </w:trPr>
        <w:tc>
          <w:tcPr>
            <w:tcW w:w="1982" w:type="dxa"/>
            <w:vAlign w:val="center"/>
          </w:tcPr>
          <w:p w14:paraId="3B32F67C" w14:textId="6A1469DA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P.1238-12</w:t>
            </w:r>
          </w:p>
        </w:tc>
        <w:tc>
          <w:tcPr>
            <w:tcW w:w="5812" w:type="dxa"/>
          </w:tcPr>
          <w:p w14:paraId="2D26C71E" w14:textId="31ABC14D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بيانات الانتشار وطرائق التنبؤ لتخطيط أنظمة الاتصالات الراديوية العاملة داخل المباني وشبكات المنطقة المحلية الراديوية العاملة في مدى الترددات بين </w:t>
            </w:r>
            <w:r w:rsidRPr="00506DEC">
              <w:t>MHz 300</w:t>
            </w:r>
            <w:r w:rsidRPr="00506DEC">
              <w:rPr>
                <w:rtl/>
              </w:rPr>
              <w:t xml:space="preserve"> و</w:t>
            </w:r>
            <w:r w:rsidRPr="00506DEC">
              <w:t>GHz 450</w:t>
            </w:r>
          </w:p>
        </w:tc>
        <w:tc>
          <w:tcPr>
            <w:tcW w:w="1835" w:type="dxa"/>
            <w:vAlign w:val="center"/>
          </w:tcPr>
          <w:p w14:paraId="43B19C18" w14:textId="6275E040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121(Rev.1)</w:t>
            </w:r>
          </w:p>
        </w:tc>
      </w:tr>
      <w:tr w:rsidR="005D0CA8" w:rsidRPr="00506DEC" w14:paraId="00E7F71E" w14:textId="77777777" w:rsidTr="004F6ABA">
        <w:trPr>
          <w:jc w:val="center"/>
        </w:trPr>
        <w:tc>
          <w:tcPr>
            <w:tcW w:w="1982" w:type="dxa"/>
            <w:vAlign w:val="center"/>
          </w:tcPr>
          <w:p w14:paraId="6BC6AE98" w14:textId="6FA74404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P.2001-5</w:t>
            </w:r>
          </w:p>
        </w:tc>
        <w:tc>
          <w:tcPr>
            <w:tcW w:w="5812" w:type="dxa"/>
          </w:tcPr>
          <w:p w14:paraId="4024E5D2" w14:textId="0E00A3B4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نموذج انتشار أرضي واسع المدى للأغراض العامة في مدى الترددات من </w:t>
            </w:r>
            <w:r w:rsidRPr="00506DEC">
              <w:t>MHz 30</w:t>
            </w:r>
            <w:r w:rsidRPr="00506DEC">
              <w:rPr>
                <w:rtl/>
              </w:rPr>
              <w:t xml:space="preserve"> إلى </w:t>
            </w:r>
            <w:r w:rsidRPr="00506DEC">
              <w:t>GHz 50</w:t>
            </w:r>
          </w:p>
        </w:tc>
        <w:tc>
          <w:tcPr>
            <w:tcW w:w="1835" w:type="dxa"/>
            <w:vAlign w:val="center"/>
          </w:tcPr>
          <w:p w14:paraId="629172A4" w14:textId="3EE6CEA1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122(Rev.1)</w:t>
            </w:r>
          </w:p>
        </w:tc>
      </w:tr>
      <w:tr w:rsidR="005D0CA8" w:rsidRPr="00506DEC" w14:paraId="3C3CBA01" w14:textId="77777777" w:rsidTr="004F6ABA">
        <w:trPr>
          <w:jc w:val="center"/>
        </w:trPr>
        <w:tc>
          <w:tcPr>
            <w:tcW w:w="1982" w:type="dxa"/>
            <w:vAlign w:val="center"/>
          </w:tcPr>
          <w:p w14:paraId="45A2E35A" w14:textId="54E533EA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P.1410-6</w:t>
            </w:r>
          </w:p>
        </w:tc>
        <w:tc>
          <w:tcPr>
            <w:tcW w:w="5812" w:type="dxa"/>
          </w:tcPr>
          <w:p w14:paraId="14F8CDD6" w14:textId="731807DC" w:rsidR="005D0CA8" w:rsidRPr="00506DEC" w:rsidRDefault="001C3338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بيانات</w:t>
            </w:r>
            <w:r w:rsidR="003935FF" w:rsidRPr="00506DEC">
              <w:rPr>
                <w:rtl/>
              </w:rPr>
              <w:t xml:space="preserve"> الانتشار وطرائق التنبؤ المطلوبة لتصميم أنظمة النفاذ الراديوية عريضة النطاق للأرض العاملة ف</w:t>
            </w:r>
            <w:r w:rsidR="00545CBD">
              <w:rPr>
                <w:rFonts w:hint="cs"/>
                <w:rtl/>
                <w:lang w:bidi="ar-EG"/>
              </w:rPr>
              <w:t>ي مدى الترددات</w:t>
            </w:r>
            <w:r w:rsidR="003935FF" w:rsidRPr="00506DEC">
              <w:rPr>
                <w:rtl/>
              </w:rPr>
              <w:t xml:space="preserve"> من 3 إلى </w:t>
            </w:r>
            <w:r w:rsidR="003935FF" w:rsidRPr="00506DEC">
              <w:t>GHz 60</w:t>
            </w:r>
          </w:p>
        </w:tc>
        <w:tc>
          <w:tcPr>
            <w:tcW w:w="1835" w:type="dxa"/>
            <w:vAlign w:val="center"/>
          </w:tcPr>
          <w:p w14:paraId="27FD51ED" w14:textId="6C939EFC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123(Rev.1)</w:t>
            </w:r>
          </w:p>
        </w:tc>
      </w:tr>
      <w:tr w:rsidR="005D0CA8" w:rsidRPr="00506DEC" w14:paraId="2A52297F" w14:textId="77777777" w:rsidTr="004F6ABA">
        <w:trPr>
          <w:jc w:val="center"/>
        </w:trPr>
        <w:tc>
          <w:tcPr>
            <w:tcW w:w="1982" w:type="dxa"/>
            <w:vAlign w:val="center"/>
          </w:tcPr>
          <w:p w14:paraId="3F9E76B5" w14:textId="07BEB789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P.1411-12</w:t>
            </w:r>
          </w:p>
        </w:tc>
        <w:tc>
          <w:tcPr>
            <w:tcW w:w="5812" w:type="dxa"/>
          </w:tcPr>
          <w:p w14:paraId="3D3CD08D" w14:textId="42B34B90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 xml:space="preserve">بيانات الانتشار وطرائق التنبؤ لتخطيط أنظمة الاتصالات الراديوية قصيرة المدى المعدة للعمل خارج المباني والشبكات المحلية الراديوية في مدى الترددات </w:t>
            </w:r>
            <w:r w:rsidR="00545CBD">
              <w:rPr>
                <w:rFonts w:hint="cs"/>
                <w:rtl/>
              </w:rPr>
              <w:t>من</w:t>
            </w:r>
            <w:r w:rsidRPr="00506DEC">
              <w:rPr>
                <w:rtl/>
              </w:rPr>
              <w:t xml:space="preserve"> </w:t>
            </w:r>
            <w:r w:rsidRPr="00506DEC">
              <w:t>MHz 300</w:t>
            </w:r>
            <w:r w:rsidRPr="00506DEC">
              <w:rPr>
                <w:rtl/>
              </w:rPr>
              <w:t xml:space="preserve"> </w:t>
            </w:r>
            <w:r w:rsidR="00545CBD">
              <w:rPr>
                <w:rFonts w:hint="cs"/>
                <w:rtl/>
              </w:rPr>
              <w:t xml:space="preserve">إلى </w:t>
            </w:r>
            <w:r w:rsidRPr="00506DEC">
              <w:t>GHz 100</w:t>
            </w:r>
          </w:p>
        </w:tc>
        <w:tc>
          <w:tcPr>
            <w:tcW w:w="1835" w:type="dxa"/>
            <w:vAlign w:val="center"/>
          </w:tcPr>
          <w:p w14:paraId="6119800C" w14:textId="1E95F07D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124(Rev.1)</w:t>
            </w:r>
          </w:p>
        </w:tc>
      </w:tr>
      <w:tr w:rsidR="005D0CA8" w:rsidRPr="00506DEC" w14:paraId="57A8C534" w14:textId="77777777" w:rsidTr="004F6ABA">
        <w:trPr>
          <w:jc w:val="center"/>
        </w:trPr>
        <w:tc>
          <w:tcPr>
            <w:tcW w:w="1982" w:type="dxa"/>
            <w:vAlign w:val="center"/>
          </w:tcPr>
          <w:p w14:paraId="06490793" w14:textId="52754185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</w:rPr>
            </w:pPr>
            <w:r w:rsidRPr="00506DEC">
              <w:t>P.1409-3</w:t>
            </w:r>
          </w:p>
        </w:tc>
        <w:tc>
          <w:tcPr>
            <w:tcW w:w="5812" w:type="dxa"/>
          </w:tcPr>
          <w:p w14:paraId="3AB4461B" w14:textId="1FB9322F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635917">
              <w:rPr>
                <w:rtl/>
              </w:rPr>
              <w:t xml:space="preserve">بيانات الانتشار وطرائق التنبؤ للأنظمة التي تستخدم محطات على منصات عالية الارتفاع وغيرها من المحطات المرفوعة في طبقة </w:t>
            </w:r>
            <w:proofErr w:type="spellStart"/>
            <w:r w:rsidRPr="00635917">
              <w:rPr>
                <w:rtl/>
              </w:rPr>
              <w:t>الاستراتوسفير</w:t>
            </w:r>
            <w:proofErr w:type="spellEnd"/>
            <w:r w:rsidRPr="00635917">
              <w:rPr>
                <w:rtl/>
              </w:rPr>
              <w:t xml:space="preserve"> عند الترددات التي تزيد عن </w:t>
            </w:r>
            <w:r w:rsidR="00545CBD" w:rsidRPr="00635917">
              <w:t>M</w:t>
            </w:r>
            <w:r w:rsidRPr="00635917">
              <w:t xml:space="preserve">Hz </w:t>
            </w:r>
            <w:r w:rsidR="00545CBD" w:rsidRPr="00635917">
              <w:t>700</w:t>
            </w:r>
            <w:r w:rsidRPr="00635917">
              <w:rPr>
                <w:rtl/>
              </w:rPr>
              <w:t xml:space="preserve"> تقريباً</w:t>
            </w:r>
          </w:p>
        </w:tc>
        <w:tc>
          <w:tcPr>
            <w:tcW w:w="1835" w:type="dxa"/>
            <w:vAlign w:val="center"/>
          </w:tcPr>
          <w:p w14:paraId="30F23A06" w14:textId="67E26499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highlight w:val="yellow"/>
                <w:lang w:val="en-GB"/>
              </w:rPr>
            </w:pPr>
            <w:r w:rsidRPr="00506DEC">
              <w:rPr>
                <w:bCs/>
              </w:rPr>
              <w:t>3/</w:t>
            </w:r>
            <w:r w:rsidRPr="00506DEC">
              <w:t>126(Rev.1)</w:t>
            </w:r>
          </w:p>
        </w:tc>
      </w:tr>
      <w:tr w:rsidR="005D0CA8" w:rsidRPr="00506DEC" w14:paraId="67A7453E" w14:textId="77777777" w:rsidTr="004F6ABA">
        <w:trPr>
          <w:jc w:val="center"/>
        </w:trPr>
        <w:tc>
          <w:tcPr>
            <w:tcW w:w="1982" w:type="dxa"/>
            <w:vAlign w:val="center"/>
          </w:tcPr>
          <w:p w14:paraId="59BE9B32" w14:textId="22E9337F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</w:pPr>
            <w:r w:rsidRPr="00506DEC">
              <w:t>P.1144-12</w:t>
            </w:r>
          </w:p>
        </w:tc>
        <w:tc>
          <w:tcPr>
            <w:tcW w:w="5812" w:type="dxa"/>
          </w:tcPr>
          <w:p w14:paraId="0054A3D3" w14:textId="49854A90" w:rsidR="005D0CA8" w:rsidRPr="00506DEC" w:rsidRDefault="003935FF" w:rsidP="00C10E03">
            <w:pPr>
              <w:pStyle w:val="Tabletexte"/>
              <w:spacing w:before="40" w:after="40" w:line="280" w:lineRule="exact"/>
              <w:rPr>
                <w:highlight w:val="yellow"/>
                <w:rtl/>
              </w:rPr>
            </w:pPr>
            <w:r w:rsidRPr="00506DEC">
              <w:rPr>
                <w:rtl/>
              </w:rPr>
              <w:t>دليل تطبيق أساليب الانتشار للجنة الدراسات 3 للاتصالات الراديوية</w:t>
            </w:r>
          </w:p>
        </w:tc>
        <w:tc>
          <w:tcPr>
            <w:tcW w:w="1835" w:type="dxa"/>
            <w:vAlign w:val="center"/>
          </w:tcPr>
          <w:p w14:paraId="4A1D7892" w14:textId="19BEB2F1" w:rsidR="005D0CA8" w:rsidRPr="00506DEC" w:rsidRDefault="005D0CA8" w:rsidP="00C10E03">
            <w:pPr>
              <w:pStyle w:val="Tabletexte"/>
              <w:spacing w:before="40" w:after="40" w:line="280" w:lineRule="exact"/>
              <w:jc w:val="center"/>
              <w:rPr>
                <w:bCs/>
              </w:rPr>
            </w:pPr>
            <w:r w:rsidRPr="00506DEC">
              <w:rPr>
                <w:bCs/>
              </w:rPr>
              <w:t>3/</w:t>
            </w:r>
            <w:r w:rsidRPr="00506DEC">
              <w:t>129(Rev.1)</w:t>
            </w:r>
          </w:p>
        </w:tc>
      </w:tr>
    </w:tbl>
    <w:p w14:paraId="1C642070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F00" w14:textId="77777777" w:rsidR="005D0CA8" w:rsidRDefault="005D0CA8" w:rsidP="006C3242">
      <w:pPr>
        <w:spacing w:before="0" w:line="240" w:lineRule="auto"/>
      </w:pPr>
      <w:r>
        <w:separator/>
      </w:r>
    </w:p>
  </w:endnote>
  <w:endnote w:type="continuationSeparator" w:id="0">
    <w:p w14:paraId="1D092B49" w14:textId="77777777" w:rsidR="005D0CA8" w:rsidRDefault="005D0CA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4810" w14:textId="77777777" w:rsidR="000E247D" w:rsidRDefault="000E2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C9F4" w14:textId="77777777" w:rsidR="000E247D" w:rsidRDefault="000E2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6D75" w14:textId="651AE892" w:rsidR="00FC09E8" w:rsidRPr="000E247D" w:rsidRDefault="000E247D" w:rsidP="000E247D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862DE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5B9BD5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5B9BD5" w:themeColor="accent1"/>
        <w:sz w:val="19"/>
        <w:szCs w:val="19"/>
        <w:lang w:val="en-GB"/>
      </w:rPr>
      <w:br/>
      <w:t>Tel</w:t>
    </w:r>
    <w:r>
      <w:rPr>
        <w:color w:val="5B9BD5" w:themeColor="accent1"/>
        <w:sz w:val="19"/>
        <w:szCs w:val="19"/>
        <w:lang w:val="en-GB"/>
      </w:rPr>
      <w:t>.</w:t>
    </w:r>
    <w:r w:rsidRPr="00862DE8">
      <w:rPr>
        <w:color w:val="5B9BD5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62DE8">
        <w:rPr>
          <w:rStyle w:val="Hyperlink"/>
          <w:sz w:val="19"/>
          <w:szCs w:val="19"/>
          <w:lang w:val="en-GB"/>
        </w:rPr>
        <w:t>www.itu.int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D96" w14:textId="77777777" w:rsidR="005D0CA8" w:rsidRDefault="005D0CA8" w:rsidP="006C3242">
      <w:pPr>
        <w:spacing w:before="0" w:line="240" w:lineRule="auto"/>
      </w:pPr>
      <w:r>
        <w:separator/>
      </w:r>
    </w:p>
  </w:footnote>
  <w:footnote w:type="continuationSeparator" w:id="0">
    <w:p w14:paraId="302A87C6" w14:textId="77777777" w:rsidR="005D0CA8" w:rsidRDefault="005D0CA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AA1A" w14:textId="77777777" w:rsidR="000E247D" w:rsidRDefault="000E2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512E" w14:textId="77777777" w:rsidR="00447F32" w:rsidRPr="000E247D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0E247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0E247D">
          <w:rPr>
            <w:rFonts w:cs="Calibri"/>
            <w:sz w:val="18"/>
            <w:szCs w:val="18"/>
          </w:rPr>
          <w:fldChar w:fldCharType="begin"/>
        </w:r>
        <w:r w:rsidR="00447F32" w:rsidRPr="000E247D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0E247D">
          <w:rPr>
            <w:rFonts w:cs="Calibri"/>
            <w:sz w:val="18"/>
            <w:szCs w:val="18"/>
          </w:rPr>
          <w:fldChar w:fldCharType="separate"/>
        </w:r>
        <w:r w:rsidR="00DC5FB0" w:rsidRPr="000E247D">
          <w:rPr>
            <w:rFonts w:cs="Calibri"/>
            <w:noProof/>
            <w:sz w:val="18"/>
            <w:szCs w:val="18"/>
          </w:rPr>
          <w:t>2</w:t>
        </w:r>
        <w:r w:rsidR="00447F32" w:rsidRPr="000E247D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0E247D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3D4E4D13" w14:textId="77777777" w:rsidTr="004C39C6">
      <w:tc>
        <w:tcPr>
          <w:tcW w:w="4814" w:type="dxa"/>
        </w:tcPr>
        <w:p w14:paraId="005AC1A2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39B0375" wp14:editId="1CE0A495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4C32424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7116A318" wp14:editId="0C7BCE0D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EFAB83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9550645">
    <w:abstractNumId w:val="9"/>
  </w:num>
  <w:num w:numId="2" w16cid:durableId="672413743">
    <w:abstractNumId w:val="7"/>
  </w:num>
  <w:num w:numId="3" w16cid:durableId="1839076305">
    <w:abstractNumId w:val="6"/>
  </w:num>
  <w:num w:numId="4" w16cid:durableId="1397434863">
    <w:abstractNumId w:val="5"/>
  </w:num>
  <w:num w:numId="5" w16cid:durableId="949118749">
    <w:abstractNumId w:val="4"/>
  </w:num>
  <w:num w:numId="6" w16cid:durableId="89275390">
    <w:abstractNumId w:val="8"/>
  </w:num>
  <w:num w:numId="7" w16cid:durableId="74329184">
    <w:abstractNumId w:val="3"/>
  </w:num>
  <w:num w:numId="8" w16cid:durableId="1591163820">
    <w:abstractNumId w:val="2"/>
  </w:num>
  <w:num w:numId="9" w16cid:durableId="337074439">
    <w:abstractNumId w:val="1"/>
  </w:num>
  <w:num w:numId="10" w16cid:durableId="1172914627">
    <w:abstractNumId w:val="0"/>
  </w:num>
  <w:num w:numId="11" w16cid:durableId="1017002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8"/>
    <w:rsid w:val="00000C0E"/>
    <w:rsid w:val="0006468A"/>
    <w:rsid w:val="00090574"/>
    <w:rsid w:val="000C1C0E"/>
    <w:rsid w:val="000C548A"/>
    <w:rsid w:val="000E247D"/>
    <w:rsid w:val="000F7BBE"/>
    <w:rsid w:val="00150DB9"/>
    <w:rsid w:val="001C0169"/>
    <w:rsid w:val="001C3338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2E3E"/>
    <w:rsid w:val="002E6541"/>
    <w:rsid w:val="00334924"/>
    <w:rsid w:val="003409BC"/>
    <w:rsid w:val="00357185"/>
    <w:rsid w:val="003704CA"/>
    <w:rsid w:val="00383829"/>
    <w:rsid w:val="003935FF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06DEC"/>
    <w:rsid w:val="00525DDD"/>
    <w:rsid w:val="005409AC"/>
    <w:rsid w:val="00545CBD"/>
    <w:rsid w:val="0055516A"/>
    <w:rsid w:val="0058491B"/>
    <w:rsid w:val="00592EA5"/>
    <w:rsid w:val="005A3170"/>
    <w:rsid w:val="005B3AFA"/>
    <w:rsid w:val="005D0CA8"/>
    <w:rsid w:val="00635917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11D6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10E03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77D0F"/>
    <w:rsid w:val="00DA1CF0"/>
    <w:rsid w:val="00DC1E02"/>
    <w:rsid w:val="00DC24B4"/>
    <w:rsid w:val="00DC5FB0"/>
    <w:rsid w:val="00DF16DC"/>
    <w:rsid w:val="00E30D61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571A6"/>
  <w15:chartTrackingRefBased/>
  <w15:docId w15:val="{A6864BE2-B247-4F0C-9AF0-A93283F7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5D0CA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0E247D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5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ADB8-B6C8-4F19-8DA8-B9664388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6</cp:revision>
  <dcterms:created xsi:type="dcterms:W3CDTF">2023-08-28T11:21:00Z</dcterms:created>
  <dcterms:modified xsi:type="dcterms:W3CDTF">2023-08-28T12:56:00Z</dcterms:modified>
</cp:coreProperties>
</file>