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8579B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18579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8579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18579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18579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18579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8579B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18579B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18579B">
              <w:rPr>
                <w:szCs w:val="24"/>
                <w:lang w:val="en-GB"/>
              </w:rPr>
              <w:t>Administrative Circular</w:t>
            </w:r>
          </w:p>
          <w:p w14:paraId="7EB1DA81" w14:textId="78CBD555" w:rsidR="00651777" w:rsidRPr="0018579B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8579B">
              <w:rPr>
                <w:b/>
                <w:bCs/>
                <w:szCs w:val="24"/>
                <w:lang w:val="en-GB"/>
              </w:rPr>
              <w:t>CACE</w:t>
            </w:r>
            <w:r w:rsidR="00D74BDE" w:rsidRPr="0018579B">
              <w:rPr>
                <w:b/>
                <w:bCs/>
                <w:szCs w:val="24"/>
                <w:lang w:val="en-GB"/>
              </w:rPr>
              <w:t>/</w:t>
            </w:r>
            <w:r w:rsidR="000B6E1F" w:rsidRPr="0018579B">
              <w:rPr>
                <w:b/>
                <w:bCs/>
                <w:szCs w:val="24"/>
                <w:lang w:val="en-GB"/>
              </w:rPr>
              <w:t>10</w:t>
            </w:r>
            <w:r w:rsidR="006A12BB" w:rsidRPr="0018579B">
              <w:rPr>
                <w:b/>
                <w:bCs/>
                <w:szCs w:val="24"/>
                <w:lang w:val="en-GB"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14:paraId="0818784F" w14:textId="3C0DF1BE" w:rsidR="00651777" w:rsidRPr="0018579B" w:rsidRDefault="00154AE7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4 December 2023</w:t>
            </w:r>
          </w:p>
        </w:tc>
      </w:tr>
      <w:tr w:rsidR="0037309C" w:rsidRPr="0018579B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18579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18579B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18579B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18579B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2EF1DA6B" w:rsidR="00D21694" w:rsidRPr="0018579B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18579B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18579B">
              <w:rPr>
                <w:b/>
                <w:bCs/>
                <w:lang w:val="en-GB"/>
              </w:rPr>
              <w:t>Radiocommunication Sector Members,</w:t>
            </w:r>
            <w:r w:rsidRPr="0018579B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A71CC5" w:rsidRPr="0018579B">
              <w:rPr>
                <w:b/>
                <w:bCs/>
                <w:lang w:val="en-GB"/>
              </w:rPr>
              <w:t>6</w:t>
            </w:r>
            <w:r w:rsidRPr="0018579B">
              <w:rPr>
                <w:b/>
                <w:bCs/>
                <w:lang w:val="en-GB"/>
              </w:rPr>
              <w:t xml:space="preserve"> and </w:t>
            </w:r>
            <w:r w:rsidRPr="0018579B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18579B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18579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18579B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18579B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18579B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18579B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18579B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3D900261" w:rsidR="002606E8" w:rsidRPr="00154AE7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18579B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FDD69CFB8F8543FFB0E3292DECCF018A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0B6E1F" w:rsidRPr="0018579B">
                  <w:rPr>
                    <w:b/>
                    <w:bCs/>
                    <w:lang w:val="en-GB"/>
                  </w:rPr>
                  <w:t>6 (Broadcasting Service)</w:t>
                </w:r>
              </w:sdtContent>
            </w:sdt>
          </w:p>
          <w:p w14:paraId="36965EB1" w14:textId="79C7BC4A" w:rsidR="002606E8" w:rsidRPr="0018579B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lang w:val="en-GB"/>
              </w:rPr>
            </w:pPr>
            <w:r w:rsidRPr="0018579B">
              <w:rPr>
                <w:b/>
                <w:bCs/>
                <w:lang w:val="en-GB"/>
              </w:rPr>
              <w:t>–</w:t>
            </w:r>
            <w:r w:rsidRPr="0018579B">
              <w:rPr>
                <w:b/>
                <w:bCs/>
                <w:lang w:val="en-GB"/>
              </w:rPr>
              <w:tab/>
              <w:t xml:space="preserve">Adoption of </w:t>
            </w:r>
            <w:r w:rsidR="00A71CC5" w:rsidRPr="0018579B">
              <w:rPr>
                <w:b/>
                <w:bCs/>
                <w:lang w:val="en-GB"/>
              </w:rPr>
              <w:t>1</w:t>
            </w:r>
            <w:r w:rsidRPr="0018579B">
              <w:rPr>
                <w:b/>
                <w:bCs/>
                <w:lang w:val="en-GB"/>
              </w:rPr>
              <w:t xml:space="preserve"> new and </w:t>
            </w:r>
            <w:r w:rsidR="00A71CC5" w:rsidRPr="0018579B">
              <w:rPr>
                <w:b/>
                <w:bCs/>
                <w:lang w:val="en-GB"/>
              </w:rPr>
              <w:t>8</w:t>
            </w:r>
            <w:r w:rsidRPr="0018579B">
              <w:rPr>
                <w:b/>
                <w:bCs/>
                <w:lang w:val="en-GB"/>
              </w:rPr>
              <w:t xml:space="preserve"> revised ITU-R Recommendations and their simultaneous approval by correspondence in accordance with § A2.6.2.4 of Resolution ITU-R 1-</w:t>
            </w:r>
            <w:r w:rsidR="006E48C0" w:rsidRPr="0018579B">
              <w:rPr>
                <w:b/>
                <w:bCs/>
                <w:lang w:val="en-GB"/>
              </w:rPr>
              <w:t>9</w:t>
            </w:r>
            <w:r w:rsidRPr="0018579B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  <w:p w14:paraId="41BB6C5D" w14:textId="056B5A3D" w:rsidR="00D74BDE" w:rsidRPr="0018579B" w:rsidRDefault="002606E8" w:rsidP="00E8129C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18579B">
              <w:rPr>
                <w:b/>
                <w:bCs/>
                <w:lang w:val="en-GB"/>
              </w:rPr>
              <w:t>–</w:t>
            </w:r>
            <w:r w:rsidRPr="0018579B">
              <w:rPr>
                <w:b/>
                <w:bCs/>
                <w:lang w:val="en-GB"/>
              </w:rPr>
              <w:tab/>
              <w:t xml:space="preserve">Suppression of </w:t>
            </w:r>
            <w:r w:rsidR="00A71CC5" w:rsidRPr="0018579B">
              <w:rPr>
                <w:b/>
                <w:bCs/>
                <w:lang w:val="en-GB"/>
              </w:rPr>
              <w:t>3</w:t>
            </w:r>
            <w:r w:rsidR="008B45CB">
              <w:rPr>
                <w:b/>
                <w:bCs/>
                <w:lang w:val="en-GB"/>
              </w:rPr>
              <w:t>9</w:t>
            </w:r>
            <w:r w:rsidR="00A71CC5" w:rsidRPr="0018579B">
              <w:rPr>
                <w:b/>
                <w:bCs/>
                <w:lang w:val="en-GB"/>
              </w:rPr>
              <w:t xml:space="preserve"> </w:t>
            </w:r>
            <w:r w:rsidRPr="0018579B">
              <w:rPr>
                <w:b/>
                <w:bCs/>
                <w:lang w:val="en-GB"/>
              </w:rPr>
              <w:t>ITU-R Recommendations</w:t>
            </w:r>
          </w:p>
        </w:tc>
      </w:tr>
      <w:tr w:rsidR="00D74BDE" w:rsidRPr="0018579B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18579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18579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18579B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18579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18579B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18579B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18579B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7A895913" w:rsidR="002606E8" w:rsidRPr="0018579B" w:rsidRDefault="002606E8" w:rsidP="00B65B1C">
      <w:pPr>
        <w:pStyle w:val="Normalaftertitle"/>
        <w:spacing w:before="360"/>
        <w:rPr>
          <w:lang w:val="en-GB"/>
        </w:rPr>
      </w:pPr>
      <w:r w:rsidRPr="0018579B">
        <w:rPr>
          <w:lang w:val="en-GB"/>
        </w:rPr>
        <w:t xml:space="preserve">By Administrative Circular </w:t>
      </w:r>
      <w:hyperlink r:id="rId8" w:history="1">
        <w:r w:rsidRPr="0018579B">
          <w:rPr>
            <w:rStyle w:val="Hyperlink"/>
            <w:lang w:val="en-GB"/>
          </w:rPr>
          <w:t>CACE/</w:t>
        </w:r>
        <w:r w:rsidR="00A71CC5" w:rsidRPr="0018579B">
          <w:rPr>
            <w:rStyle w:val="Hyperlink"/>
            <w:lang w:val="en-GB"/>
          </w:rPr>
          <w:t>1076</w:t>
        </w:r>
      </w:hyperlink>
      <w:r w:rsidRPr="0018579B">
        <w:rPr>
          <w:lang w:val="en-GB"/>
        </w:rPr>
        <w:t xml:space="preserve"> dated </w:t>
      </w:r>
      <w:r w:rsidR="00A71CC5" w:rsidRPr="0018579B">
        <w:rPr>
          <w:lang w:val="en-GB"/>
        </w:rPr>
        <w:t>22 September 2023</w:t>
      </w:r>
      <w:r w:rsidRPr="0018579B">
        <w:rPr>
          <w:lang w:val="en-GB"/>
        </w:rPr>
        <w:t xml:space="preserve">, </w:t>
      </w:r>
      <w:r w:rsidR="00A71CC5" w:rsidRPr="0018579B">
        <w:rPr>
          <w:lang w:val="en-GB"/>
        </w:rPr>
        <w:t>1</w:t>
      </w:r>
      <w:r w:rsidRPr="0018579B">
        <w:rPr>
          <w:lang w:val="en-GB"/>
        </w:rPr>
        <w:t xml:space="preserve"> draft new and </w:t>
      </w:r>
      <w:r w:rsidR="00A71CC5" w:rsidRPr="0018579B">
        <w:rPr>
          <w:lang w:val="en-GB"/>
        </w:rPr>
        <w:t>8</w:t>
      </w:r>
      <w:r w:rsidR="0057603A" w:rsidRPr="0018579B">
        <w:rPr>
          <w:lang w:val="en-GB"/>
        </w:rPr>
        <w:t> draft revised ITU</w:t>
      </w:r>
      <w:r w:rsidR="0057603A" w:rsidRPr="0018579B">
        <w:rPr>
          <w:lang w:val="en-GB"/>
        </w:rPr>
        <w:noBreakHyphen/>
      </w:r>
      <w:r w:rsidRPr="0018579B">
        <w:rPr>
          <w:lang w:val="en-GB"/>
        </w:rPr>
        <w:t>R Recommendations</w:t>
      </w:r>
      <w:r w:rsidR="0018579B">
        <w:rPr>
          <w:lang w:val="en-GB"/>
        </w:rPr>
        <w:t xml:space="preserve"> </w:t>
      </w:r>
      <w:r w:rsidRPr="0018579B">
        <w:rPr>
          <w:lang w:val="en-GB"/>
        </w:rPr>
        <w:t>were submitted for simultaneous adoption and approval by correspondence (PSAA), following the procedure of Resolution ITU</w:t>
      </w:r>
      <w:r w:rsidRPr="0018579B">
        <w:rPr>
          <w:lang w:val="en-GB"/>
        </w:rPr>
        <w:noBreakHyphen/>
        <w:t>R 1</w:t>
      </w:r>
      <w:r w:rsidRPr="0018579B">
        <w:rPr>
          <w:lang w:val="en-GB"/>
        </w:rPr>
        <w:noBreakHyphen/>
      </w:r>
      <w:r w:rsidR="006E48C0" w:rsidRPr="0018579B">
        <w:rPr>
          <w:lang w:val="en-GB"/>
        </w:rPr>
        <w:t>9</w:t>
      </w:r>
      <w:r w:rsidRPr="0018579B">
        <w:rPr>
          <w:lang w:val="en-GB"/>
        </w:rPr>
        <w:t xml:space="preserve"> (§ A2.6.2.4). In addition, the Study Group proposed the suppression of </w:t>
      </w:r>
      <w:r w:rsidR="00A71CC5" w:rsidRPr="0018579B">
        <w:rPr>
          <w:lang w:val="en-GB"/>
        </w:rPr>
        <w:t>3</w:t>
      </w:r>
      <w:r w:rsidR="008B45CB">
        <w:rPr>
          <w:lang w:val="en-GB"/>
        </w:rPr>
        <w:t>9</w:t>
      </w:r>
      <w:r w:rsidRPr="0018579B">
        <w:rPr>
          <w:lang w:val="en-GB"/>
        </w:rPr>
        <w:t xml:space="preserve"> ITU</w:t>
      </w:r>
      <w:r w:rsidR="0057603A" w:rsidRPr="0018579B">
        <w:rPr>
          <w:lang w:val="en-GB"/>
        </w:rPr>
        <w:noBreakHyphen/>
      </w:r>
      <w:r w:rsidRPr="0018579B">
        <w:rPr>
          <w:lang w:val="en-GB"/>
        </w:rPr>
        <w:t>R Recommendations.</w:t>
      </w:r>
    </w:p>
    <w:p w14:paraId="11171C83" w14:textId="509ADC85" w:rsidR="002606E8" w:rsidRPr="0018579B" w:rsidRDefault="002606E8" w:rsidP="002606E8">
      <w:pPr>
        <w:rPr>
          <w:lang w:val="en-GB"/>
        </w:rPr>
      </w:pPr>
      <w:r w:rsidRPr="0018579B">
        <w:rPr>
          <w:lang w:val="en-GB"/>
        </w:rPr>
        <w:t xml:space="preserve">The conditions governing this procedure were met on </w:t>
      </w:r>
      <w:r w:rsidR="00A71CC5" w:rsidRPr="0018579B">
        <w:rPr>
          <w:lang w:val="en-GB"/>
        </w:rPr>
        <w:t>22 November 2023</w:t>
      </w:r>
      <w:r w:rsidRPr="0018579B">
        <w:rPr>
          <w:lang w:val="en-GB"/>
        </w:rPr>
        <w:t>.</w:t>
      </w:r>
    </w:p>
    <w:p w14:paraId="3EAD89C2" w14:textId="4CA2BFBD" w:rsidR="002606E8" w:rsidRPr="0018579B" w:rsidRDefault="002606E8" w:rsidP="00EF5670">
      <w:pPr>
        <w:tabs>
          <w:tab w:val="left" w:pos="7938"/>
        </w:tabs>
        <w:rPr>
          <w:lang w:val="en-GB"/>
        </w:rPr>
      </w:pPr>
      <w:r w:rsidRPr="0018579B">
        <w:rPr>
          <w:lang w:val="en-GB"/>
        </w:rPr>
        <w:t>The approved Recommendations will be published by the</w:t>
      </w:r>
      <w:r w:rsidR="00EF5670" w:rsidRPr="0018579B">
        <w:rPr>
          <w:lang w:val="en-GB"/>
        </w:rPr>
        <w:t xml:space="preserve"> </w:t>
      </w:r>
      <w:r w:rsidRPr="0018579B">
        <w:rPr>
          <w:lang w:val="en-GB"/>
        </w:rPr>
        <w:t>ITU and Annex 1</w:t>
      </w:r>
      <w:r w:rsidR="00A71CC5" w:rsidRPr="0018579B">
        <w:rPr>
          <w:lang w:val="en-GB"/>
        </w:rPr>
        <w:t xml:space="preserve"> </w:t>
      </w:r>
      <w:r w:rsidRPr="0018579B">
        <w:rPr>
          <w:lang w:val="en-GB"/>
        </w:rPr>
        <w:t>to this Circular provides their titles, with the assigned numbers. Annex 2 provides the list of suppressed Recommendations.</w:t>
      </w:r>
    </w:p>
    <w:p w14:paraId="228AABD9" w14:textId="77777777" w:rsidR="002606E8" w:rsidRPr="0018579B" w:rsidRDefault="002606E8" w:rsidP="00BE7892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8579B">
        <w:rPr>
          <w:szCs w:val="24"/>
          <w:lang w:val="en-GB"/>
        </w:rPr>
        <w:t>Mario Maniewicz</w:t>
      </w:r>
      <w:r w:rsidR="00E20932" w:rsidRPr="0018579B">
        <w:rPr>
          <w:szCs w:val="24"/>
          <w:lang w:val="en-GB"/>
        </w:rPr>
        <w:br/>
      </w:r>
      <w:r w:rsidRPr="0018579B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3A7CABA2" w:rsidR="002606E8" w:rsidRPr="0018579B" w:rsidRDefault="002606E8" w:rsidP="00B4672D">
      <w:pPr>
        <w:tabs>
          <w:tab w:val="left" w:pos="4820"/>
        </w:tabs>
        <w:spacing w:before="1560"/>
        <w:rPr>
          <w:u w:val="single"/>
          <w:lang w:val="en-GB"/>
        </w:rPr>
      </w:pPr>
      <w:r w:rsidRPr="0018579B">
        <w:rPr>
          <w:b/>
          <w:lang w:val="en-GB"/>
        </w:rPr>
        <w:t>Annexes:</w:t>
      </w:r>
      <w:r w:rsidR="00B65B1C" w:rsidRPr="0018579B">
        <w:rPr>
          <w:lang w:val="en-GB"/>
        </w:rPr>
        <w:t xml:space="preserve">  </w:t>
      </w:r>
      <w:r w:rsidR="00A71CC5" w:rsidRPr="0018579B">
        <w:rPr>
          <w:lang w:val="en-GB"/>
        </w:rPr>
        <w:t>2</w:t>
      </w:r>
    </w:p>
    <w:p w14:paraId="47FD6074" w14:textId="77777777" w:rsidR="004C19C1" w:rsidRPr="0018579B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18579B">
        <w:rPr>
          <w:rFonts w:asciiTheme="minorHAnsi" w:hAnsiTheme="minorHAnsi" w:cstheme="minorHAnsi"/>
        </w:rPr>
        <w:br w:type="page"/>
      </w:r>
    </w:p>
    <w:p w14:paraId="5E6A1B61" w14:textId="56EF20CE" w:rsidR="002606E8" w:rsidRPr="0018579B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18579B">
        <w:rPr>
          <w:rFonts w:asciiTheme="minorHAnsi" w:hAnsiTheme="minorHAnsi" w:cstheme="minorHAnsi"/>
        </w:rPr>
        <w:lastRenderedPageBreak/>
        <w:t>Annex 1</w:t>
      </w:r>
      <w:r w:rsidR="00E20932" w:rsidRPr="0018579B">
        <w:rPr>
          <w:rFonts w:asciiTheme="minorHAnsi" w:hAnsiTheme="minorHAnsi" w:cstheme="minorHAnsi"/>
        </w:rPr>
        <w:br/>
      </w:r>
      <w:r w:rsidR="00E20932" w:rsidRPr="0018579B">
        <w:rPr>
          <w:rFonts w:asciiTheme="minorHAnsi" w:hAnsiTheme="minorHAnsi" w:cstheme="minorHAnsi"/>
        </w:rPr>
        <w:br/>
      </w:r>
      <w:r w:rsidRPr="0018579B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671"/>
        <w:gridCol w:w="1842"/>
      </w:tblGrid>
      <w:tr w:rsidR="00F06137" w:rsidRPr="0018579B" w14:paraId="361068AA" w14:textId="77777777" w:rsidTr="0018579B">
        <w:trPr>
          <w:jc w:val="center"/>
        </w:trPr>
        <w:tc>
          <w:tcPr>
            <w:tcW w:w="1980" w:type="dxa"/>
            <w:vAlign w:val="center"/>
          </w:tcPr>
          <w:p w14:paraId="27A93EE4" w14:textId="77777777" w:rsidR="00F06137" w:rsidRPr="00F426D3" w:rsidRDefault="00F06137" w:rsidP="0018579B">
            <w:pPr>
              <w:pStyle w:val="Tablehead"/>
              <w:rPr>
                <w:lang w:val="en-GB"/>
              </w:rPr>
            </w:pPr>
            <w:r w:rsidRPr="00F426D3">
              <w:rPr>
                <w:lang w:val="en-GB"/>
              </w:rPr>
              <w:t>Recommendation</w:t>
            </w:r>
            <w:r w:rsidRPr="00F426D3">
              <w:rPr>
                <w:lang w:val="en-GB"/>
              </w:rPr>
              <w:br/>
              <w:t>ITU-R</w:t>
            </w:r>
          </w:p>
        </w:tc>
        <w:tc>
          <w:tcPr>
            <w:tcW w:w="5671" w:type="dxa"/>
            <w:vAlign w:val="center"/>
          </w:tcPr>
          <w:p w14:paraId="22DE84D3" w14:textId="77777777" w:rsidR="00F06137" w:rsidRPr="00F426D3" w:rsidRDefault="00F06137" w:rsidP="0018579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F426D3">
              <w:rPr>
                <w:rFonts w:asciiTheme="minorHAnsi" w:hAnsiTheme="minorHAnsi" w:cstheme="minorHAnsi"/>
                <w:lang w:val="en-GB"/>
              </w:rPr>
              <w:t xml:space="preserve">Title </w:t>
            </w:r>
          </w:p>
        </w:tc>
        <w:tc>
          <w:tcPr>
            <w:tcW w:w="1842" w:type="dxa"/>
            <w:vAlign w:val="center"/>
          </w:tcPr>
          <w:p w14:paraId="4D9A5DE1" w14:textId="77777777" w:rsidR="00F06137" w:rsidRPr="00F426D3" w:rsidRDefault="00F06137" w:rsidP="0018579B">
            <w:pPr>
              <w:pStyle w:val="Tablehead"/>
              <w:rPr>
                <w:lang w:val="en-GB"/>
              </w:rPr>
            </w:pPr>
            <w:r w:rsidRPr="00F426D3">
              <w:rPr>
                <w:lang w:val="en-GB"/>
              </w:rPr>
              <w:t>Doc. No.</w:t>
            </w:r>
          </w:p>
        </w:tc>
      </w:tr>
      <w:tr w:rsidR="00F06137" w:rsidRPr="0018579B" w14:paraId="32BDF6E6" w14:textId="77777777" w:rsidTr="0018579B">
        <w:trPr>
          <w:jc w:val="center"/>
        </w:trPr>
        <w:tc>
          <w:tcPr>
            <w:tcW w:w="1980" w:type="dxa"/>
            <w:vAlign w:val="center"/>
          </w:tcPr>
          <w:p w14:paraId="2E8C1920" w14:textId="7E0DB7EB" w:rsidR="00F06137" w:rsidRPr="0018579B" w:rsidRDefault="00A71CC5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BT.2163</w:t>
            </w:r>
          </w:p>
        </w:tc>
        <w:tc>
          <w:tcPr>
            <w:tcW w:w="5671" w:type="dxa"/>
            <w:vAlign w:val="center"/>
          </w:tcPr>
          <w:p w14:paraId="4FACB285" w14:textId="0051DD17" w:rsidR="00F06137" w:rsidRPr="0018579B" w:rsidRDefault="00A71CC5" w:rsidP="0018579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18579B">
              <w:rPr>
                <w:rFonts w:asciiTheme="minorHAnsi" w:hAnsiTheme="minorHAnsi" w:cstheme="minorHAnsi"/>
              </w:rPr>
              <w:t>Objective measurement algorithm for evaluation of the brightness of high dynamic range television</w:t>
            </w:r>
          </w:p>
        </w:tc>
        <w:tc>
          <w:tcPr>
            <w:tcW w:w="1842" w:type="dxa"/>
            <w:vAlign w:val="center"/>
          </w:tcPr>
          <w:p w14:paraId="2F49869D" w14:textId="0FDFA9DD" w:rsidR="00F06137" w:rsidRPr="0018579B" w:rsidRDefault="006A12BB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</w:t>
            </w:r>
            <w:r w:rsidR="00A71CC5" w:rsidRPr="0018579B">
              <w:rPr>
                <w:lang w:val="en-GB"/>
              </w:rPr>
              <w:t>/372</w:t>
            </w:r>
            <w:r w:rsidR="00F06137" w:rsidRPr="0018579B">
              <w:rPr>
                <w:lang w:val="en-GB"/>
              </w:rPr>
              <w:t>(Rev.1)</w:t>
            </w:r>
          </w:p>
        </w:tc>
      </w:tr>
      <w:tr w:rsidR="00F06137" w:rsidRPr="0018579B" w14:paraId="086D5D7F" w14:textId="77777777" w:rsidTr="0018579B">
        <w:trPr>
          <w:jc w:val="center"/>
        </w:trPr>
        <w:tc>
          <w:tcPr>
            <w:tcW w:w="1980" w:type="dxa"/>
            <w:vAlign w:val="center"/>
          </w:tcPr>
          <w:p w14:paraId="3CB5A26F" w14:textId="1C3B5404" w:rsidR="00F06137" w:rsidRPr="0018579B" w:rsidRDefault="00470C24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BS.1909-</w:t>
            </w:r>
            <w:r w:rsidR="0050208F">
              <w:rPr>
                <w:bCs/>
                <w:lang w:val="en-GB"/>
              </w:rPr>
              <w:t>1</w:t>
            </w:r>
          </w:p>
        </w:tc>
        <w:tc>
          <w:tcPr>
            <w:tcW w:w="5671" w:type="dxa"/>
            <w:vAlign w:val="center"/>
          </w:tcPr>
          <w:p w14:paraId="1F253DBD" w14:textId="3C756FE1" w:rsidR="00F06137" w:rsidRPr="0018579B" w:rsidRDefault="00470C24" w:rsidP="0018579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18579B">
              <w:rPr>
                <w:rFonts w:asciiTheme="minorHAnsi" w:hAnsiTheme="minorHAnsi" w:cstheme="minorHAnsi"/>
                <w:lang w:val="en-GB"/>
              </w:rPr>
              <w:t>Performance requirements for an advanced</w:t>
            </w:r>
            <w:r w:rsidR="008B45C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8579B">
              <w:rPr>
                <w:rFonts w:asciiTheme="minorHAnsi" w:hAnsiTheme="minorHAnsi" w:cstheme="minorHAnsi"/>
                <w:lang w:val="en-GB"/>
              </w:rPr>
              <w:t>sound system for use with or without accompanying picture</w:t>
            </w:r>
          </w:p>
        </w:tc>
        <w:tc>
          <w:tcPr>
            <w:tcW w:w="1842" w:type="dxa"/>
            <w:vAlign w:val="center"/>
          </w:tcPr>
          <w:p w14:paraId="72BE4516" w14:textId="24A4D484" w:rsidR="00F06137" w:rsidRPr="0018579B" w:rsidRDefault="00470C24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6/362</w:t>
            </w:r>
          </w:p>
        </w:tc>
      </w:tr>
      <w:tr w:rsidR="00470C24" w:rsidRPr="0018579B" w14:paraId="6F6C4FA6" w14:textId="77777777" w:rsidTr="0018579B">
        <w:trPr>
          <w:jc w:val="center"/>
        </w:trPr>
        <w:tc>
          <w:tcPr>
            <w:tcW w:w="1980" w:type="dxa"/>
            <w:vAlign w:val="center"/>
          </w:tcPr>
          <w:p w14:paraId="35EF12A7" w14:textId="2B12EC0E" w:rsidR="00470C24" w:rsidRPr="0018579B" w:rsidRDefault="00470C24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BS.1770-</w:t>
            </w:r>
            <w:r w:rsidR="0050208F">
              <w:rPr>
                <w:bCs/>
                <w:lang w:val="en-GB"/>
              </w:rPr>
              <w:t>5</w:t>
            </w:r>
          </w:p>
        </w:tc>
        <w:tc>
          <w:tcPr>
            <w:tcW w:w="5671" w:type="dxa"/>
            <w:vAlign w:val="center"/>
          </w:tcPr>
          <w:p w14:paraId="2FAB70E1" w14:textId="01F9B485" w:rsidR="00470C24" w:rsidRPr="0018579B" w:rsidRDefault="00470C24" w:rsidP="0018579B">
            <w:pPr>
              <w:pStyle w:val="Tabletext"/>
              <w:rPr>
                <w:rFonts w:asciiTheme="minorHAnsi" w:hAnsiTheme="minorHAnsi" w:cstheme="minorHAnsi"/>
                <w:b/>
                <w:lang w:val="en-GB"/>
              </w:rPr>
            </w:pP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Algorithms to measure audio programme loudness and true-peak audio level</w:t>
            </w:r>
          </w:p>
        </w:tc>
        <w:tc>
          <w:tcPr>
            <w:tcW w:w="1842" w:type="dxa"/>
            <w:vAlign w:val="center"/>
          </w:tcPr>
          <w:p w14:paraId="5F1623E7" w14:textId="6325E222" w:rsidR="00470C24" w:rsidRPr="0018579B" w:rsidRDefault="006A12BB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</w:t>
            </w:r>
            <w:r w:rsidR="00470C24" w:rsidRPr="0018579B">
              <w:rPr>
                <w:lang w:val="en-GB"/>
              </w:rPr>
              <w:t>/363</w:t>
            </w:r>
          </w:p>
        </w:tc>
      </w:tr>
      <w:tr w:rsidR="00470C24" w:rsidRPr="0018579B" w14:paraId="6FA88F8C" w14:textId="77777777" w:rsidTr="0018579B">
        <w:trPr>
          <w:jc w:val="center"/>
        </w:trPr>
        <w:tc>
          <w:tcPr>
            <w:tcW w:w="1980" w:type="dxa"/>
            <w:vAlign w:val="center"/>
          </w:tcPr>
          <w:p w14:paraId="5EE8B4B2" w14:textId="0FF69D52" w:rsidR="00470C24" w:rsidRPr="0018579B" w:rsidRDefault="00470C24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BS.1864-</w:t>
            </w:r>
            <w:r w:rsidR="0050208F">
              <w:rPr>
                <w:bCs/>
                <w:lang w:val="en-GB"/>
              </w:rPr>
              <w:t>1</w:t>
            </w:r>
          </w:p>
        </w:tc>
        <w:tc>
          <w:tcPr>
            <w:tcW w:w="5671" w:type="dxa"/>
            <w:vAlign w:val="center"/>
          </w:tcPr>
          <w:p w14:paraId="2068ECFA" w14:textId="36C0FB8F" w:rsidR="00470C24" w:rsidRPr="0018579B" w:rsidRDefault="00470C24" w:rsidP="0018579B">
            <w:pPr>
              <w:pStyle w:val="Tabletext"/>
              <w:rPr>
                <w:rFonts w:asciiTheme="minorHAnsi" w:hAnsiTheme="minorHAnsi" w:cstheme="minorHAnsi"/>
                <w:b/>
                <w:lang w:val="en-GB"/>
              </w:rPr>
            </w:pP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Operational practices for loudness in the international exchange</w:t>
            </w: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br/>
              <w:t>of digital television programmes</w:t>
            </w:r>
          </w:p>
        </w:tc>
        <w:tc>
          <w:tcPr>
            <w:tcW w:w="1842" w:type="dxa"/>
            <w:vAlign w:val="center"/>
          </w:tcPr>
          <w:p w14:paraId="74580444" w14:textId="21B531B9" w:rsidR="00470C24" w:rsidRPr="0018579B" w:rsidRDefault="006A12BB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</w:t>
            </w:r>
            <w:r w:rsidR="00470C24" w:rsidRPr="0018579B">
              <w:rPr>
                <w:lang w:val="en-GB"/>
              </w:rPr>
              <w:t>/364</w:t>
            </w:r>
          </w:p>
        </w:tc>
      </w:tr>
      <w:tr w:rsidR="00470C24" w:rsidRPr="0018579B" w14:paraId="6AC0F0A0" w14:textId="77777777" w:rsidTr="0018579B">
        <w:trPr>
          <w:jc w:val="center"/>
        </w:trPr>
        <w:tc>
          <w:tcPr>
            <w:tcW w:w="1980" w:type="dxa"/>
            <w:vAlign w:val="center"/>
          </w:tcPr>
          <w:p w14:paraId="1B3B3007" w14:textId="02FE0A2A" w:rsidR="00470C24" w:rsidRPr="0018579B" w:rsidRDefault="00470C24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BT.1702-</w:t>
            </w:r>
            <w:r w:rsidR="0050208F">
              <w:rPr>
                <w:bCs/>
                <w:lang w:val="en-GB"/>
              </w:rPr>
              <w:t>3</w:t>
            </w:r>
          </w:p>
        </w:tc>
        <w:tc>
          <w:tcPr>
            <w:tcW w:w="5671" w:type="dxa"/>
            <w:vAlign w:val="center"/>
          </w:tcPr>
          <w:p w14:paraId="48AE3231" w14:textId="6D3BF549" w:rsidR="00470C24" w:rsidRPr="0018579B" w:rsidRDefault="00470C24" w:rsidP="0018579B">
            <w:pPr>
              <w:pStyle w:val="Tabletext"/>
              <w:rPr>
                <w:rFonts w:asciiTheme="minorHAnsi" w:hAnsiTheme="minorHAnsi" w:cstheme="minorHAnsi"/>
                <w:b/>
                <w:lang w:val="en-GB"/>
              </w:rPr>
            </w:pP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Guidance for the reduction of photosensitive</w:t>
            </w:r>
            <w:r w:rsidR="0050208F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 xml:space="preserve"> epileptic seizures caused by television</w:t>
            </w:r>
          </w:p>
        </w:tc>
        <w:tc>
          <w:tcPr>
            <w:tcW w:w="1842" w:type="dxa"/>
            <w:vAlign w:val="center"/>
          </w:tcPr>
          <w:p w14:paraId="5DC85DBC" w14:textId="12CF80CC" w:rsidR="00470C24" w:rsidRPr="0018579B" w:rsidRDefault="00470C24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6/365(Rev.1)</w:t>
            </w:r>
          </w:p>
        </w:tc>
      </w:tr>
      <w:tr w:rsidR="00470C24" w:rsidRPr="0018579B" w14:paraId="28C267A9" w14:textId="77777777" w:rsidTr="0018579B">
        <w:trPr>
          <w:jc w:val="center"/>
        </w:trPr>
        <w:tc>
          <w:tcPr>
            <w:tcW w:w="1980" w:type="dxa"/>
            <w:vAlign w:val="center"/>
          </w:tcPr>
          <w:p w14:paraId="6783181D" w14:textId="66D8A9A6" w:rsidR="00470C24" w:rsidRPr="0018579B" w:rsidRDefault="00470C24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BS.2127-</w:t>
            </w:r>
            <w:r w:rsidR="006A5858">
              <w:rPr>
                <w:bCs/>
                <w:lang w:val="en-GB"/>
              </w:rPr>
              <w:t>1</w:t>
            </w:r>
          </w:p>
        </w:tc>
        <w:tc>
          <w:tcPr>
            <w:tcW w:w="5671" w:type="dxa"/>
            <w:vAlign w:val="center"/>
          </w:tcPr>
          <w:p w14:paraId="2B410E6B" w14:textId="2180949E" w:rsidR="00470C24" w:rsidRPr="0018579B" w:rsidRDefault="00470C24" w:rsidP="0018579B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Audio Definition Model renderer for advanced sound systems</w:t>
            </w:r>
          </w:p>
        </w:tc>
        <w:tc>
          <w:tcPr>
            <w:tcW w:w="1842" w:type="dxa"/>
            <w:vAlign w:val="center"/>
          </w:tcPr>
          <w:p w14:paraId="79D2D857" w14:textId="3D8CD6AB" w:rsidR="00470C24" w:rsidRPr="0018579B" w:rsidRDefault="00470C24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6/371</w:t>
            </w:r>
          </w:p>
        </w:tc>
      </w:tr>
      <w:tr w:rsidR="00470C24" w:rsidRPr="0018579B" w14:paraId="1DDF1A67" w14:textId="77777777" w:rsidTr="0018579B">
        <w:trPr>
          <w:jc w:val="center"/>
        </w:trPr>
        <w:tc>
          <w:tcPr>
            <w:tcW w:w="1980" w:type="dxa"/>
            <w:vAlign w:val="center"/>
          </w:tcPr>
          <w:p w14:paraId="04429D0B" w14:textId="20F12E95" w:rsidR="00470C24" w:rsidRPr="0018579B" w:rsidRDefault="00470C24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BS.1615-</w:t>
            </w:r>
            <w:r w:rsidR="006A5858">
              <w:rPr>
                <w:bCs/>
                <w:lang w:val="en-GB"/>
              </w:rPr>
              <w:t>3</w:t>
            </w:r>
          </w:p>
        </w:tc>
        <w:tc>
          <w:tcPr>
            <w:tcW w:w="5671" w:type="dxa"/>
            <w:vAlign w:val="center"/>
          </w:tcPr>
          <w:p w14:paraId="0A8F6F23" w14:textId="05A3CE21" w:rsidR="00470C24" w:rsidRPr="0018579B" w:rsidRDefault="00470C24" w:rsidP="0018579B">
            <w:pPr>
              <w:pStyle w:val="Tabletext"/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</w:pP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Planning parameters for digital sound broadcasting</w:t>
            </w:r>
            <w:r w:rsid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 xml:space="preserve"> </w:t>
            </w: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at frequencies below 30 MHz</w:t>
            </w:r>
          </w:p>
        </w:tc>
        <w:tc>
          <w:tcPr>
            <w:tcW w:w="1842" w:type="dxa"/>
            <w:vAlign w:val="center"/>
          </w:tcPr>
          <w:p w14:paraId="3BA757C6" w14:textId="4FA7A191" w:rsidR="00470C24" w:rsidRPr="0018579B" w:rsidRDefault="00470C24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6/375</w:t>
            </w:r>
          </w:p>
        </w:tc>
      </w:tr>
      <w:tr w:rsidR="00470C24" w:rsidRPr="0018579B" w14:paraId="3351A1A5" w14:textId="77777777" w:rsidTr="0018579B">
        <w:trPr>
          <w:jc w:val="center"/>
        </w:trPr>
        <w:tc>
          <w:tcPr>
            <w:tcW w:w="1980" w:type="dxa"/>
            <w:vAlign w:val="center"/>
          </w:tcPr>
          <w:p w14:paraId="3FDA178C" w14:textId="5F94DC79" w:rsidR="00470C24" w:rsidRPr="0018579B" w:rsidRDefault="00470C24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BT.1775-</w:t>
            </w:r>
            <w:r w:rsidR="006A5858">
              <w:rPr>
                <w:bCs/>
                <w:lang w:val="en-GB"/>
              </w:rPr>
              <w:t>1</w:t>
            </w:r>
          </w:p>
        </w:tc>
        <w:tc>
          <w:tcPr>
            <w:tcW w:w="5671" w:type="dxa"/>
            <w:vAlign w:val="center"/>
          </w:tcPr>
          <w:p w14:paraId="2CC621D7" w14:textId="1B4891F8" w:rsidR="00470C24" w:rsidRPr="0018579B" w:rsidRDefault="00470C24" w:rsidP="0018579B">
            <w:pPr>
              <w:pStyle w:val="Tabletext"/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</w:pP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File format with editing capability, for the exchange of metadata, audio,</w:t>
            </w:r>
            <w:r w:rsid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 xml:space="preserve"> </w:t>
            </w: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video, data essence and ancillary data for use in broadcasting</w:t>
            </w:r>
          </w:p>
        </w:tc>
        <w:tc>
          <w:tcPr>
            <w:tcW w:w="1842" w:type="dxa"/>
            <w:vAlign w:val="center"/>
          </w:tcPr>
          <w:p w14:paraId="480CEFA0" w14:textId="449B00BE" w:rsidR="00470C24" w:rsidRPr="0018579B" w:rsidRDefault="00470C24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6/390</w:t>
            </w:r>
          </w:p>
        </w:tc>
      </w:tr>
      <w:tr w:rsidR="00470C24" w:rsidRPr="0018579B" w14:paraId="2EDE2525" w14:textId="77777777" w:rsidTr="0018579B">
        <w:trPr>
          <w:jc w:val="center"/>
        </w:trPr>
        <w:tc>
          <w:tcPr>
            <w:tcW w:w="1980" w:type="dxa"/>
            <w:vAlign w:val="center"/>
          </w:tcPr>
          <w:p w14:paraId="7100E1A1" w14:textId="6CDAFFB2" w:rsidR="00470C24" w:rsidRPr="0018579B" w:rsidRDefault="00470C24" w:rsidP="0018579B">
            <w:pPr>
              <w:pStyle w:val="Tabletext"/>
              <w:jc w:val="center"/>
              <w:rPr>
                <w:bCs/>
                <w:lang w:val="en-GB"/>
              </w:rPr>
            </w:pPr>
            <w:r w:rsidRPr="0018579B">
              <w:rPr>
                <w:bCs/>
                <w:lang w:val="en-GB"/>
              </w:rPr>
              <w:t>BT.2074-</w:t>
            </w:r>
            <w:r w:rsidR="006A5858">
              <w:rPr>
                <w:bCs/>
                <w:lang w:val="en-GB"/>
              </w:rPr>
              <w:t>2</w:t>
            </w:r>
          </w:p>
        </w:tc>
        <w:tc>
          <w:tcPr>
            <w:tcW w:w="5671" w:type="dxa"/>
            <w:vAlign w:val="center"/>
          </w:tcPr>
          <w:p w14:paraId="49DCC56A" w14:textId="4A14961C" w:rsidR="00470C24" w:rsidRPr="0018579B" w:rsidRDefault="00470C24" w:rsidP="0018579B">
            <w:pPr>
              <w:pStyle w:val="Tabletext"/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</w:pPr>
            <w:r w:rsidRPr="0018579B">
              <w:rPr>
                <w:rStyle w:val="RectitleChar"/>
                <w:rFonts w:asciiTheme="minorHAnsi" w:eastAsia="MS Mincho" w:hAnsiTheme="minorHAnsi" w:cstheme="minorHAnsi"/>
                <w:b w:val="0"/>
                <w:sz w:val="20"/>
                <w:szCs w:val="20"/>
                <w:lang w:val="en-GB"/>
              </w:rPr>
              <w:t>Service configuration, media transport protocol, and signalling information for MMT-based broadcasting systems</w:t>
            </w:r>
          </w:p>
        </w:tc>
        <w:tc>
          <w:tcPr>
            <w:tcW w:w="1842" w:type="dxa"/>
            <w:vAlign w:val="center"/>
          </w:tcPr>
          <w:p w14:paraId="358E4AF3" w14:textId="244420CC" w:rsidR="00470C24" w:rsidRPr="0018579B" w:rsidRDefault="00470C24" w:rsidP="0018579B">
            <w:pPr>
              <w:pStyle w:val="Tabletext"/>
              <w:jc w:val="center"/>
              <w:rPr>
                <w:lang w:val="en-GB"/>
              </w:rPr>
            </w:pPr>
            <w:r w:rsidRPr="0018579B">
              <w:rPr>
                <w:lang w:val="en-GB"/>
              </w:rPr>
              <w:t>6/393(Rev.1)</w:t>
            </w:r>
          </w:p>
        </w:tc>
      </w:tr>
    </w:tbl>
    <w:p w14:paraId="66A89864" w14:textId="77777777" w:rsidR="00DC0D4A" w:rsidRPr="0018579B" w:rsidRDefault="00DC0D4A" w:rsidP="00B65B1C">
      <w:pPr>
        <w:rPr>
          <w:lang w:val="en-GB"/>
        </w:rPr>
      </w:pPr>
    </w:p>
    <w:p w14:paraId="6CEB2A90" w14:textId="77777777" w:rsidR="00DC0D4A" w:rsidRPr="0018579B" w:rsidRDefault="00DC0D4A" w:rsidP="00B65B1C">
      <w:pPr>
        <w:rPr>
          <w:lang w:val="en-GB"/>
        </w:rPr>
      </w:pPr>
    </w:p>
    <w:p w14:paraId="14CCC848" w14:textId="6CCFF23E" w:rsidR="002606E8" w:rsidRPr="0018579B" w:rsidRDefault="002606E8" w:rsidP="00B65B1C">
      <w:pPr>
        <w:pStyle w:val="AnnexNotitle0"/>
        <w:spacing w:after="480"/>
        <w:rPr>
          <w:rFonts w:asciiTheme="minorHAnsi" w:hAnsiTheme="minorHAnsi" w:cstheme="minorHAnsi"/>
        </w:rPr>
      </w:pPr>
      <w:r w:rsidRPr="0018579B">
        <w:rPr>
          <w:rFonts w:asciiTheme="minorHAnsi" w:hAnsiTheme="minorHAnsi" w:cstheme="minorHAnsi"/>
          <w:bCs/>
        </w:rPr>
        <w:t>Annex 2</w:t>
      </w:r>
      <w:r w:rsidRPr="0018579B">
        <w:rPr>
          <w:rFonts w:asciiTheme="minorHAnsi" w:hAnsiTheme="minorHAnsi" w:cstheme="minorHAnsi"/>
          <w:bCs/>
        </w:rPr>
        <w:br/>
      </w:r>
      <w:r w:rsidRPr="0018579B">
        <w:rPr>
          <w:rFonts w:asciiTheme="minorHAnsi" w:hAnsiTheme="minorHAnsi" w:cstheme="minorHAnsi"/>
          <w:bCs/>
        </w:rPr>
        <w:br/>
        <w:t>List of</w:t>
      </w:r>
      <w:r w:rsidR="0018579B">
        <w:rPr>
          <w:rFonts w:asciiTheme="minorHAnsi" w:hAnsiTheme="minorHAnsi" w:cstheme="minorHAnsi"/>
          <w:bCs/>
        </w:rPr>
        <w:t xml:space="preserve"> </w:t>
      </w:r>
      <w:r w:rsidR="00AE27AA" w:rsidRPr="0018579B">
        <w:rPr>
          <w:rFonts w:asciiTheme="minorHAnsi" w:hAnsiTheme="minorHAnsi" w:cstheme="minorHAnsi"/>
          <w:bCs/>
        </w:rPr>
        <w:t>s</w:t>
      </w:r>
      <w:r w:rsidRPr="0018579B">
        <w:rPr>
          <w:rFonts w:asciiTheme="minorHAnsi" w:hAnsiTheme="minorHAnsi" w:cstheme="minorHAnsi"/>
          <w:bCs/>
        </w:rPr>
        <w:t xml:space="preserve">uppressed ITU-R </w:t>
      </w:r>
      <w:r w:rsidRPr="0018579B">
        <w:rPr>
          <w:rFonts w:asciiTheme="minorHAnsi" w:hAnsiTheme="minorHAnsi" w:cstheme="minorHAnsi"/>
        </w:rPr>
        <w:t>Recommendations</w:t>
      </w:r>
    </w:p>
    <w:tbl>
      <w:tblPr>
        <w:tblStyle w:val="TableGrid"/>
        <w:tblW w:w="963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1"/>
        <w:gridCol w:w="7513"/>
      </w:tblGrid>
      <w:tr w:rsidR="00AE27AA" w:rsidRPr="009F0C01" w14:paraId="7A3C6F9F" w14:textId="77777777" w:rsidTr="00B4672D">
        <w:trPr>
          <w:cantSplit/>
          <w:tblHeader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2895347E" w14:textId="77777777" w:rsidR="00AE27AA" w:rsidRPr="009F0C01" w:rsidRDefault="00AE27AA" w:rsidP="00832DAB">
            <w:pPr>
              <w:pStyle w:val="Tablehead"/>
              <w:rPr>
                <w:rFonts w:asciiTheme="minorHAnsi" w:hAnsiTheme="minorHAnsi" w:cstheme="minorHAnsi"/>
                <w:szCs w:val="20"/>
                <w:lang w:val="en-GB"/>
              </w:rPr>
            </w:pPr>
            <w:bookmarkStart w:id="0" w:name="ddistribution"/>
            <w:bookmarkEnd w:id="0"/>
            <w:r w:rsidRPr="009F0C01">
              <w:rPr>
                <w:rFonts w:asciiTheme="minorHAnsi" w:hAnsiTheme="minorHAnsi" w:cstheme="minorHAnsi"/>
                <w:szCs w:val="20"/>
                <w:lang w:val="en-GB"/>
              </w:rPr>
              <w:t xml:space="preserve">Recommendation </w:t>
            </w:r>
            <w:r w:rsidRPr="009F0C01">
              <w:rPr>
                <w:rFonts w:asciiTheme="minorHAnsi" w:hAnsiTheme="minorHAnsi" w:cstheme="minorHAnsi"/>
                <w:szCs w:val="20"/>
                <w:lang w:val="en-GB"/>
              </w:rPr>
              <w:br/>
              <w:t>ITU-R</w:t>
            </w:r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7F0B9412" w14:textId="77777777" w:rsidR="00AE27AA" w:rsidRPr="009F0C01" w:rsidRDefault="00AE27AA" w:rsidP="00832DAB">
            <w:pPr>
              <w:pStyle w:val="Tablehead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9F0C01">
              <w:rPr>
                <w:rFonts w:asciiTheme="minorHAnsi" w:hAnsiTheme="minorHAnsi" w:cstheme="minorHAnsi"/>
                <w:szCs w:val="20"/>
                <w:lang w:val="en-GB"/>
              </w:rPr>
              <w:t>Title</w:t>
            </w:r>
          </w:p>
        </w:tc>
      </w:tr>
      <w:tr w:rsidR="00AE27AA" w:rsidRPr="0018579B" w14:paraId="036B19FF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7B9314FA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9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ja-JP"/>
                </w:rPr>
                <w:t>BS.1596-0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5498C284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ja-JP"/>
              </w:rPr>
              <w:t>Guide to ITU-R Recommendations for broadcast sound production</w:t>
            </w:r>
          </w:p>
        </w:tc>
      </w:tr>
      <w:tr w:rsidR="00AE27AA" w:rsidRPr="0018579B" w14:paraId="3224D9B3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3ED10F86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0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ja-JP"/>
                </w:rPr>
                <w:t>BS.1734-0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754D50E2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Basic performance requirements for the sound components of large-screen digital imagery applications for presentation in a theatrical environment</w:t>
            </w:r>
          </w:p>
        </w:tc>
      </w:tr>
      <w:tr w:rsidR="00AE27AA" w:rsidRPr="0018579B" w14:paraId="3262AB5D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4AC07B92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 w:eastAsia="ja-JP"/>
              </w:rPr>
            </w:pPr>
            <w:hyperlink r:id="rId11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ja-JP"/>
                </w:rPr>
                <w:t>BS.2019-0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55517E2F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Audio system for the production and international exchange of 3DTV programmes for broadcasting</w:t>
            </w:r>
          </w:p>
        </w:tc>
      </w:tr>
      <w:tr w:rsidR="00AE27AA" w:rsidRPr="0018579B" w14:paraId="52494363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0E54E3E8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2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BT.1119-2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69B7FBF1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pacing w:val="-2"/>
                <w:szCs w:val="20"/>
                <w:lang w:val="en-GB"/>
              </w:rPr>
              <w:t>Wide-screen signalling for broadcasting (Signalling for wide-screen and other enhanced television parameters)</w:t>
            </w:r>
          </w:p>
        </w:tc>
      </w:tr>
      <w:tr w:rsidR="00AE27AA" w:rsidRPr="0018579B" w14:paraId="68625A06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5FAB09F3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3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BT.1198-0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3FA99914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b/>
                <w:bCs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pacing w:val="-2"/>
                <w:szCs w:val="20"/>
                <w:lang w:val="en-GB"/>
              </w:rPr>
              <w:t>Stereoscopic television based on R-and L-eye two channel signals</w:t>
            </w:r>
          </w:p>
        </w:tc>
      </w:tr>
      <w:tr w:rsidR="00AE27AA" w:rsidRPr="0018579B" w14:paraId="567B83C9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20247624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4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BT.1439-1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31D51460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pacing w:val="-2"/>
                <w:szCs w:val="20"/>
                <w:lang w:val="en-GB"/>
              </w:rPr>
              <w:t>Measurement methods applicable in the analogue television studio and the overall analogue television system</w:t>
            </w:r>
          </w:p>
        </w:tc>
      </w:tr>
      <w:tr w:rsidR="00AE27AA" w:rsidRPr="0018579B" w14:paraId="35338F7D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5B7B98D9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5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BT.1562-0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2FA3AD13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Consistency in the alignment of displays in production rooms and control rooms</w:t>
            </w:r>
          </w:p>
        </w:tc>
      </w:tr>
      <w:tr w:rsidR="00AE27AA" w:rsidRPr="0018579B" w14:paraId="5FDD1073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1614833B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6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BT.1664-0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2BFB3997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Representation of various image aspect ratios into the image of large screen digital imagery applications that use a 16:9 raster</w:t>
            </w:r>
          </w:p>
        </w:tc>
      </w:tr>
      <w:tr w:rsidR="00AE27AA" w:rsidRPr="0018579B" w14:paraId="4B299586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3ECCE744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7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BT.1665-0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55D0ED39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Considerations for colour encoding and spatial resolution for large screen digital imagery display</w:t>
            </w:r>
          </w:p>
        </w:tc>
      </w:tr>
      <w:tr w:rsidR="00AE27AA" w:rsidRPr="0018579B" w14:paraId="61DA5038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155A0C26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8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BT.1680-1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3A90D8CF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Baseband imaging format for distribution of large screen digital imagery applications intended for presentation in a theatrical environment</w:t>
            </w:r>
          </w:p>
        </w:tc>
      </w:tr>
      <w:tr w:rsidR="00AE27AA" w:rsidRPr="0018579B" w14:paraId="5C8E3C58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0F445814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19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BT.1689-0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4BF3A1AD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Guidelines on the presentation in large-screen digital imagery environments of programmes that are provided in image formats conforming to Recommendation ITU-R BT.601</w:t>
            </w:r>
          </w:p>
        </w:tc>
      </w:tr>
      <w:tr w:rsidR="00AE27AA" w:rsidRPr="0018579B" w14:paraId="10AF5A2B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57ADD548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0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BT.1690-0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42DC18C7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Assumed characteristics of venues intended for large-screen digital imagery programme presentation in a theatrical environment</w:t>
            </w:r>
          </w:p>
        </w:tc>
      </w:tr>
      <w:tr w:rsidR="00AE27AA" w:rsidRPr="0018579B" w14:paraId="1935154D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3222EF3A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1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BT.1692-1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0140421D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Optimization of the quality of colour reproduction in digital television</w:t>
            </w:r>
          </w:p>
        </w:tc>
      </w:tr>
      <w:tr w:rsidR="00AE27AA" w:rsidRPr="0018579B" w14:paraId="7BEAD72B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247ED862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2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BT.1721-0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313FE96D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pacing w:val="-2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Objective measurement of perceptual image quality of large screen digital imagery applications for theatrical presentation</w:t>
            </w:r>
          </w:p>
        </w:tc>
      </w:tr>
      <w:tr w:rsidR="00AE27AA" w:rsidRPr="0018579B" w14:paraId="4870A112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7B4D89A3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3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BT.1728-1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68A621EE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pacing w:val="-2"/>
                <w:szCs w:val="20"/>
                <w:lang w:val="en-GB"/>
              </w:rPr>
              <w:t>Guidance on the use of flat panel displays in television production and postproduction</w:t>
            </w:r>
          </w:p>
        </w:tc>
      </w:tr>
      <w:tr w:rsidR="00AE27AA" w:rsidRPr="0018579B" w14:paraId="4A3FC014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23E001D0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4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BT.1789-0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63B24CF8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pacing w:val="-2"/>
                <w:szCs w:val="20"/>
                <w:lang w:val="en-GB"/>
              </w:rPr>
              <w:t>A method to reconstruct received video using transmission error information for packet video transmission</w:t>
            </w:r>
          </w:p>
        </w:tc>
      </w:tr>
      <w:tr w:rsidR="00AE27AA" w:rsidRPr="0018579B" w14:paraId="0B3D7A42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0AB88E05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5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BT.2024-0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652D059E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pacing w:val="-2"/>
                <w:szCs w:val="20"/>
                <w:lang w:val="en-GB"/>
              </w:rPr>
              <w:t>HDTV digital image systems for the production and international exchange of 3DTV programmes for broadcasting</w:t>
            </w:r>
          </w:p>
        </w:tc>
      </w:tr>
      <w:tr w:rsidR="00AE27AA" w:rsidRPr="0018579B" w14:paraId="6AECD8D8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5087F31E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6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BT.2025-0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0A86A822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pacing w:val="-2"/>
                <w:szCs w:val="20"/>
                <w:lang w:val="en-GB"/>
              </w:rPr>
              <w:t>1280 × 720 digital image systems for the production and international exchange of 3DTV programmes for broadcasting</w:t>
            </w:r>
          </w:p>
        </w:tc>
      </w:tr>
      <w:tr w:rsidR="00AE27AA" w:rsidRPr="0018579B" w14:paraId="5702DC32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1B47D506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7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BT.2050-0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2DC41914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ja-JP"/>
              </w:rPr>
            </w:pPr>
            <w:r w:rsidRPr="0018579B">
              <w:rPr>
                <w:rFonts w:asciiTheme="minorHAnsi" w:hAnsiTheme="minorHAnsi" w:cstheme="minorHAnsi"/>
                <w:spacing w:val="-2"/>
                <w:szCs w:val="20"/>
                <w:lang w:val="en-GB"/>
              </w:rPr>
              <w:t>Use of UHDTV image systems for capturing, editing, finishing and archiving high-quality HDTV programmes</w:t>
            </w:r>
          </w:p>
        </w:tc>
      </w:tr>
      <w:tr w:rsidR="00AE27AA" w:rsidRPr="0018579B" w14:paraId="434319AB" w14:textId="77777777" w:rsidTr="00B4672D">
        <w:tblPrEx>
          <w:jc w:val="left"/>
          <w:tblCellMar>
            <w:left w:w="108" w:type="dxa"/>
            <w:right w:w="108" w:type="dxa"/>
          </w:tblCellMar>
        </w:tblPrEx>
        <w:tc>
          <w:tcPr>
            <w:tcW w:w="1101" w:type="pct"/>
          </w:tcPr>
          <w:p w14:paraId="23C65264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8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BS.1661-0</w:t>
              </w:r>
            </w:hyperlink>
          </w:p>
        </w:tc>
        <w:tc>
          <w:tcPr>
            <w:tcW w:w="3899" w:type="pct"/>
          </w:tcPr>
          <w:p w14:paraId="0A539335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'Signal-on-the-air' specifications of the digital system described in annex 1 to recommendation ITU-R BS.1514 for digital sound broadcasting in the broadcasting bands below 30 MHz</w:t>
            </w:r>
          </w:p>
        </w:tc>
      </w:tr>
      <w:tr w:rsidR="00AE27AA" w:rsidRPr="0018579B" w14:paraId="5C39D3F8" w14:textId="77777777" w:rsidTr="00B4672D">
        <w:tblPrEx>
          <w:jc w:val="left"/>
          <w:tblCellMar>
            <w:left w:w="108" w:type="dxa"/>
            <w:right w:w="108" w:type="dxa"/>
          </w:tblCellMar>
        </w:tblPrEx>
        <w:tc>
          <w:tcPr>
            <w:tcW w:w="1101" w:type="pct"/>
          </w:tcPr>
          <w:p w14:paraId="003C7E8E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29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BT.1125-0</w:t>
              </w:r>
            </w:hyperlink>
          </w:p>
        </w:tc>
        <w:tc>
          <w:tcPr>
            <w:tcW w:w="3899" w:type="pct"/>
          </w:tcPr>
          <w:p w14:paraId="2BCFC15D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Basic objectives for the planning and implementation of digital terrestrial television broadcasting systems</w:t>
            </w:r>
          </w:p>
        </w:tc>
      </w:tr>
      <w:tr w:rsidR="00AE27AA" w:rsidRPr="0018579B" w14:paraId="74F1253E" w14:textId="77777777" w:rsidTr="00B4672D">
        <w:tblPrEx>
          <w:jc w:val="left"/>
          <w:tblCellMar>
            <w:left w:w="108" w:type="dxa"/>
            <w:right w:w="108" w:type="dxa"/>
          </w:tblCellMar>
        </w:tblPrEx>
        <w:tc>
          <w:tcPr>
            <w:tcW w:w="1101" w:type="pct"/>
          </w:tcPr>
          <w:p w14:paraId="3185A863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30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BT.1299-1</w:t>
              </w:r>
            </w:hyperlink>
          </w:p>
        </w:tc>
        <w:tc>
          <w:tcPr>
            <w:tcW w:w="3899" w:type="pct"/>
          </w:tcPr>
          <w:p w14:paraId="6F99A8E4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The basic elements of a worldwide common family of systems for digital terrestrial television broadcasting</w:t>
            </w:r>
          </w:p>
        </w:tc>
      </w:tr>
      <w:tr w:rsidR="00AE27AA" w:rsidRPr="0018579B" w14:paraId="0DC91F36" w14:textId="77777777" w:rsidTr="00B4672D">
        <w:tblPrEx>
          <w:jc w:val="left"/>
          <w:tblCellMar>
            <w:left w:w="108" w:type="dxa"/>
            <w:right w:w="108" w:type="dxa"/>
          </w:tblCellMar>
        </w:tblPrEx>
        <w:tc>
          <w:tcPr>
            <w:tcW w:w="1101" w:type="pct"/>
          </w:tcPr>
          <w:p w14:paraId="622EA372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31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BT.1727-0</w:t>
              </w:r>
            </w:hyperlink>
          </w:p>
        </w:tc>
        <w:tc>
          <w:tcPr>
            <w:tcW w:w="3899" w:type="pct"/>
          </w:tcPr>
          <w:p w14:paraId="32414A38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Terrestrial and satellite delivery of programme material to large screen digital imagery venues</w:t>
            </w:r>
          </w:p>
        </w:tc>
      </w:tr>
      <w:tr w:rsidR="00AE27AA" w:rsidRPr="0018579B" w14:paraId="4C1C81E2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77BF1E6D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32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BT.1199-1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79FF2432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Bit-rate reduction in the HDTV studio environment</w:t>
            </w:r>
          </w:p>
        </w:tc>
      </w:tr>
      <w:tr w:rsidR="00AE27AA" w:rsidRPr="0018579B" w14:paraId="494104DE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  <w:hideMark/>
          </w:tcPr>
          <w:p w14:paraId="7CAF8E58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 w:eastAsia="zh-CN"/>
              </w:rPr>
            </w:pPr>
            <w:hyperlink r:id="rId33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BT.1577-0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  <w:hideMark/>
          </w:tcPr>
          <w:p w14:paraId="75F4BE9A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Serial digital interface-based transport interface for compressed television signals in networked television production based on Recommendation ITU-R BT.1120</w:t>
            </w:r>
          </w:p>
        </w:tc>
      </w:tr>
      <w:tr w:rsidR="00AE27AA" w:rsidRPr="0018579B" w14:paraId="3BCFDEA6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5E649A47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 w:eastAsia="zh-CN"/>
              </w:rPr>
            </w:pPr>
            <w:hyperlink r:id="rId34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BT.1687-1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547F89A2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Video bit-rate reduction for real-time distribution of large-screen digital imagery applications for presentation in a theatrical environment</w:t>
            </w:r>
          </w:p>
        </w:tc>
      </w:tr>
      <w:tr w:rsidR="00AE27AA" w:rsidRPr="0018579B" w14:paraId="538C8CFF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309D5521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 w:eastAsia="zh-CN"/>
              </w:rPr>
            </w:pPr>
            <w:hyperlink r:id="rId35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BT.1737-</w:t>
              </w:r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1ED7B020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Use of the ITU-T Recommendation H.264 (MPEG 4/AVC) video source-coding method to transport high definition TV programme material</w:t>
            </w:r>
          </w:p>
        </w:tc>
      </w:tr>
      <w:tr w:rsidR="00AE27AA" w:rsidRPr="0018579B" w14:paraId="1D16B804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5209F684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 w:eastAsia="zh-CN"/>
              </w:rPr>
            </w:pPr>
            <w:hyperlink r:id="rId36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BT.2000-0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634304A9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Use of large screen digital imagery Recommendations in video information systems applications</w:t>
            </w:r>
          </w:p>
        </w:tc>
      </w:tr>
      <w:tr w:rsidR="00AE27AA" w:rsidRPr="0018579B" w14:paraId="34A87F6A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0B9E2528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 w:eastAsia="zh-CN"/>
              </w:rPr>
            </w:pPr>
            <w:hyperlink r:id="rId37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BT.2026-0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4D042FBF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Guidelines on the implementation of systems for in-service objective measurement and monitoring of "perceptual transparency" for the distribution chain of SDTV and HDTV programmes</w:t>
            </w:r>
          </w:p>
        </w:tc>
      </w:tr>
      <w:tr w:rsidR="00AE27AA" w:rsidRPr="0018579B" w14:paraId="22D9B610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3F2CD4DB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 w:eastAsia="zh-CN"/>
              </w:rPr>
            </w:pPr>
            <w:hyperlink r:id="rId38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BT.2027-0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35EEBD1C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 xml:space="preserve">Serial Digital Interface for production and international exchange </w:t>
            </w: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br/>
              <w:t>of HDTV 3DTV programmes</w:t>
            </w:r>
          </w:p>
        </w:tc>
      </w:tr>
      <w:tr w:rsidR="00AE27AA" w:rsidRPr="0018579B" w14:paraId="1D7D7F80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152A43F4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 w:eastAsia="zh-CN"/>
              </w:rPr>
            </w:pPr>
            <w:hyperlink r:id="rId39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zh-CN"/>
                </w:rPr>
                <w:t>BT.2038-0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117DADB4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 w:eastAsia="zh-CN"/>
              </w:rPr>
              <w:t>Transport of HDTV 3DTV programmes for international programme exchange in broadcasting</w:t>
            </w:r>
          </w:p>
        </w:tc>
      </w:tr>
      <w:tr w:rsidR="00AE27AA" w:rsidRPr="0018579B" w14:paraId="1FD9A7B4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7291124F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40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BT.1435</w:t>
              </w:r>
            </w:hyperlink>
            <w:r w:rsidR="00AE27AA" w:rsidRPr="008B45CB">
              <w:rPr>
                <w:rStyle w:val="Hyperlink"/>
                <w:rFonts w:asciiTheme="minorHAnsi" w:hAnsiTheme="minorHAnsi" w:cstheme="minorHAnsi"/>
                <w:bCs/>
                <w:color w:val="auto"/>
                <w:szCs w:val="20"/>
                <w:u w:val="none"/>
                <w:lang w:val="en-GB"/>
              </w:rPr>
              <w:t>-0</w:t>
            </w:r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42786579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Digital sound and television broadcasting interaction channel through the PSTN/ISDN</w:t>
            </w:r>
          </w:p>
        </w:tc>
      </w:tr>
      <w:tr w:rsidR="00AE27AA" w:rsidRPr="0018579B" w14:paraId="204BADE0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7C036892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41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BT.1507</w:t>
              </w:r>
            </w:hyperlink>
            <w:r w:rsidR="00AE27AA" w:rsidRPr="008B45CB">
              <w:rPr>
                <w:rStyle w:val="Hyperlink"/>
                <w:rFonts w:asciiTheme="minorHAnsi" w:hAnsiTheme="minorHAnsi" w:cstheme="minorHAnsi"/>
                <w:bCs/>
                <w:color w:val="auto"/>
                <w:szCs w:val="20"/>
                <w:u w:val="none"/>
                <w:lang w:val="en-GB"/>
              </w:rPr>
              <w:t>-0</w:t>
            </w:r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29CFB47B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Interaction channel using digital enhanced cordless telecommunications (DECT) system</w:t>
            </w:r>
          </w:p>
        </w:tc>
      </w:tr>
      <w:tr w:rsidR="00AE27AA" w:rsidRPr="0018579B" w14:paraId="4C3FEDDE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125A2007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42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BT.1508</w:t>
              </w:r>
            </w:hyperlink>
            <w:r w:rsidR="00AE27AA" w:rsidRPr="008B45CB">
              <w:rPr>
                <w:rStyle w:val="Hyperlink"/>
                <w:rFonts w:asciiTheme="minorHAnsi" w:hAnsiTheme="minorHAnsi" w:cstheme="minorHAnsi"/>
                <w:bCs/>
                <w:color w:val="auto"/>
                <w:szCs w:val="20"/>
                <w:u w:val="none"/>
                <w:lang w:val="en-GB"/>
              </w:rPr>
              <w:t>-0</w:t>
            </w:r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268B621E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Interaction channel using global system for mobile communications (GSM)</w:t>
            </w:r>
          </w:p>
        </w:tc>
      </w:tr>
      <w:tr w:rsidR="00AE27AA" w:rsidRPr="0018579B" w14:paraId="6077441C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4B9536BD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43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BT.1549</w:t>
              </w:r>
            </w:hyperlink>
            <w:r w:rsidR="00AE27AA" w:rsidRPr="008B45CB">
              <w:rPr>
                <w:rStyle w:val="Hyperlink"/>
                <w:rFonts w:asciiTheme="minorHAnsi" w:hAnsiTheme="minorHAnsi" w:cstheme="minorHAnsi"/>
                <w:bCs/>
                <w:color w:val="auto"/>
                <w:szCs w:val="20"/>
                <w:u w:val="none"/>
                <w:lang w:val="en-GB"/>
              </w:rPr>
              <w:t>-0</w:t>
            </w:r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3661C960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Data link protocol for interaction channel</w:t>
            </w:r>
          </w:p>
        </w:tc>
      </w:tr>
      <w:tr w:rsidR="00AE27AA" w:rsidRPr="0018579B" w14:paraId="0B3782AB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5A7CD703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44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BT.1564</w:t>
              </w:r>
            </w:hyperlink>
            <w:r w:rsidR="00AE27AA" w:rsidRPr="008B45CB">
              <w:rPr>
                <w:rStyle w:val="Hyperlink"/>
                <w:rFonts w:asciiTheme="minorHAnsi" w:hAnsiTheme="minorHAnsi" w:cstheme="minorHAnsi"/>
                <w:bCs/>
                <w:color w:val="auto"/>
                <w:szCs w:val="20"/>
                <w:u w:val="none"/>
                <w:lang w:val="en-GB"/>
              </w:rPr>
              <w:t>-0</w:t>
            </w:r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02517D10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Interaction channel using local multipoint distribution systems</w:t>
            </w:r>
          </w:p>
        </w:tc>
      </w:tr>
      <w:tr w:rsidR="00AE27AA" w:rsidRPr="0018579B" w14:paraId="5AFA446B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6B9C81E8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45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BT.1667</w:t>
              </w:r>
            </w:hyperlink>
            <w:r w:rsidR="00AE27AA" w:rsidRPr="008B45CB">
              <w:rPr>
                <w:rStyle w:val="Hyperlink"/>
                <w:rFonts w:asciiTheme="minorHAnsi" w:hAnsiTheme="minorHAnsi" w:cstheme="minorHAnsi"/>
                <w:bCs/>
                <w:color w:val="auto"/>
                <w:szCs w:val="20"/>
                <w:u w:val="none"/>
                <w:lang w:val="en-GB"/>
              </w:rPr>
              <w:t>-0</w:t>
            </w:r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6E30A36B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Terrestrial return channel for interactive broadcasting services operating in the VHF/UHF broadcast band based on Recommendation ITU-R BT.1306</w:t>
            </w:r>
          </w:p>
        </w:tc>
      </w:tr>
      <w:tr w:rsidR="00AE27AA" w:rsidRPr="0018579B" w14:paraId="0058E9A0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4E1FA326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46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/>
                </w:rPr>
                <w:t>BT.1832</w:t>
              </w:r>
            </w:hyperlink>
            <w:r w:rsidR="00AE27AA" w:rsidRPr="008B45CB">
              <w:rPr>
                <w:rStyle w:val="Hyperlink"/>
                <w:rFonts w:asciiTheme="minorHAnsi" w:hAnsiTheme="minorHAnsi" w:cstheme="minorHAnsi"/>
                <w:bCs/>
                <w:color w:val="auto"/>
                <w:szCs w:val="20"/>
                <w:u w:val="none"/>
                <w:lang w:val="en-GB"/>
              </w:rPr>
              <w:t>-0</w:t>
            </w:r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2EC2C053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eastAsia="SimSun" w:hAnsiTheme="minorHAnsi" w:cstheme="minorHAnsi"/>
                <w:szCs w:val="20"/>
                <w:lang w:val="en-GB"/>
              </w:rPr>
              <w:t>Digital Video Broadcast-Return Channel Terrestrial (DVB-RCT) deployment scenarios and planning considerations</w:t>
            </w:r>
          </w:p>
        </w:tc>
      </w:tr>
      <w:tr w:rsidR="00AE27AA" w:rsidRPr="0018579B" w14:paraId="7B4B946D" w14:textId="77777777" w:rsidTr="00B4672D">
        <w:trPr>
          <w:cantSplit/>
          <w:jc w:val="center"/>
        </w:trPr>
        <w:tc>
          <w:tcPr>
            <w:tcW w:w="1101" w:type="pct"/>
            <w:noWrap/>
            <w:tcMar>
              <w:left w:w="108" w:type="dxa"/>
              <w:right w:w="108" w:type="dxa"/>
            </w:tcMar>
          </w:tcPr>
          <w:p w14:paraId="6E075ED0" w14:textId="77777777" w:rsidR="00AE27AA" w:rsidRPr="008B45CB" w:rsidRDefault="00154AE7" w:rsidP="00832DAB">
            <w:pPr>
              <w:pStyle w:val="Tabletext"/>
              <w:jc w:val="center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  <w:hyperlink r:id="rId47" w:history="1">
              <w:r w:rsidR="00AE27AA" w:rsidRPr="008B45CB">
                <w:rPr>
                  <w:rStyle w:val="Hyperlink"/>
                  <w:rFonts w:asciiTheme="minorHAnsi" w:hAnsiTheme="minorHAnsi" w:cstheme="minorHAnsi"/>
                  <w:bCs/>
                  <w:color w:val="auto"/>
                  <w:szCs w:val="20"/>
                  <w:u w:val="none"/>
                  <w:lang w:val="en-GB" w:eastAsia="ja-JP"/>
                </w:rPr>
                <w:t>BS.1688-0</w:t>
              </w:r>
            </w:hyperlink>
          </w:p>
        </w:tc>
        <w:tc>
          <w:tcPr>
            <w:tcW w:w="3899" w:type="pct"/>
            <w:tcMar>
              <w:left w:w="108" w:type="dxa"/>
              <w:right w:w="108" w:type="dxa"/>
            </w:tcMar>
          </w:tcPr>
          <w:p w14:paraId="2BCD3A8A" w14:textId="77777777" w:rsidR="00AE27AA" w:rsidRPr="0018579B" w:rsidRDefault="00AE27AA" w:rsidP="00832DAB">
            <w:pPr>
              <w:pStyle w:val="Tabletext"/>
              <w:rPr>
                <w:rFonts w:asciiTheme="minorHAnsi" w:hAnsiTheme="minorHAnsi" w:cstheme="minorHAnsi"/>
                <w:szCs w:val="20"/>
                <w:lang w:val="en-GB" w:eastAsia="zh-CN"/>
              </w:rPr>
            </w:pPr>
            <w:r w:rsidRPr="0018579B">
              <w:rPr>
                <w:rFonts w:asciiTheme="minorHAnsi" w:hAnsiTheme="minorHAnsi" w:cstheme="minorHAnsi"/>
                <w:szCs w:val="20"/>
                <w:lang w:val="en-GB"/>
              </w:rPr>
              <w:t>Baseband sound system and audio source-coding at delivery interfaces of large-screen digital imagery applications</w:t>
            </w:r>
          </w:p>
        </w:tc>
      </w:tr>
    </w:tbl>
    <w:p w14:paraId="3EAFB316" w14:textId="77777777" w:rsidR="00E20932" w:rsidRPr="0018579B" w:rsidRDefault="00E20932" w:rsidP="0032202E">
      <w:pPr>
        <w:pStyle w:val="Reasons"/>
      </w:pPr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18579B">
        <w:rPr>
          <w:lang w:val="en-GB"/>
        </w:rPr>
        <w:t>______________</w:t>
      </w:r>
    </w:p>
    <w:sectPr w:rsidR="00E20932" w:rsidRPr="00E20932" w:rsidSect="00031E64">
      <w:headerReference w:type="even" r:id="rId48"/>
      <w:headerReference w:type="default" r:id="rId49"/>
      <w:headerReference w:type="first" r:id="rId50"/>
      <w:footerReference w:type="first" r:id="rId5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6930" w14:textId="4780E587" w:rsidR="00E915AF" w:rsidRPr="00AF3325" w:rsidRDefault="00E915AF">
    <w:pPr>
      <w:pStyle w:val="Header"/>
    </w:pPr>
    <w:r>
      <w:tab/>
    </w:r>
    <w:r>
      <w:tab/>
    </w:r>
    <w:r w:rsidR="00B4672D">
      <w:rPr>
        <w:iCs/>
        <w:sz w:val="18"/>
        <w:szCs w:val="16"/>
      </w:rPr>
      <w:t xml:space="preserve">- </w:t>
    </w:r>
    <w:r w:rsidR="00B4672D" w:rsidRPr="000E64C9">
      <w:rPr>
        <w:iCs/>
        <w:sz w:val="18"/>
        <w:szCs w:val="16"/>
      </w:rPr>
      <w:fldChar w:fldCharType="begin"/>
    </w:r>
    <w:r w:rsidR="00B4672D" w:rsidRPr="000E64C9">
      <w:rPr>
        <w:iCs/>
        <w:sz w:val="18"/>
        <w:szCs w:val="16"/>
      </w:rPr>
      <w:instrText xml:space="preserve"> PAGE  \* MERGEFORMAT </w:instrText>
    </w:r>
    <w:r w:rsidR="00B4672D" w:rsidRPr="000E64C9">
      <w:rPr>
        <w:iCs/>
        <w:sz w:val="18"/>
        <w:szCs w:val="16"/>
      </w:rPr>
      <w:fldChar w:fldCharType="separate"/>
    </w:r>
    <w:r w:rsidR="00B4672D">
      <w:rPr>
        <w:iCs/>
        <w:sz w:val="18"/>
        <w:szCs w:val="16"/>
      </w:rPr>
      <w:t>7</w:t>
    </w:r>
    <w:r w:rsidR="00B4672D" w:rsidRPr="000E64C9">
      <w:rPr>
        <w:iCs/>
        <w:sz w:val="18"/>
        <w:szCs w:val="16"/>
      </w:rPr>
      <w:fldChar w:fldCharType="end"/>
    </w:r>
    <w:r w:rsidR="00B4672D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037593" w14:paraId="29AC8C5E" w14:textId="77777777" w:rsidTr="008B5BEB">
      <w:tc>
        <w:tcPr>
          <w:tcW w:w="4814" w:type="dxa"/>
        </w:tcPr>
        <w:p w14:paraId="1341347C" w14:textId="77777777" w:rsidR="00037593" w:rsidRDefault="00037593" w:rsidP="00037593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01B90CB1" wp14:editId="332896D4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7873943" w14:textId="77777777" w:rsidR="00037593" w:rsidRDefault="00037593" w:rsidP="00037593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72F0328" wp14:editId="2198F298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91C17F" w14:textId="77777777" w:rsidR="00037593" w:rsidRPr="00EA15B3" w:rsidRDefault="00037593" w:rsidP="0003759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098259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14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635DB"/>
    <w:rsid w:val="00070258"/>
    <w:rsid w:val="0007323C"/>
    <w:rsid w:val="00086D03"/>
    <w:rsid w:val="00096F54"/>
    <w:rsid w:val="000A096A"/>
    <w:rsid w:val="000A375E"/>
    <w:rsid w:val="000A7051"/>
    <w:rsid w:val="000B0AF6"/>
    <w:rsid w:val="000B0E9B"/>
    <w:rsid w:val="000B2CAE"/>
    <w:rsid w:val="000B6E1F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54AE7"/>
    <w:rsid w:val="0018579B"/>
    <w:rsid w:val="00187CA3"/>
    <w:rsid w:val="00196710"/>
    <w:rsid w:val="00197324"/>
    <w:rsid w:val="001B351B"/>
    <w:rsid w:val="001C06DB"/>
    <w:rsid w:val="001C6971"/>
    <w:rsid w:val="001D2785"/>
    <w:rsid w:val="001D7070"/>
    <w:rsid w:val="001E5166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0C24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208F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B214C"/>
    <w:rsid w:val="005D3669"/>
    <w:rsid w:val="005E5EB3"/>
    <w:rsid w:val="005E6AE8"/>
    <w:rsid w:val="005F3CB6"/>
    <w:rsid w:val="005F657C"/>
    <w:rsid w:val="00602D53"/>
    <w:rsid w:val="006047E5"/>
    <w:rsid w:val="006079CC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2BB"/>
    <w:rsid w:val="006A15F4"/>
    <w:rsid w:val="006A1921"/>
    <w:rsid w:val="006A518B"/>
    <w:rsid w:val="006A5858"/>
    <w:rsid w:val="006B0590"/>
    <w:rsid w:val="006B49DA"/>
    <w:rsid w:val="006B4C75"/>
    <w:rsid w:val="006C53F8"/>
    <w:rsid w:val="006C7CDE"/>
    <w:rsid w:val="006E48C0"/>
    <w:rsid w:val="006E5278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645B0"/>
    <w:rsid w:val="0087694B"/>
    <w:rsid w:val="00880F4D"/>
    <w:rsid w:val="008B35A3"/>
    <w:rsid w:val="008B37E1"/>
    <w:rsid w:val="008B45CB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9F0C01"/>
    <w:rsid w:val="00A119E6"/>
    <w:rsid w:val="00A20FBC"/>
    <w:rsid w:val="00A31370"/>
    <w:rsid w:val="00A34D6F"/>
    <w:rsid w:val="00A41F91"/>
    <w:rsid w:val="00A52F57"/>
    <w:rsid w:val="00A63355"/>
    <w:rsid w:val="00A71CC5"/>
    <w:rsid w:val="00A7596D"/>
    <w:rsid w:val="00A963DF"/>
    <w:rsid w:val="00AC0C22"/>
    <w:rsid w:val="00AC3896"/>
    <w:rsid w:val="00AC59EA"/>
    <w:rsid w:val="00AD2CF2"/>
    <w:rsid w:val="00AD4554"/>
    <w:rsid w:val="00AE27AA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4672D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BE7892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424BF"/>
    <w:rsid w:val="00F426D3"/>
    <w:rsid w:val="00F44FC3"/>
    <w:rsid w:val="00F46107"/>
    <w:rsid w:val="00F468C5"/>
    <w:rsid w:val="00F52F39"/>
    <w:rsid w:val="00F55BD7"/>
    <w:rsid w:val="00F6184F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,Style 58,超?级链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1CC5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rec/R-REC-BT.1198/en" TargetMode="External"/><Relationship Id="rId18" Type="http://schemas.openxmlformats.org/officeDocument/2006/relationships/hyperlink" Target="https://www.itu.int/rec/R-REC-BT.1680/en" TargetMode="External"/><Relationship Id="rId26" Type="http://schemas.openxmlformats.org/officeDocument/2006/relationships/hyperlink" Target="https://www.itu.int/rec/R-REC-BT.2025/en" TargetMode="External"/><Relationship Id="rId39" Type="http://schemas.openxmlformats.org/officeDocument/2006/relationships/hyperlink" Target="https://www.itu.int/rec/R-REC-BT.2038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rec/R-REC-BT.1692/en" TargetMode="External"/><Relationship Id="rId34" Type="http://schemas.openxmlformats.org/officeDocument/2006/relationships/hyperlink" Target="https://www.itu.int/rec/R-REC-BT.1687/en" TargetMode="External"/><Relationship Id="rId42" Type="http://schemas.openxmlformats.org/officeDocument/2006/relationships/hyperlink" Target="http://www.itu.int/rec/R-REC-BT.1508/en" TargetMode="External"/><Relationship Id="rId47" Type="http://schemas.openxmlformats.org/officeDocument/2006/relationships/hyperlink" Target="https://www.itu.int/rec/R-REC-BS.1688/en" TargetMode="Externa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BT.1119/en/" TargetMode="External"/><Relationship Id="rId17" Type="http://schemas.openxmlformats.org/officeDocument/2006/relationships/hyperlink" Target="https://www.itu.int/rec/R-REC-BT.1665/en" TargetMode="External"/><Relationship Id="rId25" Type="http://schemas.openxmlformats.org/officeDocument/2006/relationships/hyperlink" Target="https://www.itu.int/rec/R-REC-BT.2024/en" TargetMode="External"/><Relationship Id="rId33" Type="http://schemas.openxmlformats.org/officeDocument/2006/relationships/hyperlink" Target="https://www.itu.int/rec/R-REC-BT.1577/en" TargetMode="External"/><Relationship Id="rId38" Type="http://schemas.openxmlformats.org/officeDocument/2006/relationships/hyperlink" Target="https://www.itu.int/rec/R-REC-BT.2027/en" TargetMode="External"/><Relationship Id="rId46" Type="http://schemas.openxmlformats.org/officeDocument/2006/relationships/hyperlink" Target="http://www.itu.int/rec/R-REC-BT.183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rec/R-REC-BT.1664/en" TargetMode="External"/><Relationship Id="rId20" Type="http://schemas.openxmlformats.org/officeDocument/2006/relationships/hyperlink" Target="https://www.itu.int/rec/R-REC-BT.1690/en" TargetMode="External"/><Relationship Id="rId29" Type="http://schemas.openxmlformats.org/officeDocument/2006/relationships/hyperlink" Target="https://www.itu.int/rec/R-REC-BT.1125/en" TargetMode="External"/><Relationship Id="rId41" Type="http://schemas.openxmlformats.org/officeDocument/2006/relationships/hyperlink" Target="http://www.itu.int/rec/R-REC-BT.1507/en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BS.2019/en" TargetMode="External"/><Relationship Id="rId24" Type="http://schemas.openxmlformats.org/officeDocument/2006/relationships/hyperlink" Target="https://www.itu.int/rec/R-REC-BT.1789/en" TargetMode="External"/><Relationship Id="rId32" Type="http://schemas.openxmlformats.org/officeDocument/2006/relationships/hyperlink" Target="https://www.itu.int/rec/R-REC-BT.1199/en" TargetMode="External"/><Relationship Id="rId37" Type="http://schemas.openxmlformats.org/officeDocument/2006/relationships/hyperlink" Target="https://www.itu.int/rec/R-REC-BT.2026" TargetMode="External"/><Relationship Id="rId40" Type="http://schemas.openxmlformats.org/officeDocument/2006/relationships/hyperlink" Target="http://www.itu.int/rec/R-REC-BT.1435/en" TargetMode="External"/><Relationship Id="rId45" Type="http://schemas.openxmlformats.org/officeDocument/2006/relationships/hyperlink" Target="http://www.itu.int/rec/R-REC-BT.1667/en" TargetMode="Externa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BT.1562/en" TargetMode="External"/><Relationship Id="rId23" Type="http://schemas.openxmlformats.org/officeDocument/2006/relationships/hyperlink" Target="https://www.itu.int/rec/R-REC-BT.1728/en" TargetMode="External"/><Relationship Id="rId28" Type="http://schemas.openxmlformats.org/officeDocument/2006/relationships/hyperlink" Target="https://www.itu.int/rec/R-REC-BS.1661-0-200312-I/en" TargetMode="External"/><Relationship Id="rId36" Type="http://schemas.openxmlformats.org/officeDocument/2006/relationships/hyperlink" Target="https://www.itu.int/rec/R-REC-BT.2000/en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itu.int/rec/R-REC-BS.1734/en" TargetMode="External"/><Relationship Id="rId19" Type="http://schemas.openxmlformats.org/officeDocument/2006/relationships/hyperlink" Target="https://www.itu.int/rec/R-REC-BT.1689/en" TargetMode="External"/><Relationship Id="rId31" Type="http://schemas.openxmlformats.org/officeDocument/2006/relationships/hyperlink" Target="https://www.itu.int/rec/R-REC-BT.1727-0-200504-I/en" TargetMode="External"/><Relationship Id="rId44" Type="http://schemas.openxmlformats.org/officeDocument/2006/relationships/hyperlink" Target="http://www.itu.int/rec/R-REC-BT.1564/e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BS.1596/en" TargetMode="External"/><Relationship Id="rId14" Type="http://schemas.openxmlformats.org/officeDocument/2006/relationships/hyperlink" Target="https://www.itu.int/rec/R-REC-BT.1439/en" TargetMode="External"/><Relationship Id="rId22" Type="http://schemas.openxmlformats.org/officeDocument/2006/relationships/hyperlink" Target="https://www.itu.int/rec/R-REC-BT.1721/en" TargetMode="External"/><Relationship Id="rId27" Type="http://schemas.openxmlformats.org/officeDocument/2006/relationships/hyperlink" Target="https://www.itu.int/rec/R-REC-BT.2050/en" TargetMode="External"/><Relationship Id="rId30" Type="http://schemas.openxmlformats.org/officeDocument/2006/relationships/hyperlink" Target="https://www.itu.int/rec/R-REC-BT.1299/en" TargetMode="External"/><Relationship Id="rId35" Type="http://schemas.openxmlformats.org/officeDocument/2006/relationships/hyperlink" Target="https://www.itu.int/rec/R-REC-BT.1737/en" TargetMode="External"/><Relationship Id="rId43" Type="http://schemas.openxmlformats.org/officeDocument/2006/relationships/hyperlink" Target="http://www.itu.int/rec/R-REC-BT.1549/en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itu.int/md/R00-CACE-CIR-1076/en" TargetMode="Externa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69CFB8F8543FFB0E3292DECC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903E-9232-47C6-AAC4-89D88CF76C07}"/>
      </w:docPartPr>
      <w:docPartBody>
        <w:p w:rsidR="009474B5" w:rsidRDefault="00AB04B4" w:rsidP="00AB04B4">
          <w:pPr>
            <w:pStyle w:val="FDD69CFB8F8543FFB0E3292DECCF018A1"/>
          </w:pPr>
          <w:r w:rsidRPr="00E8129C">
            <w:rPr>
              <w:rStyle w:val="PlaceholderText"/>
              <w:b/>
              <w:bCs/>
              <w:highlight w:val="yellow"/>
              <w:lang w:val="en-GB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1B448D"/>
    <w:rsid w:val="003D359A"/>
    <w:rsid w:val="007D06F0"/>
    <w:rsid w:val="009474B5"/>
    <w:rsid w:val="00AB04B4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4B4"/>
    <w:rPr>
      <w:color w:val="808080"/>
    </w:rPr>
  </w:style>
  <w:style w:type="paragraph" w:customStyle="1" w:styleId="A1D7DDF2916946AB860D49A3C08E210E">
    <w:name w:val="A1D7DDF2916946AB860D49A3C08E210E"/>
    <w:rsid w:val="003D359A"/>
  </w:style>
  <w:style w:type="paragraph" w:customStyle="1" w:styleId="FDD69CFB8F8543FFB0E3292DECCF018A1">
    <w:name w:val="FDD69CFB8F8543FFB0E3292DECCF018A1"/>
    <w:rsid w:val="00AB04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726F-1BB9-462E-81AF-81006218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78</TotalTime>
  <Pages>4</Pages>
  <Words>907</Words>
  <Characters>8429</Characters>
  <Application>Microsoft Office Word</Application>
  <DocSecurity>0</DocSecurity>
  <Lines>70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9318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10</cp:revision>
  <cp:lastPrinted>2020-01-30T15:34:00Z</cp:lastPrinted>
  <dcterms:created xsi:type="dcterms:W3CDTF">2023-11-22T12:09:00Z</dcterms:created>
  <dcterms:modified xsi:type="dcterms:W3CDTF">2023-11-24T06:00:00Z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