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5F9D7F2" w14:textId="77777777" w:rsidTr="00153E23">
        <w:tc>
          <w:tcPr>
            <w:tcW w:w="5000" w:type="pct"/>
            <w:gridSpan w:val="3"/>
            <w:shd w:val="clear" w:color="auto" w:fill="auto"/>
          </w:tcPr>
          <w:p w14:paraId="7B640D0A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855285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0321313" w14:textId="77777777" w:rsidTr="00153E23">
        <w:tc>
          <w:tcPr>
            <w:tcW w:w="2707" w:type="pct"/>
            <w:gridSpan w:val="2"/>
            <w:shd w:val="clear" w:color="auto" w:fill="auto"/>
          </w:tcPr>
          <w:p w14:paraId="5CDE0AD2" w14:textId="657A6DED" w:rsidR="000F7BBE" w:rsidRPr="000F7BBE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DD4D15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4D520510" w14:textId="6972F01F" w:rsidR="000F7BBE" w:rsidRPr="000F7BBE" w:rsidRDefault="00C364F1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 w:rsidR="00B53611">
              <w:rPr>
                <w:b/>
                <w:bCs/>
                <w:position w:val="2"/>
                <w:lang w:val="en-GB" w:bidi="ar-EG"/>
              </w:rPr>
              <w:t>1113</w:t>
            </w:r>
          </w:p>
        </w:tc>
        <w:tc>
          <w:tcPr>
            <w:tcW w:w="2293" w:type="pct"/>
            <w:shd w:val="clear" w:color="auto" w:fill="auto"/>
          </w:tcPr>
          <w:p w14:paraId="5E990A6E" w14:textId="7A749C9A" w:rsidR="000F7BBE" w:rsidRPr="00B53611" w:rsidRDefault="00814BF7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SY"/>
              </w:rPr>
            </w:pPr>
            <w:r>
              <w:rPr>
                <w:position w:val="2"/>
                <w:lang w:val="fr-FR" w:bidi="ar-EG"/>
              </w:rPr>
              <w:t>29</w:t>
            </w:r>
            <w:r w:rsidR="00B53611">
              <w:rPr>
                <w:rFonts w:hint="cs"/>
                <w:position w:val="2"/>
                <w:rtl/>
                <w:lang w:val="fr-FR" w:bidi="ar-SY"/>
              </w:rPr>
              <w:t xml:space="preserve"> يوليو </w:t>
            </w:r>
            <w:r w:rsidR="00B53611">
              <w:rPr>
                <w:position w:val="2"/>
                <w:lang w:bidi="ar-SY"/>
              </w:rPr>
              <w:t>2024</w:t>
            </w:r>
          </w:p>
        </w:tc>
      </w:tr>
      <w:tr w:rsidR="000F7BBE" w:rsidRPr="000F7BBE" w14:paraId="40140608" w14:textId="77777777" w:rsidTr="00153E23">
        <w:tc>
          <w:tcPr>
            <w:tcW w:w="5000" w:type="pct"/>
            <w:gridSpan w:val="3"/>
            <w:shd w:val="clear" w:color="auto" w:fill="auto"/>
          </w:tcPr>
          <w:p w14:paraId="0C129613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8A55261" w14:textId="77777777" w:rsidTr="00153E23">
        <w:tc>
          <w:tcPr>
            <w:tcW w:w="5000" w:type="pct"/>
            <w:gridSpan w:val="3"/>
            <w:shd w:val="clear" w:color="auto" w:fill="auto"/>
          </w:tcPr>
          <w:p w14:paraId="5B384469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0F7BBE" w14:paraId="150D037E" w14:textId="77777777" w:rsidTr="00153E23">
        <w:tc>
          <w:tcPr>
            <w:tcW w:w="5000" w:type="pct"/>
            <w:gridSpan w:val="3"/>
            <w:shd w:val="clear" w:color="auto" w:fill="auto"/>
          </w:tcPr>
          <w:p w14:paraId="19560BBD" w14:textId="5E53FD33" w:rsidR="00C364F1" w:rsidRPr="000F7BBE" w:rsidRDefault="00C364F1" w:rsidP="0031013C">
            <w:pPr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="0031013C" w:rsidRPr="008D3F8E">
              <w:rPr>
                <w:b/>
                <w:bCs/>
                <w:rtl/>
                <w:lang w:bidi="ar-EG"/>
              </w:rPr>
              <w:tab/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="007058E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والهيئات الأكاديمية المنضمة إلى الاتحاد 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B53611">
              <w:rPr>
                <w:b/>
                <w:bCs/>
                <w:position w:val="2"/>
                <w:lang w:val="en-GB"/>
              </w:rPr>
              <w:t>4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0F7BBE" w14:paraId="03E852C4" w14:textId="77777777" w:rsidTr="00153E23">
        <w:tc>
          <w:tcPr>
            <w:tcW w:w="5000" w:type="pct"/>
            <w:gridSpan w:val="3"/>
            <w:shd w:val="clear" w:color="auto" w:fill="auto"/>
          </w:tcPr>
          <w:p w14:paraId="2F4BA43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9141327" w14:textId="77777777" w:rsidTr="00153E23">
        <w:tc>
          <w:tcPr>
            <w:tcW w:w="5000" w:type="pct"/>
            <w:gridSpan w:val="3"/>
            <w:shd w:val="clear" w:color="auto" w:fill="auto"/>
          </w:tcPr>
          <w:p w14:paraId="02BBC8D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C364F1" w:rsidRPr="000F7BBE" w14:paraId="71348AC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22FAA79" w14:textId="77777777" w:rsidR="00C364F1" w:rsidRPr="000F7BBE" w:rsidRDefault="00C364F1" w:rsidP="00C364F1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4317925" w14:textId="470D5232" w:rsidR="00C364F1" w:rsidRPr="008D3F8E" w:rsidRDefault="00C364F1" w:rsidP="00B53611">
            <w:pPr>
              <w:tabs>
                <w:tab w:val="left" w:pos="4553"/>
              </w:tabs>
              <w:spacing w:before="60" w:after="60" w:line="300" w:lineRule="exact"/>
              <w:rPr>
                <w:b/>
                <w:bCs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B53611">
              <w:rPr>
                <w:b/>
                <w:bCs/>
                <w:lang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Pr="005A73CF">
              <w:rPr>
                <w:b/>
                <w:bCs/>
                <w:rtl/>
                <w:lang w:bidi="ar-EG"/>
              </w:rPr>
              <w:t xml:space="preserve"> الراديوي</w:t>
            </w:r>
            <w:r w:rsidRPr="005A73CF">
              <w:rPr>
                <w:rFonts w:hint="cs"/>
                <w:b/>
                <w:bCs/>
                <w:rtl/>
                <w:lang w:bidi="ar-EG"/>
              </w:rPr>
              <w:t>ة</w:t>
            </w:r>
            <w:r w:rsidR="00B53611">
              <w:rPr>
                <w:rFonts w:hint="cs"/>
                <w:b/>
                <w:bCs/>
                <w:rtl/>
                <w:lang w:bidi="ar-EG"/>
              </w:rPr>
              <w:t xml:space="preserve"> (الخدمات </w:t>
            </w:r>
            <w:proofErr w:type="spellStart"/>
            <w:r w:rsidR="00B53611">
              <w:rPr>
                <w:rFonts w:hint="cs"/>
                <w:b/>
                <w:bCs/>
                <w:rtl/>
                <w:lang w:bidi="ar-EG"/>
              </w:rPr>
              <w:t>الساتلية</w:t>
            </w:r>
            <w:proofErr w:type="spellEnd"/>
            <w:r w:rsidR="00B53611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42772E35" w14:textId="5DFC56E3" w:rsidR="00C364F1" w:rsidRPr="00B53611" w:rsidRDefault="00C364F1" w:rsidP="00B53611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مراجعة </w:t>
            </w:r>
            <w:r w:rsidR="00B53611">
              <w:rPr>
                <w:rFonts w:hint="cs"/>
                <w:b/>
                <w:bCs/>
                <w:rtl/>
                <w:lang w:bidi="ar-EG"/>
              </w:rPr>
              <w:t>توصيتين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</w:t>
            </w:r>
            <w:r w:rsidRPr="00DF2991">
              <w:rPr>
                <w:rFonts w:hint="cs"/>
                <w:b/>
                <w:bCs/>
                <w:rtl/>
                <w:lang w:bidi="ar-EG"/>
              </w:rPr>
              <w:t>عليه</w:t>
            </w:r>
            <w:r w:rsidR="00DF2991" w:rsidRPr="00DF2991">
              <w:rPr>
                <w:rFonts w:hint="cs"/>
                <w:b/>
                <w:bCs/>
                <w:rtl/>
                <w:lang w:bidi="ar-EG"/>
              </w:rPr>
              <w:t>م</w:t>
            </w:r>
            <w:r w:rsidRPr="00DF2991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proofErr w:type="spellStart"/>
            <w:r>
              <w:rPr>
                <w:b/>
                <w:bCs/>
                <w:lang w:bidi="ar-EG"/>
              </w:rPr>
              <w:t>4.2.6.A2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ITU</w:t>
            </w:r>
            <w:r>
              <w:rPr>
                <w:b/>
                <w:bCs/>
                <w:lang w:bidi="ar-EG"/>
              </w:rPr>
              <w:noBreakHyphen/>
              <w:t>R 1</w:t>
            </w:r>
            <w:r>
              <w:rPr>
                <w:b/>
                <w:bCs/>
                <w:lang w:bidi="ar-EG"/>
              </w:rPr>
              <w:noBreakHyphen/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  <w:tr w:rsidR="00FC09E8" w:rsidRPr="000F7BBE" w14:paraId="414DCB1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7BC16B6" w14:textId="77777777" w:rsidR="00FC09E8" w:rsidRPr="000F7BBE" w:rsidRDefault="00FC09E8" w:rsidP="00B53611">
            <w:pPr>
              <w:spacing w:before="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5BFFCB0" w14:textId="77777777" w:rsidR="00FC09E8" w:rsidRDefault="00FC09E8" w:rsidP="00B53611">
            <w:pPr>
              <w:tabs>
                <w:tab w:val="clear" w:pos="794"/>
                <w:tab w:val="left" w:pos="385"/>
              </w:tabs>
              <w:spacing w:before="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0754BC8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00BA63C6" w14:textId="2770327E" w:rsidR="00A93B86" w:rsidRDefault="00D53EA6" w:rsidP="00A93B86">
      <w:pPr>
        <w:rPr>
          <w:rtl/>
        </w:rPr>
      </w:pPr>
      <w:r>
        <w:rPr>
          <w:rFonts w:hint="cs"/>
          <w:rtl/>
          <w:lang w:bidi="ar-EG"/>
        </w:rPr>
        <w:t>قُدِّم</w:t>
      </w:r>
      <w:r w:rsidR="00A93B86" w:rsidRPr="00EA53F4">
        <w:rPr>
          <w:rtl/>
          <w:lang w:bidi="ar-EG"/>
        </w:rPr>
        <w:t xml:space="preserve"> </w:t>
      </w:r>
      <w:r w:rsidR="00A93B86">
        <w:rPr>
          <w:rFonts w:hint="cs"/>
          <w:rtl/>
          <w:lang w:bidi="ar-EG"/>
        </w:rPr>
        <w:t>بموجب</w:t>
      </w:r>
      <w:r w:rsidR="00A93B86" w:rsidRPr="00EA53F4">
        <w:rPr>
          <w:rtl/>
          <w:lang w:bidi="ar-EG"/>
        </w:rPr>
        <w:t xml:space="preserve"> </w:t>
      </w:r>
      <w:r w:rsidR="00A93B86" w:rsidRPr="00EA53F4">
        <w:rPr>
          <w:rFonts w:hint="cs"/>
          <w:rtl/>
          <w:lang w:bidi="ar-EG"/>
        </w:rPr>
        <w:t>الرسالة</w:t>
      </w:r>
      <w:r w:rsidR="00A93B86" w:rsidRPr="00EA53F4">
        <w:rPr>
          <w:rtl/>
          <w:lang w:bidi="ar-EG"/>
        </w:rPr>
        <w:t xml:space="preserve"> الإدارية</w:t>
      </w:r>
      <w:r w:rsidR="00A93B86" w:rsidRPr="00EA53F4">
        <w:rPr>
          <w:rFonts w:hint="cs"/>
          <w:rtl/>
          <w:lang w:bidi="ar-EG"/>
        </w:rPr>
        <w:t xml:space="preserve"> </w:t>
      </w:r>
      <w:r w:rsidR="00A93B86">
        <w:rPr>
          <w:rFonts w:hint="cs"/>
          <w:rtl/>
          <w:lang w:bidi="ar-EG"/>
        </w:rPr>
        <w:t>المعممة</w:t>
      </w:r>
      <w:r w:rsidR="00A93B86" w:rsidRPr="00EA53F4">
        <w:rPr>
          <w:rtl/>
          <w:lang w:bidi="ar-EG"/>
        </w:rPr>
        <w:t xml:space="preserve"> </w:t>
      </w:r>
      <w:hyperlink r:id="rId8" w:history="1">
        <w:r w:rsidR="00A93B86" w:rsidRPr="00383B29">
          <w:rPr>
            <w:rStyle w:val="Hyperlink"/>
          </w:rPr>
          <w:t>CACE/</w:t>
        </w:r>
        <w:r w:rsidR="00B53611" w:rsidRPr="00B53611">
          <w:rPr>
            <w:rStyle w:val="Hyperlink"/>
          </w:rPr>
          <w:t>1107</w:t>
        </w:r>
      </w:hyperlink>
      <w:r w:rsidR="00A93B86" w:rsidRPr="00EA53F4">
        <w:rPr>
          <w:rtl/>
          <w:lang w:bidi="ar-EG"/>
        </w:rPr>
        <w:t xml:space="preserve"> </w:t>
      </w:r>
      <w:r w:rsidR="00A93B86">
        <w:rPr>
          <w:rFonts w:hint="cs"/>
          <w:rtl/>
          <w:lang w:bidi="ar-EG"/>
        </w:rPr>
        <w:t>المؤرخة</w:t>
      </w:r>
      <w:r w:rsidR="00A93B86" w:rsidRPr="00EA53F4">
        <w:rPr>
          <w:rtl/>
          <w:lang w:bidi="ar-EG"/>
        </w:rPr>
        <w:t xml:space="preserve"> </w:t>
      </w:r>
      <w:r w:rsidR="00B53611">
        <w:rPr>
          <w:lang w:bidi="ar-EG"/>
        </w:rPr>
        <w:t>23</w:t>
      </w:r>
      <w:r w:rsidR="00B53611">
        <w:rPr>
          <w:rFonts w:hint="cs"/>
          <w:rtl/>
          <w:lang w:bidi="ar-EG"/>
        </w:rPr>
        <w:t xml:space="preserve"> مايو </w:t>
      </w:r>
      <w:r w:rsidR="00B53611">
        <w:rPr>
          <w:lang w:bidi="ar-EG"/>
        </w:rPr>
        <w:t>2024</w:t>
      </w:r>
      <w:r w:rsidR="00A93B86" w:rsidRPr="00EA53F4">
        <w:rPr>
          <w:rtl/>
          <w:lang w:bidi="ar-EG"/>
        </w:rPr>
        <w:t xml:space="preserve">، </w:t>
      </w:r>
      <w:r w:rsidR="00A93B86">
        <w:rPr>
          <w:rFonts w:hint="cs"/>
          <w:rtl/>
        </w:rPr>
        <w:t>مشروع</w:t>
      </w:r>
      <w:r>
        <w:rPr>
          <w:rFonts w:hint="cs"/>
          <w:rtl/>
        </w:rPr>
        <w:t>ا</w:t>
      </w:r>
      <w:r w:rsidR="00A93B86">
        <w:rPr>
          <w:rFonts w:hint="cs"/>
          <w:rtl/>
        </w:rPr>
        <w:t xml:space="preserve"> </w:t>
      </w:r>
      <w:r w:rsidR="00A93B86" w:rsidRPr="00EA53F4">
        <w:rPr>
          <w:rFonts w:hint="cs"/>
          <w:rtl/>
        </w:rPr>
        <w:t>مراجعة</w:t>
      </w:r>
      <w:r w:rsidR="00A93B86">
        <w:rPr>
          <w:rFonts w:hint="cs"/>
          <w:rtl/>
        </w:rPr>
        <w:t xml:space="preserve"> </w:t>
      </w:r>
      <w:r w:rsidR="00B53611">
        <w:rPr>
          <w:rFonts w:hint="cs"/>
          <w:rtl/>
        </w:rPr>
        <w:t>توصيتين</w:t>
      </w:r>
      <w:r w:rsidR="00A93B86" w:rsidRPr="00EA53F4">
        <w:rPr>
          <w:rtl/>
          <w:lang w:bidi="ar-EG"/>
        </w:rPr>
        <w:t xml:space="preserve"> </w:t>
      </w:r>
      <w:r w:rsidR="00A93B86">
        <w:rPr>
          <w:rFonts w:hint="cs"/>
          <w:rtl/>
          <w:lang w:bidi="ar-EG"/>
        </w:rPr>
        <w:t xml:space="preserve">لقطاع الاتصالات الراديوية </w:t>
      </w:r>
      <w:r w:rsidR="00A93B86" w:rsidRPr="00EA53F4">
        <w:rPr>
          <w:rtl/>
          <w:lang w:bidi="ar-EG"/>
        </w:rPr>
        <w:t>لاعتماده</w:t>
      </w:r>
      <w:r>
        <w:rPr>
          <w:rFonts w:hint="cs"/>
          <w:rtl/>
          <w:lang w:bidi="ar-EG"/>
        </w:rPr>
        <w:t>م</w:t>
      </w:r>
      <w:r w:rsidR="00A93B86" w:rsidRPr="00EA53F4">
        <w:rPr>
          <w:rtl/>
          <w:lang w:bidi="ar-EG"/>
        </w:rPr>
        <w:t xml:space="preserve">ا </w:t>
      </w:r>
      <w:r w:rsidR="00A93B86">
        <w:rPr>
          <w:rFonts w:hint="cs"/>
          <w:rtl/>
          <w:lang w:bidi="ar-EG"/>
        </w:rPr>
        <w:t>والموافقة</w:t>
      </w:r>
      <w:r w:rsidR="00A93B86" w:rsidRPr="00EA53F4">
        <w:rPr>
          <w:rtl/>
          <w:lang w:bidi="ar-EG"/>
        </w:rPr>
        <w:t xml:space="preserve"> عليه</w:t>
      </w:r>
      <w:r>
        <w:rPr>
          <w:rFonts w:hint="cs"/>
          <w:rtl/>
          <w:lang w:bidi="ar-EG"/>
        </w:rPr>
        <w:t>م</w:t>
      </w:r>
      <w:r w:rsidR="00A93B86" w:rsidRPr="00EA53F4">
        <w:rPr>
          <w:rtl/>
          <w:lang w:bidi="ar-EG"/>
        </w:rPr>
        <w:t xml:space="preserve">ا في نفس الوقت عن طريق </w:t>
      </w:r>
      <w:r w:rsidR="00A93B86">
        <w:rPr>
          <w:rFonts w:hint="cs"/>
          <w:rtl/>
          <w:lang w:bidi="ar-EG"/>
        </w:rPr>
        <w:t>المراسلة</w:t>
      </w:r>
      <w:r w:rsidR="00A93B86" w:rsidRPr="00EA53F4">
        <w:rPr>
          <w:rFonts w:hint="cs"/>
          <w:rtl/>
          <w:lang w:bidi="ar-EG"/>
        </w:rPr>
        <w:t xml:space="preserve"> </w:t>
      </w:r>
      <w:r w:rsidR="00A93B86" w:rsidRPr="00EA53F4">
        <w:t>(</w:t>
      </w:r>
      <w:proofErr w:type="spellStart"/>
      <w:r w:rsidR="00A93B86" w:rsidRPr="00EA53F4">
        <w:t>PSAA</w:t>
      </w:r>
      <w:proofErr w:type="spellEnd"/>
      <w:r w:rsidR="00A93B86" w:rsidRPr="00EA53F4">
        <w:t>)</w:t>
      </w:r>
      <w:r w:rsidR="00A93B86" w:rsidRPr="00EA53F4">
        <w:rPr>
          <w:rtl/>
          <w:lang w:bidi="ar-EG"/>
        </w:rPr>
        <w:t xml:space="preserve"> وفقاً للإجراء </w:t>
      </w:r>
      <w:r w:rsidR="00A93B86">
        <w:rPr>
          <w:rFonts w:hint="cs"/>
          <w:rtl/>
          <w:lang w:bidi="ar-EG"/>
        </w:rPr>
        <w:t>المنصوص</w:t>
      </w:r>
      <w:r w:rsidR="00A93B86" w:rsidRPr="00EA53F4">
        <w:rPr>
          <w:rtl/>
          <w:lang w:bidi="ar-EG"/>
        </w:rPr>
        <w:t xml:space="preserve"> عليه في</w:t>
      </w:r>
      <w:r w:rsidR="00A93B86" w:rsidRPr="00EA53F4">
        <w:rPr>
          <w:rFonts w:hint="cs"/>
          <w:rtl/>
          <w:lang w:bidi="ar-EG"/>
        </w:rPr>
        <w:t> </w:t>
      </w:r>
      <w:r w:rsidR="00A93B86" w:rsidRPr="00EA53F4">
        <w:rPr>
          <w:rtl/>
          <w:lang w:bidi="ar-EG"/>
        </w:rPr>
        <w:t>القرار</w:t>
      </w:r>
      <w:r w:rsidR="00A93B86" w:rsidRPr="00EA53F4">
        <w:rPr>
          <w:rFonts w:hint="cs"/>
          <w:rtl/>
          <w:lang w:bidi="ar-EG"/>
        </w:rPr>
        <w:t> </w:t>
      </w:r>
      <w:r w:rsidR="00A93B86" w:rsidRPr="00EA53F4">
        <w:t>ITU</w:t>
      </w:r>
      <w:r w:rsidR="00A93B86" w:rsidRPr="00EA53F4">
        <w:sym w:font="Symbol" w:char="F02D"/>
      </w:r>
      <w:r w:rsidR="00A93B86" w:rsidRPr="00EA53F4">
        <w:t>R 1</w:t>
      </w:r>
      <w:r w:rsidR="00A93B86" w:rsidRPr="00EA53F4">
        <w:noBreakHyphen/>
      </w:r>
      <w:r w:rsidR="00A93B86">
        <w:t>9</w:t>
      </w:r>
      <w:r w:rsidR="00A93B86" w:rsidRPr="00EA53F4">
        <w:rPr>
          <w:rtl/>
          <w:lang w:bidi="ar-EG"/>
        </w:rPr>
        <w:t xml:space="preserve"> (الفقرة </w:t>
      </w:r>
      <w:proofErr w:type="spellStart"/>
      <w:r w:rsidR="00A93B86">
        <w:t>4.2.6.A2</w:t>
      </w:r>
      <w:proofErr w:type="spellEnd"/>
      <w:r w:rsidR="00A93B86" w:rsidRPr="00EA53F4">
        <w:rPr>
          <w:rtl/>
          <w:lang w:bidi="ar-EG"/>
        </w:rPr>
        <w:t>).</w:t>
      </w:r>
    </w:p>
    <w:p w14:paraId="09924E8B" w14:textId="596ECFF2" w:rsidR="00A93B86" w:rsidRDefault="00A93B86" w:rsidP="00A93B86">
      <w:pPr>
        <w:rPr>
          <w:rtl/>
          <w:lang w:bidi="ar-EG"/>
        </w:rPr>
      </w:pPr>
      <w:r w:rsidRPr="00EA53F4">
        <w:rPr>
          <w:rtl/>
          <w:lang w:bidi="ar-EG"/>
        </w:rPr>
        <w:t>وقد است</w:t>
      </w:r>
      <w:r w:rsidR="0031013C">
        <w:rPr>
          <w:rFonts w:hint="cs"/>
          <w:rtl/>
          <w:lang w:bidi="ar-EG"/>
        </w:rPr>
        <w:t>ُ</w:t>
      </w:r>
      <w:r w:rsidRPr="00EA53F4">
        <w:rPr>
          <w:rtl/>
          <w:lang w:bidi="ar-EG"/>
        </w:rPr>
        <w:t>وفي</w:t>
      </w:r>
      <w:r w:rsidR="0031013C">
        <w:rPr>
          <w:rFonts w:hint="cs"/>
          <w:rtl/>
          <w:lang w:bidi="ar-EG"/>
        </w:rPr>
        <w:t>َ</w:t>
      </w:r>
      <w:r w:rsidRPr="00EA53F4">
        <w:rPr>
          <w:rtl/>
          <w:lang w:bidi="ar-EG"/>
        </w:rPr>
        <w:t xml:space="preserve">ت الشروط </w:t>
      </w:r>
      <w:r w:rsidR="00D53EA6">
        <w:rPr>
          <w:rFonts w:hint="cs"/>
          <w:rtl/>
          <w:lang w:bidi="ar-EG"/>
        </w:rPr>
        <w:t>الناظمة</w:t>
      </w:r>
      <w:r w:rsidRPr="00EA53F4">
        <w:rPr>
          <w:rFonts w:hint="cs"/>
          <w:rtl/>
          <w:lang w:bidi="ar-EG"/>
        </w:rPr>
        <w:t xml:space="preserve"> </w:t>
      </w:r>
      <w:r w:rsidR="00D53EA6">
        <w:rPr>
          <w:rFonts w:hint="cs"/>
          <w:rtl/>
          <w:lang w:bidi="ar-EG"/>
        </w:rPr>
        <w:t>ل</w:t>
      </w:r>
      <w:r w:rsidRPr="00EA53F4">
        <w:rPr>
          <w:rFonts w:hint="cs"/>
          <w:rtl/>
          <w:lang w:bidi="ar-EG"/>
        </w:rPr>
        <w:t xml:space="preserve">هذا </w:t>
      </w:r>
      <w:r w:rsidRPr="00EA53F4">
        <w:rPr>
          <w:rtl/>
          <w:lang w:bidi="ar-EG"/>
        </w:rPr>
        <w:t xml:space="preserve">الإجراء في </w:t>
      </w:r>
      <w:r w:rsidR="00B53611">
        <w:rPr>
          <w:lang w:bidi="ar-EG"/>
        </w:rPr>
        <w:t>23</w:t>
      </w:r>
      <w:r w:rsidR="00B53611">
        <w:rPr>
          <w:rFonts w:hint="cs"/>
          <w:rtl/>
          <w:lang w:bidi="ar-SY"/>
        </w:rPr>
        <w:t xml:space="preserve"> يوليو </w:t>
      </w:r>
      <w:r w:rsidR="00B53611">
        <w:rPr>
          <w:lang w:bidi="ar-SY"/>
        </w:rPr>
        <w:t>2024</w:t>
      </w:r>
      <w:r w:rsidRPr="00EA53F4">
        <w:rPr>
          <w:rFonts w:hint="cs"/>
          <w:rtl/>
          <w:lang w:bidi="ar-EG"/>
        </w:rPr>
        <w:t>.</w:t>
      </w:r>
    </w:p>
    <w:p w14:paraId="4CDBD308" w14:textId="2916CA8D" w:rsidR="00A93B86" w:rsidRDefault="00A93B86" w:rsidP="00A93B86">
      <w:pPr>
        <w:rPr>
          <w:rtl/>
        </w:rPr>
      </w:pPr>
      <w:r w:rsidRPr="004250DC">
        <w:rPr>
          <w:rtl/>
          <w:lang w:bidi="ar-EG"/>
        </w:rPr>
        <w:t xml:space="preserve">وسينشر </w:t>
      </w:r>
      <w:r w:rsidRPr="004250DC">
        <w:rPr>
          <w:rFonts w:hint="cs"/>
          <w:rtl/>
          <w:lang w:bidi="ar-EG"/>
        </w:rPr>
        <w:t>الاتحاد</w:t>
      </w:r>
      <w:r w:rsidRPr="004250DC">
        <w:rPr>
          <w:rtl/>
          <w:lang w:bidi="ar-EG"/>
        </w:rPr>
        <w:t xml:space="preserve"> </w:t>
      </w:r>
      <w:r w:rsidR="004250DC" w:rsidRPr="004250DC">
        <w:rPr>
          <w:rFonts w:hint="cs"/>
          <w:rtl/>
          <w:lang w:bidi="ar-EG"/>
        </w:rPr>
        <w:t>التوصيت</w:t>
      </w:r>
      <w:r w:rsidR="00D53EA6">
        <w:rPr>
          <w:rFonts w:hint="cs"/>
          <w:rtl/>
          <w:lang w:bidi="ar-EG"/>
        </w:rPr>
        <w:t>ين</w:t>
      </w:r>
      <w:r w:rsidRPr="004250DC">
        <w:rPr>
          <w:rFonts w:hint="cs"/>
          <w:rtl/>
          <w:lang w:bidi="ar-EG"/>
        </w:rPr>
        <w:t xml:space="preserve"> الموافَق</w:t>
      </w:r>
      <w:r w:rsidRPr="004250DC">
        <w:rPr>
          <w:rtl/>
          <w:lang w:bidi="ar-EG"/>
        </w:rPr>
        <w:t xml:space="preserve"> عليه</w:t>
      </w:r>
      <w:r w:rsidR="00D53EA6">
        <w:rPr>
          <w:rFonts w:hint="cs"/>
          <w:rtl/>
          <w:lang w:bidi="ar-EG"/>
        </w:rPr>
        <w:t>م</w:t>
      </w:r>
      <w:r w:rsidRPr="004250DC">
        <w:rPr>
          <w:rtl/>
          <w:lang w:bidi="ar-EG"/>
        </w:rPr>
        <w:t xml:space="preserve">ا، ويتضمن </w:t>
      </w:r>
      <w:r w:rsidRPr="004250DC">
        <w:rPr>
          <w:rFonts w:hint="cs"/>
          <w:rtl/>
          <w:lang w:bidi="ar-EG"/>
        </w:rPr>
        <w:t>الملحق ب</w:t>
      </w:r>
      <w:r w:rsidRPr="004250DC">
        <w:rPr>
          <w:rtl/>
          <w:lang w:bidi="ar-EG"/>
        </w:rPr>
        <w:t xml:space="preserve">هذه </w:t>
      </w:r>
      <w:r w:rsidRPr="004250DC">
        <w:rPr>
          <w:rFonts w:hint="cs"/>
          <w:rtl/>
          <w:lang w:bidi="ar-EG"/>
        </w:rPr>
        <w:t xml:space="preserve">الرسالة المعممة </w:t>
      </w:r>
      <w:r w:rsidR="004250DC" w:rsidRPr="004250DC">
        <w:rPr>
          <w:rFonts w:hint="cs"/>
          <w:rtl/>
          <w:lang w:bidi="ar-EG"/>
        </w:rPr>
        <w:t>عنو</w:t>
      </w:r>
      <w:r w:rsidR="00D53EA6">
        <w:rPr>
          <w:rFonts w:hint="cs"/>
          <w:rtl/>
          <w:lang w:bidi="ar-EG"/>
        </w:rPr>
        <w:t>ان</w:t>
      </w:r>
      <w:r w:rsidR="004250DC" w:rsidRPr="004250DC">
        <w:rPr>
          <w:rFonts w:hint="cs"/>
          <w:rtl/>
          <w:lang w:bidi="ar-EG"/>
        </w:rPr>
        <w:t xml:space="preserve">ي </w:t>
      </w:r>
      <w:r w:rsidR="00D53EA6">
        <w:rPr>
          <w:rFonts w:hint="cs"/>
          <w:rtl/>
          <w:lang w:bidi="ar-EG"/>
        </w:rPr>
        <w:t>هاتين</w:t>
      </w:r>
      <w:r w:rsidR="004250DC" w:rsidRPr="004250DC">
        <w:rPr>
          <w:rFonts w:hint="cs"/>
          <w:rtl/>
          <w:lang w:bidi="ar-EG"/>
        </w:rPr>
        <w:t xml:space="preserve"> التوصيت</w:t>
      </w:r>
      <w:r w:rsidR="00D53EA6">
        <w:rPr>
          <w:rFonts w:hint="cs"/>
          <w:rtl/>
          <w:lang w:bidi="ar-EG"/>
        </w:rPr>
        <w:t>ين</w:t>
      </w:r>
      <w:r w:rsidR="004250DC" w:rsidRPr="004250DC">
        <w:rPr>
          <w:rFonts w:hint="cs"/>
          <w:rtl/>
          <w:lang w:bidi="ar-EG"/>
        </w:rPr>
        <w:t xml:space="preserve"> </w:t>
      </w:r>
      <w:r w:rsidR="00D53EA6">
        <w:rPr>
          <w:rFonts w:hint="cs"/>
          <w:rtl/>
          <w:lang w:bidi="ar-EG"/>
        </w:rPr>
        <w:t>والرقمين</w:t>
      </w:r>
      <w:r w:rsidR="004250DC" w:rsidRPr="004250DC">
        <w:rPr>
          <w:rFonts w:hint="cs"/>
          <w:rtl/>
          <w:lang w:bidi="ar-EG"/>
        </w:rPr>
        <w:t xml:space="preserve"> المخصص</w:t>
      </w:r>
      <w:r w:rsidR="00D53EA6">
        <w:rPr>
          <w:rFonts w:hint="cs"/>
          <w:rtl/>
          <w:lang w:bidi="ar-EG"/>
        </w:rPr>
        <w:t>ين</w:t>
      </w:r>
      <w:r w:rsidR="004250DC" w:rsidRPr="004250DC">
        <w:rPr>
          <w:rtl/>
          <w:lang w:bidi="ar-EG"/>
        </w:rPr>
        <w:t xml:space="preserve"> </w:t>
      </w:r>
      <w:r w:rsidR="00B53611" w:rsidRPr="004250DC">
        <w:rPr>
          <w:rFonts w:hint="cs"/>
          <w:rtl/>
          <w:lang w:bidi="ar-EG"/>
        </w:rPr>
        <w:t>له</w:t>
      </w:r>
      <w:r w:rsidR="00D53EA6">
        <w:rPr>
          <w:rFonts w:hint="cs"/>
          <w:rtl/>
          <w:lang w:bidi="ar-EG"/>
        </w:rPr>
        <w:t>م</w:t>
      </w:r>
      <w:r w:rsidR="00B53611" w:rsidRPr="004250DC">
        <w:rPr>
          <w:rFonts w:hint="cs"/>
          <w:rtl/>
          <w:lang w:bidi="ar-EG"/>
        </w:rPr>
        <w:t>ا</w:t>
      </w:r>
      <w:r w:rsidRPr="004250DC">
        <w:rPr>
          <w:rFonts w:hint="cs"/>
          <w:rtl/>
        </w:rPr>
        <w:t>.</w:t>
      </w:r>
    </w:p>
    <w:p w14:paraId="7838C097" w14:textId="77777777" w:rsidR="00D02121" w:rsidRDefault="00D02121" w:rsidP="00D0212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44153A6" w14:textId="77777777" w:rsidR="00D02121" w:rsidRDefault="00D02121" w:rsidP="00FD45B2">
      <w:pPr>
        <w:spacing w:before="120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4932C545" w14:textId="1DB91195" w:rsidR="00D02121" w:rsidRDefault="007058E1" w:rsidP="00FD45B2">
      <w:pPr>
        <w:spacing w:before="1200"/>
        <w:rPr>
          <w:rtl/>
          <w:lang w:bidi="ar-SY"/>
        </w:rPr>
      </w:pPr>
      <w:r w:rsidRPr="007058E1">
        <w:rPr>
          <w:rFonts w:hint="cs"/>
          <w:b/>
          <w:bCs/>
          <w:rtl/>
          <w:lang w:bidi="ar-EG"/>
        </w:rPr>
        <w:t>الملحق</w:t>
      </w:r>
      <w:r w:rsidR="00D02121">
        <w:rPr>
          <w:rFonts w:hint="cs"/>
          <w:rtl/>
          <w:lang w:bidi="ar-EG"/>
        </w:rPr>
        <w:t xml:space="preserve">: </w:t>
      </w:r>
      <w:r w:rsidR="00B53611">
        <w:rPr>
          <w:lang w:bidi="ar-EG"/>
        </w:rPr>
        <w:t>1</w:t>
      </w:r>
    </w:p>
    <w:p w14:paraId="3BC6CA39" w14:textId="77777777" w:rsidR="00FC09E8" w:rsidRDefault="00FC09E8" w:rsidP="00B53611">
      <w:pPr>
        <w:rPr>
          <w:rtl/>
        </w:rPr>
      </w:pPr>
      <w:r>
        <w:rPr>
          <w:rtl/>
        </w:rPr>
        <w:br w:type="page"/>
      </w:r>
    </w:p>
    <w:p w14:paraId="7992393B" w14:textId="6C898DF5" w:rsidR="00A93B86" w:rsidRPr="00EA53F4" w:rsidRDefault="00A93B86" w:rsidP="00D53EA6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 w:rsidRPr="00EA53F4">
        <w:rPr>
          <w:rFonts w:hint="cs"/>
          <w:rtl/>
        </w:rPr>
        <w:t xml:space="preserve"> </w:t>
      </w:r>
      <w:r>
        <w:rPr>
          <w:rtl/>
        </w:rPr>
        <w:br/>
      </w:r>
      <w:r>
        <w:rPr>
          <w:rtl/>
        </w:rPr>
        <w:br/>
      </w:r>
      <w:r w:rsidR="00D53EA6" w:rsidRPr="00D53EA6">
        <w:rPr>
          <w:rFonts w:hint="cs"/>
          <w:rtl/>
          <w:lang w:bidi="ar-EG"/>
        </w:rPr>
        <w:t>عنوان</w:t>
      </w:r>
      <w:r w:rsidR="00D53EA6">
        <w:rPr>
          <w:rFonts w:hint="cs"/>
          <w:rtl/>
          <w:lang w:bidi="ar-EG"/>
        </w:rPr>
        <w:t>ا</w:t>
      </w:r>
      <w:r w:rsidR="00D53EA6" w:rsidRPr="00D53EA6">
        <w:rPr>
          <w:rFonts w:hint="cs"/>
          <w:rtl/>
          <w:lang w:bidi="ar-EG"/>
        </w:rPr>
        <w:t xml:space="preserve"> </w:t>
      </w:r>
      <w:r w:rsidR="004250DC">
        <w:rPr>
          <w:rFonts w:hint="cs"/>
          <w:rtl/>
        </w:rPr>
        <w:t>توصيت</w:t>
      </w:r>
      <w:r w:rsidR="00D53EA6">
        <w:rPr>
          <w:rFonts w:hint="cs"/>
          <w:rtl/>
        </w:rPr>
        <w:t>ي</w:t>
      </w:r>
      <w:r w:rsidR="004250DC">
        <w:rPr>
          <w:rFonts w:hint="cs"/>
          <w:rtl/>
        </w:rPr>
        <w:t xml:space="preserve"> </w:t>
      </w:r>
      <w:r>
        <w:rPr>
          <w:rFonts w:hint="cs"/>
          <w:rtl/>
        </w:rPr>
        <w:t>قطاع الاتصالات الراديوية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المواف</w:t>
      </w:r>
      <w:r w:rsidRPr="00065A06">
        <w:rPr>
          <w:rFonts w:hint="cs"/>
          <w:rtl/>
        </w:rPr>
        <w:t>َ</w:t>
      </w:r>
      <w:r w:rsidRPr="00065A06">
        <w:rPr>
          <w:rFonts w:hint="eastAsia"/>
          <w:rtl/>
        </w:rPr>
        <w:t>ق</w:t>
      </w:r>
      <w:r w:rsidRPr="00065A06">
        <w:rPr>
          <w:rtl/>
        </w:rPr>
        <w:t xml:space="preserve"> </w:t>
      </w:r>
      <w:r w:rsidRPr="00065A06">
        <w:rPr>
          <w:rFonts w:hint="eastAsia"/>
          <w:rtl/>
        </w:rPr>
        <w:t>عليه</w:t>
      </w:r>
      <w:r w:rsidR="00D53EA6">
        <w:rPr>
          <w:rFonts w:hint="cs"/>
          <w:rtl/>
        </w:rPr>
        <w:t>م</w:t>
      </w:r>
      <w:r w:rsidRPr="00065A06">
        <w:rPr>
          <w:rFonts w:hint="eastAsia"/>
          <w:rtl/>
        </w:rPr>
        <w:t>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A93B86" w:rsidRPr="004250DC" w14:paraId="1D887B93" w14:textId="77777777" w:rsidTr="004250DC">
        <w:tc>
          <w:tcPr>
            <w:tcW w:w="1982" w:type="dxa"/>
            <w:vAlign w:val="center"/>
          </w:tcPr>
          <w:p w14:paraId="205D89E5" w14:textId="77777777" w:rsidR="00A93B86" w:rsidRPr="004250DC" w:rsidRDefault="00A93B86" w:rsidP="002F0668">
            <w:pPr>
              <w:pStyle w:val="TableHead"/>
              <w:rPr>
                <w:rtl/>
                <w:lang w:bidi="ar-EG"/>
              </w:rPr>
            </w:pPr>
            <w:r w:rsidRPr="004250DC">
              <w:rPr>
                <w:rtl/>
              </w:rPr>
              <w:t xml:space="preserve">توصية قطاع الاتصالات الراديوية </w:t>
            </w:r>
            <w:r w:rsidRPr="004250DC">
              <w:t>(ITU-R)</w:t>
            </w:r>
          </w:p>
        </w:tc>
        <w:tc>
          <w:tcPr>
            <w:tcW w:w="5812" w:type="dxa"/>
            <w:vAlign w:val="center"/>
          </w:tcPr>
          <w:p w14:paraId="3F7FC95E" w14:textId="77777777" w:rsidR="00A93B86" w:rsidRPr="004250DC" w:rsidRDefault="00A93B86" w:rsidP="002F0668">
            <w:pPr>
              <w:pStyle w:val="TableHead"/>
              <w:rPr>
                <w:rtl/>
              </w:rPr>
            </w:pPr>
            <w:r w:rsidRPr="004250DC">
              <w:rPr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245CF750" w14:textId="4022C2C6" w:rsidR="00A93B86" w:rsidRPr="004250DC" w:rsidRDefault="00A93B86" w:rsidP="002F0668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250DC">
              <w:rPr>
                <w:b/>
                <w:bCs/>
                <w:sz w:val="20"/>
                <w:szCs w:val="20"/>
                <w:rtl/>
              </w:rPr>
              <w:t>الوثيقة</w:t>
            </w:r>
          </w:p>
        </w:tc>
      </w:tr>
      <w:tr w:rsidR="004250DC" w:rsidRPr="004250DC" w14:paraId="50ACA954" w14:textId="77777777" w:rsidTr="004250DC">
        <w:tc>
          <w:tcPr>
            <w:tcW w:w="1982" w:type="dxa"/>
            <w:vAlign w:val="center"/>
          </w:tcPr>
          <w:p w14:paraId="17F98322" w14:textId="69C32817" w:rsidR="004250DC" w:rsidRPr="004250DC" w:rsidRDefault="004250DC" w:rsidP="004250DC">
            <w:pPr>
              <w:pStyle w:val="Tabletexte"/>
              <w:jc w:val="center"/>
              <w:rPr>
                <w:highlight w:val="yellow"/>
                <w:rtl/>
                <w:lang w:bidi="ar-EG"/>
              </w:rPr>
            </w:pPr>
            <w:proofErr w:type="spellStart"/>
            <w:r w:rsidRPr="004250DC">
              <w:rPr>
                <w:lang w:val="en-GB"/>
              </w:rPr>
              <w:t>M.1787</w:t>
            </w:r>
            <w:proofErr w:type="spellEnd"/>
            <w:r w:rsidRPr="004250DC">
              <w:rPr>
                <w:lang w:val="en-GB"/>
              </w:rPr>
              <w:t>-5</w:t>
            </w:r>
          </w:p>
        </w:tc>
        <w:tc>
          <w:tcPr>
            <w:tcW w:w="5812" w:type="dxa"/>
          </w:tcPr>
          <w:p w14:paraId="5A2862D3" w14:textId="1EB7ECFE" w:rsidR="004250DC" w:rsidRPr="004250DC" w:rsidRDefault="004250DC" w:rsidP="004250DC">
            <w:pPr>
              <w:pStyle w:val="Tabletexte"/>
              <w:rPr>
                <w:highlight w:val="yellow"/>
                <w:rtl/>
              </w:rPr>
            </w:pPr>
            <w:r w:rsidRPr="004250DC">
              <w:rPr>
                <w:rtl/>
              </w:rPr>
              <w:t xml:space="preserve">وصف الأنظمة والشبكات في خدمة الملاحة الراديوية </w:t>
            </w:r>
            <w:proofErr w:type="spellStart"/>
            <w:r w:rsidRPr="004250DC">
              <w:rPr>
                <w:rtl/>
              </w:rPr>
              <w:t>الساتلية</w:t>
            </w:r>
            <w:proofErr w:type="spellEnd"/>
            <w:r w:rsidRPr="004250DC">
              <w:rPr>
                <w:rtl/>
              </w:rPr>
              <w:t xml:space="preserve"> (فضاء-أرض وفضاء-فضاء) والخصائص التقنية لمحطات الإرسال الفضائية العاملة في النطاقات </w:t>
            </w:r>
            <w:r w:rsidRPr="004250DC">
              <w:t>MHz 1 215-1 164</w:t>
            </w:r>
            <w:r w:rsidRPr="004250DC">
              <w:rPr>
                <w:rtl/>
              </w:rPr>
              <w:t xml:space="preserve"> و</w:t>
            </w:r>
            <w:r w:rsidRPr="004250DC">
              <w:t>MHz 1 300-1 215</w:t>
            </w:r>
            <w:r w:rsidRPr="004250DC">
              <w:rPr>
                <w:rtl/>
              </w:rPr>
              <w:t xml:space="preserve"> و</w:t>
            </w:r>
            <w:r w:rsidRPr="004250DC">
              <w:t>MHz 1 610-1 559</w:t>
            </w:r>
          </w:p>
        </w:tc>
        <w:tc>
          <w:tcPr>
            <w:tcW w:w="1835" w:type="dxa"/>
            <w:vAlign w:val="center"/>
          </w:tcPr>
          <w:p w14:paraId="5A6430B0" w14:textId="0C16BDED" w:rsidR="004250DC" w:rsidRPr="004250DC" w:rsidRDefault="00FD45B2" w:rsidP="004250DC">
            <w:pPr>
              <w:pStyle w:val="Tabletexte"/>
              <w:jc w:val="center"/>
              <w:rPr>
                <w:highlight w:val="yellow"/>
                <w:rtl/>
              </w:rPr>
            </w:pPr>
            <w:hyperlink r:id="rId9" w:history="1">
              <w:r w:rsidR="004250DC" w:rsidRPr="004250DC">
                <w:rPr>
                  <w:rStyle w:val="Hyperlink"/>
                  <w:lang w:val="en-GB"/>
                </w:rPr>
                <w:t>4/12</w:t>
              </w:r>
            </w:hyperlink>
          </w:p>
        </w:tc>
      </w:tr>
      <w:tr w:rsidR="004250DC" w:rsidRPr="004250DC" w14:paraId="1234EEF4" w14:textId="77777777" w:rsidTr="004250DC">
        <w:tc>
          <w:tcPr>
            <w:tcW w:w="1982" w:type="dxa"/>
            <w:vAlign w:val="center"/>
          </w:tcPr>
          <w:p w14:paraId="0AE8C9BF" w14:textId="57377837" w:rsidR="004250DC" w:rsidRPr="004250DC" w:rsidRDefault="004250DC" w:rsidP="004250DC">
            <w:pPr>
              <w:pStyle w:val="Tabletexte"/>
              <w:jc w:val="center"/>
            </w:pPr>
            <w:proofErr w:type="spellStart"/>
            <w:r w:rsidRPr="004250DC">
              <w:rPr>
                <w:lang w:val="en-GB"/>
              </w:rPr>
              <w:t>S.1328</w:t>
            </w:r>
            <w:proofErr w:type="spellEnd"/>
            <w:r w:rsidRPr="004250DC">
              <w:rPr>
                <w:lang w:val="en-GB"/>
              </w:rPr>
              <w:t>-5</w:t>
            </w:r>
          </w:p>
        </w:tc>
        <w:tc>
          <w:tcPr>
            <w:tcW w:w="5812" w:type="dxa"/>
          </w:tcPr>
          <w:p w14:paraId="1F9049C7" w14:textId="75A1AD83" w:rsidR="004250DC" w:rsidRPr="004250DC" w:rsidRDefault="004250DC" w:rsidP="004250DC">
            <w:pPr>
              <w:pStyle w:val="Tabletexte"/>
              <w:rPr>
                <w:rtl/>
              </w:rPr>
            </w:pPr>
            <w:r w:rsidRPr="004250DC">
              <w:rPr>
                <w:rtl/>
              </w:rPr>
              <w:t xml:space="preserve">خصائص النظام </w:t>
            </w:r>
            <w:proofErr w:type="spellStart"/>
            <w:r w:rsidRPr="004250DC">
              <w:rPr>
                <w:rtl/>
              </w:rPr>
              <w:t>الساتلي</w:t>
            </w:r>
            <w:proofErr w:type="spellEnd"/>
            <w:r w:rsidRPr="004250DC">
              <w:rPr>
                <w:rtl/>
              </w:rPr>
              <w:t xml:space="preserve"> التي يجب أخذها في الاعتبار في تحليلات </w:t>
            </w:r>
            <w:r w:rsidR="00D53EA6">
              <w:rPr>
                <w:rFonts w:hint="cs"/>
                <w:rtl/>
              </w:rPr>
              <w:t>التشارك في</w:t>
            </w:r>
            <w:r w:rsidRPr="004250DC">
              <w:rPr>
                <w:rtl/>
              </w:rPr>
              <w:t xml:space="preserve"> الترددات للخدمة الثابتة </w:t>
            </w:r>
            <w:proofErr w:type="spellStart"/>
            <w:r w:rsidRPr="004250DC">
              <w:rPr>
                <w:rtl/>
              </w:rPr>
              <w:t>الساتلية</w:t>
            </w:r>
            <w:proofErr w:type="spellEnd"/>
          </w:p>
        </w:tc>
        <w:tc>
          <w:tcPr>
            <w:tcW w:w="1835" w:type="dxa"/>
            <w:vAlign w:val="center"/>
          </w:tcPr>
          <w:p w14:paraId="7D6B2344" w14:textId="060BC1CE" w:rsidR="004250DC" w:rsidRPr="004250DC" w:rsidRDefault="00FD45B2" w:rsidP="004250DC">
            <w:pPr>
              <w:pStyle w:val="Tabletexte"/>
              <w:jc w:val="center"/>
              <w:rPr>
                <w:lang w:val="en-GB"/>
              </w:rPr>
            </w:pPr>
            <w:hyperlink r:id="rId10" w:history="1">
              <w:r w:rsidR="004250DC" w:rsidRPr="004250DC">
                <w:rPr>
                  <w:rStyle w:val="Hyperlink"/>
                  <w:lang w:val="en-GB"/>
                </w:rPr>
                <w:t>4/17(</w:t>
              </w:r>
              <w:proofErr w:type="spellStart"/>
              <w:r w:rsidR="004250DC" w:rsidRPr="004250DC">
                <w:rPr>
                  <w:rStyle w:val="Hyperlink"/>
                  <w:lang w:val="en-GB"/>
                </w:rPr>
                <w:t>Rev.1</w:t>
              </w:r>
              <w:proofErr w:type="spellEnd"/>
              <w:r w:rsidR="004250DC" w:rsidRPr="004250DC">
                <w:rPr>
                  <w:rStyle w:val="Hyperlink"/>
                  <w:lang w:val="en-GB"/>
                </w:rPr>
                <w:t>)</w:t>
              </w:r>
            </w:hyperlink>
          </w:p>
        </w:tc>
      </w:tr>
    </w:tbl>
    <w:p w14:paraId="7F365BC7" w14:textId="216C3866" w:rsidR="003B5733" w:rsidRDefault="00A93B86" w:rsidP="00A93B86">
      <w:pPr>
        <w:spacing w:before="600"/>
        <w:jc w:val="center"/>
      </w:pPr>
      <w:r w:rsidRPr="00381EE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C42F" w14:textId="77777777" w:rsidR="005D020A" w:rsidRDefault="005D020A" w:rsidP="006C3242">
      <w:pPr>
        <w:spacing w:before="0" w:line="240" w:lineRule="auto"/>
      </w:pPr>
      <w:r>
        <w:separator/>
      </w:r>
    </w:p>
  </w:endnote>
  <w:endnote w:type="continuationSeparator" w:id="0">
    <w:p w14:paraId="3D52BFFC" w14:textId="77777777" w:rsidR="005D020A" w:rsidRDefault="005D020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C4253" w14:textId="77777777" w:rsidR="006A7DC2" w:rsidRPr="00862DE8" w:rsidRDefault="006A7DC2" w:rsidP="006A7DC2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862DE8">
      <w:rPr>
        <w:color w:val="5B9BD5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5B9BD5" w:themeColor="accent1"/>
        <w:sz w:val="19"/>
        <w:szCs w:val="19"/>
        <w:lang w:val="en-GB"/>
      </w:rPr>
      <w:br/>
      <w:t>Tel</w:t>
    </w:r>
    <w:r>
      <w:rPr>
        <w:color w:val="5B9BD5" w:themeColor="accent1"/>
        <w:sz w:val="19"/>
        <w:szCs w:val="19"/>
        <w:lang w:val="en-GB"/>
      </w:rPr>
      <w:t>.</w:t>
    </w:r>
    <w:r w:rsidRPr="00862DE8">
      <w:rPr>
        <w:color w:val="5B9BD5" w:themeColor="accent1"/>
        <w:sz w:val="19"/>
        <w:szCs w:val="19"/>
        <w:lang w:val="en-GB"/>
      </w:rPr>
      <w:t xml:space="preserve">: +41 22 730 5111 • E-mail: </w:t>
    </w:r>
    <w:hyperlink r:id="rId1" w:history="1">
      <w:proofErr w:type="spellStart"/>
      <w:r w:rsidRPr="00862DE8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862DE8">
      <w:rPr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862DE8">
        <w:rPr>
          <w:rStyle w:val="Hyperlink"/>
          <w:sz w:val="19"/>
          <w:szCs w:val="19"/>
          <w:lang w:val="en-GB"/>
        </w:rPr>
        <w:t>www.itu.int</w:t>
      </w:r>
    </w:hyperlink>
    <w:r w:rsidRPr="00862DE8"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A792" w14:textId="77777777" w:rsidR="005D020A" w:rsidRDefault="005D020A" w:rsidP="006C3242">
      <w:pPr>
        <w:spacing w:before="0" w:line="240" w:lineRule="auto"/>
      </w:pPr>
      <w:r>
        <w:separator/>
      </w:r>
    </w:p>
  </w:footnote>
  <w:footnote w:type="continuationSeparator" w:id="0">
    <w:p w14:paraId="4426F6FE" w14:textId="77777777" w:rsidR="005D020A" w:rsidRDefault="005D020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267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5D020A" w14:paraId="61B280FD" w14:textId="77777777" w:rsidTr="00AB239E">
      <w:tc>
        <w:tcPr>
          <w:tcW w:w="9629" w:type="dxa"/>
        </w:tcPr>
        <w:p w14:paraId="4B644B88" w14:textId="2FF39338" w:rsidR="005D020A" w:rsidRDefault="005D020A" w:rsidP="00FC09E8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59AB64D" wp14:editId="0B5070BB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0B48EC" w14:textId="77777777" w:rsidR="004C39C6" w:rsidRDefault="004C39C6" w:rsidP="005D02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A"/>
    <w:rsid w:val="0006468A"/>
    <w:rsid w:val="00090574"/>
    <w:rsid w:val="000C1C0E"/>
    <w:rsid w:val="000C548A"/>
    <w:rsid w:val="000F1E8D"/>
    <w:rsid w:val="000F7BBE"/>
    <w:rsid w:val="00150DB9"/>
    <w:rsid w:val="00163E5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A74B4"/>
    <w:rsid w:val="002B028D"/>
    <w:rsid w:val="002E6541"/>
    <w:rsid w:val="002E6940"/>
    <w:rsid w:val="0031013C"/>
    <w:rsid w:val="00334924"/>
    <w:rsid w:val="003409BC"/>
    <w:rsid w:val="00357185"/>
    <w:rsid w:val="003704CA"/>
    <w:rsid w:val="00383829"/>
    <w:rsid w:val="00383B29"/>
    <w:rsid w:val="003B5733"/>
    <w:rsid w:val="003F4B29"/>
    <w:rsid w:val="004111FB"/>
    <w:rsid w:val="00412DB1"/>
    <w:rsid w:val="00416585"/>
    <w:rsid w:val="004250DC"/>
    <w:rsid w:val="0042686F"/>
    <w:rsid w:val="004317D8"/>
    <w:rsid w:val="00434183"/>
    <w:rsid w:val="00443869"/>
    <w:rsid w:val="00445053"/>
    <w:rsid w:val="00447F32"/>
    <w:rsid w:val="004563AF"/>
    <w:rsid w:val="00486964"/>
    <w:rsid w:val="004C39C6"/>
    <w:rsid w:val="004E11DC"/>
    <w:rsid w:val="00525DDD"/>
    <w:rsid w:val="005409AC"/>
    <w:rsid w:val="0054657B"/>
    <w:rsid w:val="0055516A"/>
    <w:rsid w:val="0058491B"/>
    <w:rsid w:val="00592EA5"/>
    <w:rsid w:val="005A3170"/>
    <w:rsid w:val="005A5910"/>
    <w:rsid w:val="005D020A"/>
    <w:rsid w:val="00677396"/>
    <w:rsid w:val="0069200F"/>
    <w:rsid w:val="006A65CB"/>
    <w:rsid w:val="006A7DC2"/>
    <w:rsid w:val="006C3242"/>
    <w:rsid w:val="006C7CC0"/>
    <w:rsid w:val="006E5F73"/>
    <w:rsid w:val="006F63F7"/>
    <w:rsid w:val="007025C7"/>
    <w:rsid w:val="007058E1"/>
    <w:rsid w:val="00706D7A"/>
    <w:rsid w:val="00722F0D"/>
    <w:rsid w:val="0074420E"/>
    <w:rsid w:val="00783E26"/>
    <w:rsid w:val="007B07CC"/>
    <w:rsid w:val="007C3BC7"/>
    <w:rsid w:val="007C3BCD"/>
    <w:rsid w:val="007D4ACF"/>
    <w:rsid w:val="007F0787"/>
    <w:rsid w:val="00810B7B"/>
    <w:rsid w:val="00814BF7"/>
    <w:rsid w:val="0082358A"/>
    <w:rsid w:val="008235CD"/>
    <w:rsid w:val="008247DE"/>
    <w:rsid w:val="00840B10"/>
    <w:rsid w:val="008513CB"/>
    <w:rsid w:val="008A4A32"/>
    <w:rsid w:val="008A7F84"/>
    <w:rsid w:val="008F595F"/>
    <w:rsid w:val="0091702E"/>
    <w:rsid w:val="00923B0C"/>
    <w:rsid w:val="0094021C"/>
    <w:rsid w:val="00952F86"/>
    <w:rsid w:val="00982B28"/>
    <w:rsid w:val="009A036C"/>
    <w:rsid w:val="009D313F"/>
    <w:rsid w:val="00A149D2"/>
    <w:rsid w:val="00A47A5A"/>
    <w:rsid w:val="00A6683B"/>
    <w:rsid w:val="00A93B86"/>
    <w:rsid w:val="00A97F94"/>
    <w:rsid w:val="00AA7EA2"/>
    <w:rsid w:val="00B03099"/>
    <w:rsid w:val="00B051BA"/>
    <w:rsid w:val="00B05BC8"/>
    <w:rsid w:val="00B1143A"/>
    <w:rsid w:val="00B53611"/>
    <w:rsid w:val="00B64B47"/>
    <w:rsid w:val="00BD053E"/>
    <w:rsid w:val="00C002DE"/>
    <w:rsid w:val="00C364F1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11FD2"/>
    <w:rsid w:val="00D37F70"/>
    <w:rsid w:val="00D53EA6"/>
    <w:rsid w:val="00D7503A"/>
    <w:rsid w:val="00D77D0F"/>
    <w:rsid w:val="00DA1CF0"/>
    <w:rsid w:val="00DC1E02"/>
    <w:rsid w:val="00DC24B4"/>
    <w:rsid w:val="00DC5FB0"/>
    <w:rsid w:val="00DD4D15"/>
    <w:rsid w:val="00DF16DC"/>
    <w:rsid w:val="00DF2991"/>
    <w:rsid w:val="00E45211"/>
    <w:rsid w:val="00E473C5"/>
    <w:rsid w:val="00E92863"/>
    <w:rsid w:val="00EB796D"/>
    <w:rsid w:val="00EB7C16"/>
    <w:rsid w:val="00F058DC"/>
    <w:rsid w:val="00F16820"/>
    <w:rsid w:val="00F24FC4"/>
    <w:rsid w:val="00F2676C"/>
    <w:rsid w:val="00F75332"/>
    <w:rsid w:val="00F84366"/>
    <w:rsid w:val="00F85089"/>
    <w:rsid w:val="00F974C5"/>
    <w:rsid w:val="00FA6F46"/>
    <w:rsid w:val="00FC09E8"/>
    <w:rsid w:val="00FD45B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92960"/>
  <w15:chartTrackingRefBased/>
  <w15:docId w15:val="{8C3E6DA0-9D3F-4BEE-A146-E0A4A4A6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383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DC2"/>
    <w:rPr>
      <w:color w:val="954F72" w:themeColor="followedHyperlink"/>
      <w:u w:val="single"/>
    </w:rPr>
  </w:style>
  <w:style w:type="paragraph" w:customStyle="1" w:styleId="FirstFooter">
    <w:name w:val="FirstFooter"/>
    <w:basedOn w:val="Normal"/>
    <w:rsid w:val="006A7DC2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07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23-SG04-C-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12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Khattab, Alaa Atef Abdellatif</dc:creator>
  <cp:keywords/>
  <dc:description/>
  <cp:lastModifiedBy>Fernandez Jimenez, Virginia</cp:lastModifiedBy>
  <cp:revision>5</cp:revision>
  <dcterms:created xsi:type="dcterms:W3CDTF">2024-07-26T12:36:00Z</dcterms:created>
  <dcterms:modified xsi:type="dcterms:W3CDTF">2024-07-26T14:50:00Z</dcterms:modified>
</cp:coreProperties>
</file>