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88"/>
        <w:gridCol w:w="1667"/>
      </w:tblGrid>
      <w:tr w:rsidR="0022581A" w:rsidRPr="00D35752">
        <w:tc>
          <w:tcPr>
            <w:tcW w:w="8188" w:type="dxa"/>
            <w:vAlign w:val="center"/>
          </w:tcPr>
          <w:p w:rsidR="0022581A" w:rsidRDefault="0022581A" w:rsidP="00D64D66">
            <w:pPr>
              <w:tabs>
                <w:tab w:val="right" w:pos="8647"/>
              </w:tabs>
              <w:spacing w:before="240"/>
              <w:rPr>
                <w:rFonts w:ascii="SimSun"/>
                <w:sz w:val="36"/>
                <w:szCs w:val="36"/>
              </w:rPr>
            </w:pPr>
            <w:bookmarkStart w:id="0" w:name="Head"/>
            <w:bookmarkStart w:id="1" w:name="dsgno"/>
            <w:bookmarkEnd w:id="0"/>
            <w:bookmarkEnd w:id="1"/>
            <w:r>
              <w:rPr>
                <w:rFonts w:ascii="SimSun" w:hAnsi="SimSun" w:hint="eastAsia"/>
                <w:spacing w:val="24"/>
                <w:sz w:val="44"/>
                <w:szCs w:val="44"/>
              </w:rPr>
              <w:t>国</w:t>
            </w:r>
            <w:r>
              <w:rPr>
                <w:rFonts w:ascii="SimSun" w:hAnsi="SimSun"/>
                <w:spacing w:val="24"/>
                <w:sz w:val="44"/>
                <w:szCs w:val="44"/>
              </w:rPr>
              <w:t xml:space="preserve"> </w:t>
            </w:r>
            <w:r>
              <w:rPr>
                <w:rFonts w:ascii="SimSun" w:hAnsi="SimSun" w:hint="eastAsia"/>
                <w:spacing w:val="24"/>
                <w:sz w:val="44"/>
                <w:szCs w:val="44"/>
              </w:rPr>
              <w:t>际</w:t>
            </w:r>
            <w:r>
              <w:rPr>
                <w:rFonts w:ascii="SimSun" w:hAnsi="SimSun"/>
                <w:spacing w:val="24"/>
                <w:sz w:val="44"/>
                <w:szCs w:val="44"/>
              </w:rPr>
              <w:t xml:space="preserve"> </w:t>
            </w:r>
            <w:r>
              <w:rPr>
                <w:rFonts w:ascii="SimSun" w:hAnsi="SimSun" w:hint="eastAsia"/>
                <w:spacing w:val="24"/>
                <w:sz w:val="44"/>
                <w:szCs w:val="44"/>
              </w:rPr>
              <w:t>电</w:t>
            </w:r>
            <w:r>
              <w:rPr>
                <w:rFonts w:ascii="SimSun" w:hAnsi="SimSun"/>
                <w:spacing w:val="24"/>
                <w:sz w:val="44"/>
                <w:szCs w:val="44"/>
              </w:rPr>
              <w:t xml:space="preserve"> </w:t>
            </w:r>
            <w:r>
              <w:rPr>
                <w:rFonts w:ascii="SimSun" w:hAnsi="SimSun" w:hint="eastAsia"/>
                <w:spacing w:val="24"/>
                <w:sz w:val="44"/>
                <w:szCs w:val="44"/>
              </w:rPr>
              <w:t>信</w:t>
            </w:r>
            <w:r>
              <w:rPr>
                <w:rFonts w:ascii="SimSun" w:hAnsi="SimSun"/>
                <w:spacing w:val="24"/>
                <w:sz w:val="44"/>
                <w:szCs w:val="44"/>
              </w:rPr>
              <w:t xml:space="preserve"> </w:t>
            </w:r>
            <w:r>
              <w:rPr>
                <w:rFonts w:ascii="SimSun" w:hAnsi="SimSun" w:hint="eastAsia"/>
                <w:spacing w:val="24"/>
                <w:sz w:val="44"/>
                <w:szCs w:val="44"/>
              </w:rPr>
              <w:t>联</w:t>
            </w:r>
            <w:r>
              <w:rPr>
                <w:rFonts w:ascii="SimSun" w:hAnsi="SimSun"/>
                <w:spacing w:val="24"/>
                <w:sz w:val="44"/>
                <w:szCs w:val="44"/>
              </w:rPr>
              <w:t xml:space="preserve"> </w:t>
            </w:r>
            <w:r>
              <w:rPr>
                <w:rFonts w:ascii="SimSun" w:hAnsi="SimSun" w:hint="eastAsia"/>
                <w:spacing w:val="24"/>
                <w:sz w:val="44"/>
                <w:szCs w:val="44"/>
              </w:rPr>
              <w:t>盟</w:t>
            </w:r>
          </w:p>
          <w:p w:rsidR="0022581A" w:rsidRPr="00D35752" w:rsidRDefault="0022581A" w:rsidP="00D64D66">
            <w:pPr>
              <w:spacing w:before="0"/>
            </w:pPr>
          </w:p>
        </w:tc>
        <w:tc>
          <w:tcPr>
            <w:tcW w:w="1667" w:type="dxa"/>
          </w:tcPr>
          <w:p w:rsidR="0022581A" w:rsidRPr="00D35752" w:rsidRDefault="004047EB" w:rsidP="00D64D66">
            <w:pPr>
              <w:spacing w:before="0"/>
              <w:jc w:val="right"/>
            </w:pPr>
            <w:r>
              <w:rPr>
                <w:noProof/>
                <w:lang w:val="en-US" w:eastAsia="zh-CN"/>
              </w:rPr>
              <w:drawing>
                <wp:inline distT="0" distB="0" distL="0" distR="0">
                  <wp:extent cx="838200" cy="9429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362E8E">
        <w:trPr>
          <w:cantSplit/>
        </w:trPr>
        <w:tc>
          <w:tcPr>
            <w:tcW w:w="5075" w:type="dxa"/>
          </w:tcPr>
          <w:p w:rsidR="00C565E2" w:rsidRDefault="00C565E2" w:rsidP="00D64D66">
            <w:pPr>
              <w:tabs>
                <w:tab w:val="left" w:pos="142"/>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362E8E" w:rsidRDefault="00C565E2" w:rsidP="00D64D66">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362E8E" w:rsidRDefault="00362E8E" w:rsidP="00D64D66">
      <w:pPr>
        <w:tabs>
          <w:tab w:val="left" w:pos="7513"/>
        </w:tabs>
        <w:rPr>
          <w:lang w:eastAsia="zh-CN"/>
        </w:rPr>
      </w:pPr>
    </w:p>
    <w:p w:rsidR="00362E8E" w:rsidRDefault="00362E8E" w:rsidP="00D64D66">
      <w:pPr>
        <w:tabs>
          <w:tab w:val="left" w:pos="7513"/>
        </w:tabs>
        <w:rPr>
          <w:lang w:eastAsia="zh-CN"/>
        </w:rPr>
      </w:pPr>
    </w:p>
    <w:tbl>
      <w:tblPr>
        <w:tblW w:w="10020" w:type="dxa"/>
        <w:tblLayout w:type="fixed"/>
        <w:tblLook w:val="0000"/>
      </w:tblPr>
      <w:tblGrid>
        <w:gridCol w:w="2518"/>
        <w:gridCol w:w="7502"/>
      </w:tblGrid>
      <w:tr w:rsidR="00C565E2">
        <w:trPr>
          <w:cantSplit/>
        </w:trPr>
        <w:tc>
          <w:tcPr>
            <w:tcW w:w="2518" w:type="dxa"/>
          </w:tcPr>
          <w:p w:rsidR="00C565E2" w:rsidRPr="00BD08F1" w:rsidRDefault="00C565E2" w:rsidP="00D64D66">
            <w:pPr>
              <w:tabs>
                <w:tab w:val="left" w:pos="142"/>
                <w:tab w:val="left" w:pos="7513"/>
              </w:tabs>
              <w:jc w:val="center"/>
              <w:rPr>
                <w:rFonts w:ascii="SimSun" w:hAnsi="SimSun"/>
                <w:b/>
                <w:lang w:eastAsia="zh-CN"/>
              </w:rPr>
            </w:pPr>
            <w:r w:rsidRPr="00BD08F1">
              <w:rPr>
                <w:rFonts w:ascii="SimSun" w:hAnsi="SimSun" w:hint="eastAsia"/>
                <w:b/>
                <w:lang w:eastAsia="zh-CN"/>
              </w:rPr>
              <w:t>行政通函</w:t>
            </w:r>
          </w:p>
          <w:p w:rsidR="00C565E2" w:rsidRPr="00C565E2" w:rsidRDefault="00C565E2" w:rsidP="002F0ED0">
            <w:pPr>
              <w:tabs>
                <w:tab w:val="clear" w:pos="794"/>
                <w:tab w:val="clear" w:pos="1191"/>
                <w:tab w:val="clear" w:pos="1588"/>
                <w:tab w:val="left" w:pos="142"/>
              </w:tabs>
              <w:spacing w:before="0"/>
              <w:jc w:val="center"/>
              <w:rPr>
                <w:b/>
                <w:lang w:eastAsia="zh-CN"/>
              </w:rPr>
            </w:pPr>
            <w:bookmarkStart w:id="2" w:name="dnum"/>
            <w:bookmarkEnd w:id="2"/>
            <w:r w:rsidRPr="00C565E2">
              <w:rPr>
                <w:b/>
                <w:lang w:eastAsia="zh-CN"/>
              </w:rPr>
              <w:t>C</w:t>
            </w:r>
            <w:r w:rsidRPr="00C565E2">
              <w:rPr>
                <w:rFonts w:hint="eastAsia"/>
                <w:b/>
                <w:lang w:eastAsia="zh-CN"/>
              </w:rPr>
              <w:t>A</w:t>
            </w:r>
            <w:r w:rsidRPr="00C565E2">
              <w:rPr>
                <w:b/>
                <w:lang w:eastAsia="zh-CN"/>
              </w:rPr>
              <w:t>R/</w:t>
            </w:r>
            <w:r w:rsidR="00E841E4">
              <w:rPr>
                <w:rFonts w:hint="eastAsia"/>
                <w:b/>
                <w:lang w:eastAsia="zh-CN"/>
              </w:rPr>
              <w:t>302</w:t>
            </w:r>
          </w:p>
        </w:tc>
        <w:tc>
          <w:tcPr>
            <w:tcW w:w="7502" w:type="dxa"/>
          </w:tcPr>
          <w:p w:rsidR="00C565E2" w:rsidRPr="00147E21" w:rsidRDefault="00C565E2" w:rsidP="009C6017">
            <w:pPr>
              <w:tabs>
                <w:tab w:val="left" w:pos="142"/>
                <w:tab w:val="left" w:pos="7513"/>
              </w:tabs>
              <w:jc w:val="right"/>
              <w:rPr>
                <w:lang w:eastAsia="zh-CN"/>
              </w:rPr>
            </w:pPr>
            <w:bookmarkStart w:id="3" w:name="ddate"/>
            <w:bookmarkEnd w:id="3"/>
            <w:r>
              <w:rPr>
                <w:lang w:eastAsia="zh-CN"/>
              </w:rPr>
              <w:t>20</w:t>
            </w:r>
            <w:r w:rsidR="002F0ED0">
              <w:rPr>
                <w:rFonts w:hint="eastAsia"/>
                <w:lang w:eastAsia="zh-CN"/>
              </w:rPr>
              <w:t>10</w:t>
            </w:r>
            <w:r>
              <w:rPr>
                <w:rFonts w:hint="eastAsia"/>
                <w:lang w:eastAsia="zh-CN"/>
              </w:rPr>
              <w:t>年</w:t>
            </w:r>
            <w:r w:rsidR="00E841E4">
              <w:rPr>
                <w:rFonts w:hint="eastAsia"/>
                <w:lang w:val="en-US" w:eastAsia="zh-CN"/>
              </w:rPr>
              <w:t>1</w:t>
            </w:r>
            <w:r w:rsidR="009C6017">
              <w:rPr>
                <w:lang w:val="en-US" w:eastAsia="zh-CN"/>
              </w:rPr>
              <w:t>1</w:t>
            </w:r>
            <w:r>
              <w:rPr>
                <w:rFonts w:hint="eastAsia"/>
                <w:lang w:eastAsia="zh-CN"/>
              </w:rPr>
              <w:t>月</w:t>
            </w:r>
            <w:r w:rsidR="009C6017">
              <w:rPr>
                <w:lang w:eastAsia="zh-CN"/>
              </w:rPr>
              <w:t>1</w:t>
            </w:r>
            <w:r>
              <w:rPr>
                <w:rFonts w:hint="eastAsia"/>
                <w:lang w:eastAsia="zh-CN"/>
              </w:rPr>
              <w:t>日</w:t>
            </w:r>
          </w:p>
        </w:tc>
      </w:tr>
    </w:tbl>
    <w:p w:rsidR="007407D6" w:rsidRPr="007407D6" w:rsidRDefault="00C565E2" w:rsidP="00D64D66">
      <w:pPr>
        <w:tabs>
          <w:tab w:val="left" w:pos="142"/>
          <w:tab w:val="left" w:pos="7513"/>
        </w:tabs>
        <w:spacing w:before="480"/>
        <w:jc w:val="center"/>
        <w:rPr>
          <w:rFonts w:ascii="SimSun" w:hAnsi="SimSun"/>
          <w:b/>
          <w:bCs/>
          <w:lang w:eastAsia="zh-CN"/>
        </w:rPr>
      </w:pPr>
      <w:bookmarkStart w:id="4" w:name="title1"/>
      <w:bookmarkEnd w:id="4"/>
      <w:r w:rsidRPr="00147E21">
        <w:rPr>
          <w:rFonts w:ascii="SimSun" w:hAnsi="SimSun" w:hint="eastAsia"/>
          <w:b/>
          <w:bCs/>
          <w:lang w:eastAsia="zh-CN"/>
        </w:rPr>
        <w:t>致国际电联成员国主管部门</w:t>
      </w:r>
    </w:p>
    <w:p w:rsidR="00C565E2" w:rsidRPr="008707F1" w:rsidRDefault="00C565E2" w:rsidP="00D64D66">
      <w:pPr>
        <w:tabs>
          <w:tab w:val="clear" w:pos="794"/>
          <w:tab w:val="clear" w:pos="1191"/>
          <w:tab w:val="clear" w:pos="1588"/>
          <w:tab w:val="clear" w:pos="1985"/>
          <w:tab w:val="left" w:pos="709"/>
          <w:tab w:val="left" w:pos="1134"/>
        </w:tabs>
        <w:spacing w:before="720"/>
        <w:ind w:left="1134" w:hanging="1134"/>
        <w:rPr>
          <w:rFonts w:cs="SimSun"/>
          <w:b/>
          <w:bCs/>
          <w:lang w:eastAsia="zh-CN"/>
        </w:rPr>
      </w:pPr>
      <w:r w:rsidRPr="008707F1">
        <w:rPr>
          <w:rFonts w:cs="SimSun" w:hint="eastAsia"/>
          <w:b/>
          <w:bCs/>
          <w:lang w:eastAsia="zh-CN"/>
        </w:rPr>
        <w:t>事由：</w:t>
      </w:r>
      <w:r w:rsidRPr="008707F1">
        <w:rPr>
          <w:rFonts w:cs="SimSun"/>
          <w:b/>
          <w:bCs/>
          <w:lang w:eastAsia="zh-CN"/>
        </w:rPr>
        <w:tab/>
      </w:r>
      <w:bookmarkStart w:id="5" w:name="dtitle1"/>
      <w:bookmarkEnd w:id="5"/>
      <w:r w:rsidRPr="008707F1">
        <w:rPr>
          <w:rFonts w:cs="SimSun"/>
          <w:b/>
          <w:bCs/>
          <w:lang w:eastAsia="zh-CN"/>
        </w:rPr>
        <w:t>无线电通信第</w:t>
      </w:r>
      <w:r w:rsidR="00E841E4">
        <w:rPr>
          <w:rFonts w:cs="SimSun" w:hint="eastAsia"/>
          <w:b/>
          <w:bCs/>
          <w:lang w:eastAsia="zh-CN"/>
        </w:rPr>
        <w:t>1</w:t>
      </w:r>
      <w:r w:rsidRPr="008707F1">
        <w:rPr>
          <w:rFonts w:cs="SimSun"/>
          <w:b/>
          <w:bCs/>
          <w:lang w:eastAsia="zh-CN"/>
        </w:rPr>
        <w:t>研究组</w:t>
      </w:r>
    </w:p>
    <w:p w:rsidR="004650FC" w:rsidRPr="002F0BDA" w:rsidRDefault="002F0BDA" w:rsidP="002F0ED0">
      <w:pPr>
        <w:tabs>
          <w:tab w:val="clear" w:pos="794"/>
          <w:tab w:val="clear" w:pos="1191"/>
          <w:tab w:val="clear" w:pos="1588"/>
          <w:tab w:val="clear" w:pos="1985"/>
          <w:tab w:val="left" w:pos="709"/>
        </w:tabs>
        <w:ind w:left="1701" w:hanging="561"/>
        <w:rPr>
          <w:rFonts w:cs="SimSun"/>
          <w:b/>
          <w:bCs/>
          <w:lang w:val="en-US" w:eastAsia="zh-CN"/>
        </w:rPr>
      </w:pPr>
      <w:r w:rsidRPr="001F6A9B">
        <w:rPr>
          <w:rFonts w:cs="SimSun"/>
          <w:b/>
          <w:bCs/>
          <w:lang w:val="en-US" w:eastAsia="zh-CN"/>
        </w:rPr>
        <w:t>–</w:t>
      </w:r>
      <w:r>
        <w:rPr>
          <w:rFonts w:cs="SimSun" w:hint="eastAsia"/>
          <w:b/>
          <w:bCs/>
          <w:lang w:val="en-US" w:eastAsia="zh-CN"/>
        </w:rPr>
        <w:tab/>
      </w:r>
      <w:r w:rsidR="00C565E2" w:rsidRPr="002F0BDA">
        <w:rPr>
          <w:rFonts w:cs="SimSun"/>
          <w:b/>
          <w:bCs/>
          <w:lang w:val="en-US" w:eastAsia="zh-CN"/>
        </w:rPr>
        <w:t>建议</w:t>
      </w:r>
      <w:r w:rsidR="00D67D77" w:rsidRPr="002F0BDA">
        <w:rPr>
          <w:rFonts w:cs="SimSun"/>
          <w:b/>
          <w:bCs/>
          <w:lang w:val="en-US" w:eastAsia="zh-CN"/>
        </w:rPr>
        <w:t>按照</w:t>
      </w:r>
      <w:r w:rsidR="00D67D77" w:rsidRPr="002F0BDA">
        <w:rPr>
          <w:rFonts w:cs="SimSun"/>
          <w:b/>
          <w:bCs/>
          <w:lang w:val="en-US" w:eastAsia="zh-CN"/>
        </w:rPr>
        <w:t>ITU-R</w:t>
      </w:r>
      <w:r w:rsidR="00D67D77" w:rsidRPr="002F0BDA">
        <w:rPr>
          <w:rFonts w:cs="SimSun"/>
          <w:b/>
          <w:bCs/>
          <w:lang w:val="en-US" w:eastAsia="zh-CN"/>
        </w:rPr>
        <w:t>第</w:t>
      </w:r>
      <w:r w:rsidR="00D67D77" w:rsidRPr="002F0BDA">
        <w:rPr>
          <w:rFonts w:cs="SimSun"/>
          <w:b/>
          <w:bCs/>
          <w:lang w:val="en-US" w:eastAsia="zh-CN"/>
        </w:rPr>
        <w:t>1-5</w:t>
      </w:r>
      <w:r w:rsidR="00D67D77" w:rsidRPr="002F0BDA">
        <w:rPr>
          <w:rFonts w:cs="SimSun"/>
          <w:b/>
          <w:bCs/>
          <w:lang w:val="en-US" w:eastAsia="zh-CN"/>
        </w:rPr>
        <w:t>号决议第</w:t>
      </w:r>
      <w:r w:rsidR="00D67D77" w:rsidRPr="002F0BDA">
        <w:rPr>
          <w:rFonts w:cs="SimSun"/>
          <w:b/>
          <w:bCs/>
          <w:lang w:val="en-US" w:eastAsia="zh-CN"/>
        </w:rPr>
        <w:t>10.3</w:t>
      </w:r>
      <w:r w:rsidR="00D67D77" w:rsidRPr="002F0BDA">
        <w:rPr>
          <w:rFonts w:cs="SimSun"/>
          <w:b/>
          <w:bCs/>
          <w:lang w:val="en-US" w:eastAsia="zh-CN"/>
        </w:rPr>
        <w:t>段的规定（以信函方式同时通过和批准</w:t>
      </w:r>
      <w:r w:rsidR="00DE0D4F">
        <w:rPr>
          <w:rFonts w:cs="SimSun" w:hint="eastAsia"/>
          <w:b/>
          <w:bCs/>
          <w:lang w:val="en-US" w:eastAsia="zh-CN"/>
        </w:rPr>
        <w:br/>
      </w:r>
      <w:r w:rsidR="00D67D77" w:rsidRPr="002F0BDA">
        <w:rPr>
          <w:rFonts w:cs="SimSun"/>
          <w:b/>
          <w:bCs/>
          <w:lang w:val="en-US" w:eastAsia="zh-CN"/>
        </w:rPr>
        <w:t>的程序）以信函方式同时</w:t>
      </w:r>
      <w:r w:rsidR="00D67D77">
        <w:rPr>
          <w:rFonts w:cs="SimSun" w:hint="eastAsia"/>
          <w:b/>
          <w:bCs/>
          <w:lang w:val="en-US" w:eastAsia="zh-CN"/>
        </w:rPr>
        <w:t>通过并</w:t>
      </w:r>
      <w:r w:rsidR="00D67D77" w:rsidRPr="002F0BDA">
        <w:rPr>
          <w:rFonts w:cs="SimSun" w:hint="eastAsia"/>
          <w:b/>
          <w:bCs/>
          <w:lang w:val="en-US" w:eastAsia="zh-CN"/>
        </w:rPr>
        <w:t>批准</w:t>
      </w:r>
      <w:r w:rsidR="002F0ED0">
        <w:rPr>
          <w:rFonts w:cs="SimSun" w:hint="eastAsia"/>
          <w:b/>
          <w:bCs/>
          <w:lang w:val="en-US" w:eastAsia="zh-CN"/>
        </w:rPr>
        <w:t>1</w:t>
      </w:r>
      <w:r w:rsidR="00E83717">
        <w:rPr>
          <w:rFonts w:cs="SimSun" w:hint="eastAsia"/>
          <w:b/>
          <w:bCs/>
          <w:lang w:val="en-US" w:eastAsia="zh-CN"/>
        </w:rPr>
        <w:t>份新建议书草案和</w:t>
      </w:r>
      <w:r w:rsidR="002F0ED0">
        <w:rPr>
          <w:rFonts w:cs="SimSun" w:hint="eastAsia"/>
          <w:b/>
          <w:bCs/>
          <w:lang w:val="en-US" w:eastAsia="zh-CN"/>
        </w:rPr>
        <w:t>2</w:t>
      </w:r>
      <w:r w:rsidR="00747DAD" w:rsidRPr="002F0BDA">
        <w:rPr>
          <w:rFonts w:cs="SimSun"/>
          <w:b/>
          <w:bCs/>
          <w:lang w:val="en-US" w:eastAsia="zh-CN"/>
        </w:rPr>
        <w:t>份</w:t>
      </w:r>
      <w:r w:rsidR="00D67D77">
        <w:rPr>
          <w:rFonts w:cs="SimSun" w:hint="eastAsia"/>
          <w:b/>
          <w:bCs/>
          <w:lang w:val="en-US" w:eastAsia="zh-CN"/>
        </w:rPr>
        <w:t>经</w:t>
      </w:r>
      <w:r w:rsidR="00747DAD" w:rsidRPr="002F0BDA">
        <w:rPr>
          <w:rFonts w:cs="SimSun" w:hint="eastAsia"/>
          <w:b/>
          <w:bCs/>
          <w:lang w:val="en-US" w:eastAsia="zh-CN"/>
        </w:rPr>
        <w:t>修订</w:t>
      </w:r>
      <w:r w:rsidR="00D67D77">
        <w:rPr>
          <w:rFonts w:cs="SimSun" w:hint="eastAsia"/>
          <w:b/>
          <w:bCs/>
          <w:lang w:val="en-US" w:eastAsia="zh-CN"/>
        </w:rPr>
        <w:t>的</w:t>
      </w:r>
      <w:r w:rsidR="00DE0D4F">
        <w:rPr>
          <w:rFonts w:cs="SimSun"/>
          <w:b/>
          <w:bCs/>
          <w:lang w:val="en-US" w:eastAsia="zh-CN"/>
        </w:rPr>
        <w:br/>
      </w:r>
      <w:r w:rsidR="00747DAD" w:rsidRPr="002F0BDA">
        <w:rPr>
          <w:rFonts w:cs="SimSun"/>
          <w:b/>
          <w:bCs/>
          <w:lang w:val="en-US" w:eastAsia="zh-CN"/>
        </w:rPr>
        <w:t>建议书草案</w:t>
      </w:r>
    </w:p>
    <w:p w:rsidR="005728CA" w:rsidRPr="002F0BDA" w:rsidRDefault="002F0BDA" w:rsidP="002F0ED0">
      <w:pPr>
        <w:tabs>
          <w:tab w:val="clear" w:pos="794"/>
          <w:tab w:val="clear" w:pos="1191"/>
          <w:tab w:val="clear" w:pos="1588"/>
          <w:tab w:val="clear" w:pos="1985"/>
          <w:tab w:val="left" w:pos="709"/>
        </w:tabs>
        <w:ind w:left="1701" w:hanging="561"/>
        <w:rPr>
          <w:rFonts w:cs="SimSun"/>
          <w:b/>
          <w:bCs/>
          <w:lang w:val="en-US" w:eastAsia="zh-CN"/>
        </w:rPr>
      </w:pPr>
      <w:r w:rsidRPr="001F6A9B">
        <w:rPr>
          <w:rFonts w:cs="SimSun"/>
          <w:b/>
          <w:bCs/>
          <w:lang w:val="en-US" w:eastAsia="zh-CN"/>
        </w:rPr>
        <w:t>–</w:t>
      </w:r>
      <w:r>
        <w:rPr>
          <w:rFonts w:cs="SimSun" w:hint="eastAsia"/>
          <w:b/>
          <w:bCs/>
          <w:lang w:val="en-US" w:eastAsia="zh-CN"/>
        </w:rPr>
        <w:tab/>
      </w:r>
      <w:r w:rsidR="00747DAD" w:rsidRPr="002F0BDA">
        <w:rPr>
          <w:rFonts w:cs="SimSun" w:hint="eastAsia"/>
          <w:b/>
          <w:bCs/>
          <w:lang w:val="en-US" w:eastAsia="zh-CN"/>
        </w:rPr>
        <w:t>建议</w:t>
      </w:r>
      <w:r w:rsidR="00D67D77">
        <w:rPr>
          <w:rFonts w:cs="SimSun" w:hint="eastAsia"/>
          <w:b/>
          <w:bCs/>
          <w:lang w:val="en-US" w:eastAsia="zh-CN"/>
        </w:rPr>
        <w:t>废</w:t>
      </w:r>
      <w:r w:rsidR="00747DAD" w:rsidRPr="002F0BDA">
        <w:rPr>
          <w:rFonts w:cs="SimSun" w:hint="eastAsia"/>
          <w:b/>
          <w:bCs/>
          <w:lang w:val="en-US" w:eastAsia="zh-CN"/>
        </w:rPr>
        <w:t>除</w:t>
      </w:r>
      <w:r w:rsidR="00E841E4">
        <w:rPr>
          <w:rFonts w:cs="SimSun" w:hint="eastAsia"/>
          <w:b/>
          <w:bCs/>
          <w:lang w:val="en-US" w:eastAsia="zh-CN"/>
        </w:rPr>
        <w:t>3</w:t>
      </w:r>
      <w:r w:rsidR="00747DAD" w:rsidRPr="002F0BDA">
        <w:rPr>
          <w:rFonts w:cs="SimSun" w:hint="eastAsia"/>
          <w:b/>
          <w:bCs/>
          <w:lang w:val="en-US" w:eastAsia="zh-CN"/>
        </w:rPr>
        <w:t>份建议书</w:t>
      </w:r>
    </w:p>
    <w:p w:rsidR="007407D6" w:rsidRDefault="007407D6" w:rsidP="00D64D66">
      <w:pPr>
        <w:rPr>
          <w:lang w:eastAsia="zh-CN"/>
        </w:rPr>
      </w:pPr>
    </w:p>
    <w:p w:rsidR="00C565E2" w:rsidRPr="005263EC" w:rsidRDefault="00C565E2" w:rsidP="00E841E4">
      <w:pPr>
        <w:ind w:firstLineChars="200" w:firstLine="480"/>
        <w:rPr>
          <w:lang w:eastAsia="zh-CN"/>
        </w:rPr>
      </w:pPr>
      <w:r w:rsidRPr="005263EC">
        <w:rPr>
          <w:lang w:eastAsia="zh-CN"/>
        </w:rPr>
        <w:t>无线电通信第</w:t>
      </w:r>
      <w:r w:rsidR="00E841E4">
        <w:rPr>
          <w:rFonts w:hint="eastAsia"/>
          <w:lang w:eastAsia="zh-CN"/>
        </w:rPr>
        <w:t>1</w:t>
      </w:r>
      <w:r w:rsidRPr="005263EC">
        <w:rPr>
          <w:lang w:eastAsia="zh-CN"/>
        </w:rPr>
        <w:t>研究组在</w:t>
      </w:r>
      <w:r w:rsidR="002F0ED0">
        <w:rPr>
          <w:lang w:eastAsia="zh-CN"/>
        </w:rPr>
        <w:t>20</w:t>
      </w:r>
      <w:r w:rsidR="002F0ED0">
        <w:rPr>
          <w:rFonts w:hint="eastAsia"/>
          <w:lang w:eastAsia="zh-CN"/>
        </w:rPr>
        <w:t>10</w:t>
      </w:r>
      <w:r w:rsidRPr="005263EC">
        <w:rPr>
          <w:lang w:eastAsia="zh-CN"/>
        </w:rPr>
        <w:t>年</w:t>
      </w:r>
      <w:r w:rsidR="00E841E4">
        <w:rPr>
          <w:rFonts w:hint="eastAsia"/>
          <w:lang w:eastAsia="zh-CN"/>
        </w:rPr>
        <w:t>9</w:t>
      </w:r>
      <w:r w:rsidRPr="005263EC">
        <w:rPr>
          <w:lang w:eastAsia="zh-CN"/>
        </w:rPr>
        <w:t>月</w:t>
      </w:r>
      <w:r w:rsidR="00E841E4">
        <w:rPr>
          <w:rFonts w:hint="eastAsia"/>
          <w:lang w:val="en-US" w:eastAsia="zh-CN"/>
        </w:rPr>
        <w:t>27</w:t>
      </w:r>
      <w:r w:rsidRPr="005263EC">
        <w:rPr>
          <w:lang w:eastAsia="zh-CN"/>
        </w:rPr>
        <w:t>日的会议上决定，以信函方式通过</w:t>
      </w:r>
      <w:r w:rsidR="002F0ED0">
        <w:rPr>
          <w:rFonts w:hint="eastAsia"/>
          <w:lang w:eastAsia="zh-CN"/>
        </w:rPr>
        <w:t>1</w:t>
      </w:r>
      <w:r w:rsidR="000D2542">
        <w:rPr>
          <w:rFonts w:hint="eastAsia"/>
          <w:lang w:eastAsia="zh-CN"/>
        </w:rPr>
        <w:t>份新建议书草案和</w:t>
      </w:r>
      <w:r w:rsidR="002F0ED0">
        <w:rPr>
          <w:rFonts w:hint="eastAsia"/>
          <w:lang w:eastAsia="zh-CN"/>
        </w:rPr>
        <w:t>2</w:t>
      </w:r>
      <w:r w:rsidR="00747DAD" w:rsidRPr="00747DAD">
        <w:rPr>
          <w:lang w:eastAsia="zh-CN"/>
        </w:rPr>
        <w:t>份</w:t>
      </w:r>
      <w:r w:rsidR="00D67D77">
        <w:rPr>
          <w:rFonts w:hint="eastAsia"/>
          <w:lang w:eastAsia="zh-CN"/>
        </w:rPr>
        <w:t>经</w:t>
      </w:r>
      <w:r w:rsidR="00747DAD" w:rsidRPr="00747DAD">
        <w:rPr>
          <w:rFonts w:hint="eastAsia"/>
          <w:lang w:eastAsia="zh-CN"/>
        </w:rPr>
        <w:t>修订</w:t>
      </w:r>
      <w:r w:rsidR="00747DAD" w:rsidRPr="00747DAD">
        <w:rPr>
          <w:lang w:eastAsia="zh-CN"/>
        </w:rPr>
        <w:t>的建议书草案</w:t>
      </w:r>
      <w:r w:rsidRPr="005263EC">
        <w:rPr>
          <w:lang w:eastAsia="zh-CN"/>
        </w:rPr>
        <w:t>（</w:t>
      </w:r>
      <w:r w:rsidRPr="005263EC">
        <w:rPr>
          <w:lang w:eastAsia="zh-CN"/>
        </w:rPr>
        <w:t>ITU-R</w:t>
      </w:r>
      <w:r w:rsidRPr="005263EC">
        <w:rPr>
          <w:lang w:eastAsia="zh-CN"/>
        </w:rPr>
        <w:t>第</w:t>
      </w:r>
      <w:r>
        <w:rPr>
          <w:lang w:eastAsia="zh-CN"/>
        </w:rPr>
        <w:t>1-5</w:t>
      </w:r>
      <w:r w:rsidRPr="005263EC">
        <w:rPr>
          <w:lang w:eastAsia="zh-CN"/>
        </w:rPr>
        <w:t>号决议第</w:t>
      </w:r>
      <w:r w:rsidRPr="005263EC">
        <w:rPr>
          <w:lang w:eastAsia="zh-CN"/>
        </w:rPr>
        <w:t>10.2.3</w:t>
      </w:r>
      <w:r w:rsidRPr="005263EC">
        <w:rPr>
          <w:lang w:eastAsia="zh-CN"/>
        </w:rPr>
        <w:t>段），</w:t>
      </w:r>
      <w:r w:rsidR="00D67D77">
        <w:rPr>
          <w:rFonts w:hint="eastAsia"/>
          <w:lang w:eastAsia="zh-CN"/>
        </w:rPr>
        <w:t>同时</w:t>
      </w:r>
      <w:r w:rsidRPr="005263EC">
        <w:rPr>
          <w:lang w:eastAsia="zh-CN"/>
        </w:rPr>
        <w:t>决定采用以信函方式同时通过和批准的程序（</w:t>
      </w:r>
      <w:r w:rsidRPr="005263EC">
        <w:rPr>
          <w:lang w:eastAsia="zh-CN"/>
        </w:rPr>
        <w:t>PSAA</w:t>
      </w:r>
      <w:r w:rsidRPr="005263EC">
        <w:rPr>
          <w:lang w:eastAsia="zh-CN"/>
        </w:rPr>
        <w:t>）（</w:t>
      </w:r>
      <w:r w:rsidRPr="005263EC">
        <w:rPr>
          <w:lang w:eastAsia="zh-CN"/>
        </w:rPr>
        <w:t>ITU-R</w:t>
      </w:r>
      <w:r w:rsidRPr="005263EC">
        <w:rPr>
          <w:lang w:eastAsia="zh-CN"/>
        </w:rPr>
        <w:t>第</w:t>
      </w:r>
      <w:r>
        <w:rPr>
          <w:lang w:eastAsia="zh-CN"/>
        </w:rPr>
        <w:t>1-5</w:t>
      </w:r>
      <w:r w:rsidRPr="005263EC">
        <w:rPr>
          <w:lang w:eastAsia="zh-CN"/>
        </w:rPr>
        <w:t>号决议第</w:t>
      </w:r>
      <w:r w:rsidRPr="005263EC">
        <w:rPr>
          <w:lang w:eastAsia="zh-CN"/>
        </w:rPr>
        <w:t>10.3</w:t>
      </w:r>
      <w:r w:rsidRPr="005263EC">
        <w:rPr>
          <w:lang w:eastAsia="zh-CN"/>
        </w:rPr>
        <w:t>段）。</w:t>
      </w:r>
      <w:r w:rsidR="002F0BDA">
        <w:rPr>
          <w:rFonts w:hint="eastAsia"/>
          <w:lang w:eastAsia="zh-CN"/>
        </w:rPr>
        <w:t>这些</w:t>
      </w:r>
      <w:r w:rsidRPr="005263EC">
        <w:rPr>
          <w:lang w:eastAsia="zh-CN"/>
        </w:rPr>
        <w:t>建议书</w:t>
      </w:r>
      <w:r>
        <w:rPr>
          <w:rFonts w:hint="eastAsia"/>
          <w:lang w:eastAsia="zh-CN"/>
        </w:rPr>
        <w:t>草案</w:t>
      </w:r>
      <w:r>
        <w:rPr>
          <w:rFonts w:hint="eastAsia"/>
          <w:lang w:val="en-US" w:eastAsia="zh-CN"/>
        </w:rPr>
        <w:t>的标题和概要见</w:t>
      </w:r>
      <w:r w:rsidRPr="005263EC">
        <w:rPr>
          <w:lang w:eastAsia="zh-CN"/>
        </w:rPr>
        <w:t>附件</w:t>
      </w:r>
      <w:r w:rsidRPr="005263EC">
        <w:rPr>
          <w:lang w:eastAsia="zh-CN"/>
        </w:rPr>
        <w:t>1</w:t>
      </w:r>
      <w:r w:rsidRPr="005263EC">
        <w:rPr>
          <w:lang w:eastAsia="zh-CN"/>
        </w:rPr>
        <w:t>。</w:t>
      </w:r>
      <w:r w:rsidR="002F0BDA">
        <w:rPr>
          <w:rFonts w:hint="eastAsia"/>
          <w:lang w:eastAsia="zh-CN"/>
        </w:rPr>
        <w:t>此外，该研究组提议</w:t>
      </w:r>
      <w:r w:rsidR="00E841E4">
        <w:rPr>
          <w:rFonts w:hint="eastAsia"/>
          <w:lang w:eastAsia="zh-CN"/>
        </w:rPr>
        <w:t>待新建议书草案获得最终批准后，</w:t>
      </w:r>
      <w:r w:rsidR="00D67D77" w:rsidRPr="00D67D77">
        <w:rPr>
          <w:rFonts w:cs="SimSun" w:hint="eastAsia"/>
          <w:bCs/>
          <w:lang w:val="en-US" w:eastAsia="zh-CN"/>
        </w:rPr>
        <w:t>废</w:t>
      </w:r>
      <w:r w:rsidR="002F0BDA">
        <w:rPr>
          <w:rFonts w:hint="eastAsia"/>
          <w:lang w:eastAsia="zh-CN"/>
        </w:rPr>
        <w:t>除附件</w:t>
      </w:r>
      <w:r w:rsidR="002F0BDA">
        <w:rPr>
          <w:rFonts w:hint="eastAsia"/>
          <w:lang w:eastAsia="zh-CN"/>
        </w:rPr>
        <w:t>2</w:t>
      </w:r>
      <w:r w:rsidR="002F0BDA">
        <w:rPr>
          <w:rFonts w:hint="eastAsia"/>
          <w:lang w:eastAsia="zh-CN"/>
        </w:rPr>
        <w:t>中所列的</w:t>
      </w:r>
      <w:r w:rsidR="00E841E4">
        <w:rPr>
          <w:rFonts w:hint="eastAsia"/>
          <w:lang w:eastAsia="zh-CN"/>
        </w:rPr>
        <w:t>3</w:t>
      </w:r>
      <w:r w:rsidR="002F0BDA">
        <w:rPr>
          <w:rFonts w:hint="eastAsia"/>
          <w:lang w:eastAsia="zh-CN"/>
        </w:rPr>
        <w:t>份建议书。</w:t>
      </w:r>
    </w:p>
    <w:p w:rsidR="00C565E2" w:rsidRPr="005263EC" w:rsidRDefault="00C565E2" w:rsidP="009C6017">
      <w:pPr>
        <w:ind w:firstLineChars="200" w:firstLine="480"/>
        <w:rPr>
          <w:lang w:eastAsia="zh-CN"/>
        </w:rPr>
      </w:pPr>
      <w:r w:rsidRPr="005263EC">
        <w:rPr>
          <w:rFonts w:hAnsi="SimSun"/>
          <w:lang w:eastAsia="zh-CN"/>
        </w:rPr>
        <w:t>审议期将持续</w:t>
      </w:r>
      <w:r w:rsidRPr="005263EC">
        <w:rPr>
          <w:lang w:eastAsia="zh-CN"/>
        </w:rPr>
        <w:t>3</w:t>
      </w:r>
      <w:r w:rsidRPr="005263EC">
        <w:rPr>
          <w:rFonts w:hAnsi="SimSun"/>
          <w:lang w:eastAsia="zh-CN"/>
        </w:rPr>
        <w:t>个月，于</w:t>
      </w:r>
      <w:r w:rsidRPr="00E53A50">
        <w:rPr>
          <w:u w:val="single"/>
          <w:lang w:eastAsia="zh-CN"/>
        </w:rPr>
        <w:t>20</w:t>
      </w:r>
      <w:r w:rsidR="000D2542" w:rsidRPr="00E53A50">
        <w:rPr>
          <w:rFonts w:hint="eastAsia"/>
          <w:u w:val="single"/>
          <w:lang w:eastAsia="zh-CN"/>
        </w:rPr>
        <w:t>1</w:t>
      </w:r>
      <w:r w:rsidR="00E841E4">
        <w:rPr>
          <w:rFonts w:hint="eastAsia"/>
          <w:u w:val="single"/>
          <w:lang w:eastAsia="zh-CN"/>
        </w:rPr>
        <w:t>1</w:t>
      </w:r>
      <w:r w:rsidRPr="00E53A50">
        <w:rPr>
          <w:rFonts w:hAnsi="SimSun"/>
          <w:u w:val="single"/>
          <w:lang w:eastAsia="zh-CN"/>
        </w:rPr>
        <w:t>年</w:t>
      </w:r>
      <w:r w:rsidR="009C6017">
        <w:rPr>
          <w:u w:val="single"/>
          <w:lang w:eastAsia="zh-CN"/>
        </w:rPr>
        <w:t>2</w:t>
      </w:r>
      <w:r w:rsidRPr="00E53A50">
        <w:rPr>
          <w:rFonts w:hAnsi="SimSun"/>
          <w:u w:val="single"/>
          <w:lang w:eastAsia="zh-CN"/>
        </w:rPr>
        <w:t>月</w:t>
      </w:r>
      <w:r w:rsidR="009C6017">
        <w:rPr>
          <w:rFonts w:hAnsi="SimSun"/>
          <w:u w:val="single"/>
          <w:lang w:eastAsia="zh-CN"/>
        </w:rPr>
        <w:t>1</w:t>
      </w:r>
      <w:r w:rsidRPr="00E53A50">
        <w:rPr>
          <w:rFonts w:hAnsi="SimSun"/>
          <w:u w:val="single"/>
          <w:lang w:eastAsia="zh-CN"/>
        </w:rPr>
        <w:t>日</w:t>
      </w:r>
      <w:r w:rsidRPr="00E53A50">
        <w:rPr>
          <w:rFonts w:hAnsi="SimSun"/>
          <w:lang w:eastAsia="zh-CN"/>
        </w:rPr>
        <w:t>结束</w:t>
      </w:r>
      <w:r w:rsidRPr="005263EC">
        <w:rPr>
          <w:rFonts w:hAnsi="SimSun"/>
          <w:lang w:eastAsia="zh-CN"/>
        </w:rPr>
        <w:t>。如在此期间未收到成员国的反对意见，则将认为第</w:t>
      </w:r>
      <w:r w:rsidR="00F62997">
        <w:rPr>
          <w:lang w:eastAsia="zh-CN"/>
        </w:rPr>
        <w:t>1</w:t>
      </w:r>
      <w:r w:rsidRPr="005263EC">
        <w:rPr>
          <w:rFonts w:hAnsi="SimSun"/>
          <w:lang w:eastAsia="zh-CN"/>
        </w:rPr>
        <w:t>研究组已通过上述建议书草案。此外，由于采用了</w:t>
      </w:r>
      <w:r w:rsidRPr="005263EC">
        <w:rPr>
          <w:lang w:eastAsia="zh-CN"/>
        </w:rPr>
        <w:t>PSAA</w:t>
      </w:r>
      <w:r w:rsidRPr="005263EC">
        <w:rPr>
          <w:rFonts w:hAnsi="SimSun"/>
          <w:lang w:eastAsia="zh-CN"/>
        </w:rPr>
        <w:t>程序，亦将认为上述建议书草案已获得批准。但是，如在审议期内收到来自成员国的反对意见，则将采用</w:t>
      </w:r>
      <w:r w:rsidRPr="005263EC">
        <w:rPr>
          <w:lang w:eastAsia="zh-CN"/>
        </w:rPr>
        <w:t>ITU-R</w:t>
      </w:r>
      <w:r w:rsidRPr="005263EC">
        <w:rPr>
          <w:rFonts w:hAnsi="SimSun"/>
          <w:lang w:eastAsia="zh-CN"/>
        </w:rPr>
        <w:t>第</w:t>
      </w:r>
      <w:r>
        <w:rPr>
          <w:lang w:eastAsia="zh-CN"/>
        </w:rPr>
        <w:t>1-</w:t>
      </w:r>
      <w:r>
        <w:rPr>
          <w:rFonts w:hint="eastAsia"/>
          <w:lang w:eastAsia="zh-CN"/>
        </w:rPr>
        <w:t>5</w:t>
      </w:r>
      <w:r w:rsidRPr="005263EC">
        <w:rPr>
          <w:rFonts w:hAnsi="SimSun"/>
          <w:lang w:eastAsia="zh-CN"/>
        </w:rPr>
        <w:t>号决议第</w:t>
      </w:r>
      <w:r w:rsidRPr="005263EC">
        <w:rPr>
          <w:lang w:eastAsia="zh-CN"/>
        </w:rPr>
        <w:t>10.2.1.2</w:t>
      </w:r>
      <w:r w:rsidRPr="005263EC">
        <w:rPr>
          <w:rFonts w:hAnsi="SimSun"/>
          <w:lang w:eastAsia="zh-CN"/>
        </w:rPr>
        <w:t>段规定的程序。</w:t>
      </w:r>
    </w:p>
    <w:p w:rsidR="004650FC" w:rsidRDefault="00C565E2" w:rsidP="00D64D66">
      <w:pPr>
        <w:ind w:firstLineChars="200" w:firstLine="480"/>
        <w:rPr>
          <w:lang w:eastAsia="zh-CN"/>
        </w:rPr>
      </w:pPr>
      <w:r w:rsidRPr="005263EC">
        <w:rPr>
          <w:rFonts w:hAnsi="SimSun"/>
          <w:lang w:eastAsia="zh-CN"/>
        </w:rPr>
        <w:t>在上述截止日期后，采用</w:t>
      </w:r>
      <w:r w:rsidRPr="005263EC">
        <w:rPr>
          <w:lang w:eastAsia="zh-CN"/>
        </w:rPr>
        <w:t>PSAA</w:t>
      </w:r>
      <w:r w:rsidRPr="005263EC">
        <w:rPr>
          <w:rFonts w:hAnsi="SimSun"/>
          <w:lang w:eastAsia="zh-CN"/>
        </w:rPr>
        <w:t>程序的结果将在一份行政通函（</w:t>
      </w:r>
      <w:r w:rsidRPr="005263EC">
        <w:rPr>
          <w:lang w:eastAsia="zh-CN"/>
        </w:rPr>
        <w:t>CACE</w:t>
      </w:r>
      <w:r w:rsidRPr="005263EC">
        <w:rPr>
          <w:rFonts w:hAnsi="SimSun"/>
          <w:lang w:eastAsia="zh-CN"/>
        </w:rPr>
        <w:t>）中予以公布，并将尽快出版已获批准的建议书。</w:t>
      </w:r>
      <w:r w:rsidR="004650FC">
        <w:rPr>
          <w:lang w:eastAsia="zh-CN"/>
        </w:rPr>
        <w:t xml:space="preserve"> </w:t>
      </w:r>
    </w:p>
    <w:p w:rsidR="00C565E2" w:rsidRPr="00016AE8" w:rsidRDefault="007407D6" w:rsidP="00D64D66">
      <w:pPr>
        <w:ind w:firstLineChars="200" w:firstLine="480"/>
        <w:rPr>
          <w:rFonts w:ascii="SimSun" w:hAnsi="SimSun"/>
          <w:color w:val="000000"/>
          <w:lang w:val="en-US" w:eastAsia="zh-CN"/>
        </w:rPr>
      </w:pPr>
      <w:r>
        <w:rPr>
          <w:rFonts w:hAnsi="SimSun"/>
          <w:lang w:eastAsia="zh-CN"/>
        </w:rPr>
        <w:br w:type="page"/>
      </w:r>
      <w:r w:rsidR="00C565E2" w:rsidRPr="00DD71E2">
        <w:rPr>
          <w:rFonts w:hAnsi="SimSun" w:hint="eastAsia"/>
          <w:lang w:eastAsia="zh-CN"/>
        </w:rPr>
        <w:lastRenderedPageBreak/>
        <w:t>如有国际电联成员组织了解自身或其他组织拥有涉及本函所附建议书草案的全部或部分</w:t>
      </w:r>
      <w:r w:rsidR="00C565E2" w:rsidRPr="00C10439">
        <w:rPr>
          <w:rFonts w:hAnsi="SimSun" w:hint="eastAsia"/>
          <w:spacing w:val="-6"/>
          <w:szCs w:val="24"/>
          <w:lang w:eastAsia="zh-CN"/>
        </w:rPr>
        <w:t>内容的专利，请务必尽快向秘书处通报这一信息。</w:t>
      </w:r>
      <w:r w:rsidR="00C565E2" w:rsidRPr="00DD71E2">
        <w:rPr>
          <w:rFonts w:hAnsi="SimSun"/>
          <w:lang w:eastAsia="zh-CN"/>
        </w:rPr>
        <w:t>ITU</w:t>
      </w:r>
      <w:r w:rsidR="00C565E2">
        <w:rPr>
          <w:rFonts w:hAnsi="SimSun" w:hint="eastAsia"/>
          <w:lang w:eastAsia="zh-CN"/>
        </w:rPr>
        <w:t>-</w:t>
      </w:r>
      <w:r w:rsidR="00C565E2" w:rsidRPr="00DD71E2">
        <w:rPr>
          <w:rFonts w:hAnsi="SimSun"/>
          <w:lang w:eastAsia="zh-CN"/>
        </w:rPr>
        <w:t>T/ITU</w:t>
      </w:r>
      <w:r w:rsidR="00C565E2">
        <w:rPr>
          <w:rFonts w:hAnsi="SimSun" w:hint="eastAsia"/>
          <w:lang w:eastAsia="zh-CN"/>
        </w:rPr>
        <w:t>-</w:t>
      </w:r>
      <w:r w:rsidR="00C565E2" w:rsidRPr="00DD71E2">
        <w:rPr>
          <w:rFonts w:hAnsi="SimSun"/>
          <w:lang w:eastAsia="zh-CN"/>
        </w:rPr>
        <w:t>R/ISO/IEC</w:t>
      </w:r>
      <w:r w:rsidR="00C565E2" w:rsidRPr="00DD71E2">
        <w:rPr>
          <w:rFonts w:hAnsi="SimSun" w:hint="eastAsia"/>
          <w:lang w:eastAsia="zh-CN"/>
        </w:rPr>
        <w:t>通用专利政策</w:t>
      </w:r>
      <w:r w:rsidR="00C565E2">
        <w:rPr>
          <w:rFonts w:hAnsi="SimSun" w:hint="eastAsia"/>
          <w:lang w:eastAsia="zh-CN"/>
        </w:rPr>
        <w:t>请见</w:t>
      </w:r>
      <w:r w:rsidR="007812F6">
        <w:rPr>
          <w:rFonts w:hAnsi="SimSun" w:hint="eastAsia"/>
          <w:lang w:val="en-US" w:eastAsia="zh-CN"/>
        </w:rPr>
        <w:t>：</w:t>
      </w:r>
      <w:r w:rsidR="00C565E2">
        <w:rPr>
          <w:rFonts w:hAnsi="SimSun" w:hint="eastAsia"/>
          <w:lang w:val="en-US" w:eastAsia="zh-CN"/>
        </w:rPr>
        <w:br/>
      </w:r>
      <w:hyperlink r:id="rId8" w:history="1">
        <w:r w:rsidR="00C565E2" w:rsidRPr="004359E9">
          <w:rPr>
            <w:rStyle w:val="Hyperlink"/>
            <w:lang w:val="en-US" w:eastAsia="zh-CN" w:bidi="ar-SY"/>
          </w:rPr>
          <w:t>http://www.itu.int/ITU-T/dbase/patent/patent-policy.html</w:t>
        </w:r>
      </w:hyperlink>
      <w:r w:rsidR="00C565E2">
        <w:rPr>
          <w:rFonts w:hint="eastAsia"/>
          <w:lang w:val="fr-CH" w:eastAsia="zh-CN" w:bidi="ar-SY"/>
        </w:rPr>
        <w:t>。</w:t>
      </w:r>
    </w:p>
    <w:p w:rsidR="00C565E2" w:rsidRPr="002F0BDA" w:rsidRDefault="00C565E2" w:rsidP="00F62997">
      <w:pPr>
        <w:tabs>
          <w:tab w:val="clear" w:pos="794"/>
          <w:tab w:val="clear" w:pos="1191"/>
          <w:tab w:val="clear" w:pos="1588"/>
          <w:tab w:val="clear" w:pos="1985"/>
          <w:tab w:val="center" w:pos="7371"/>
        </w:tabs>
        <w:spacing w:before="1418"/>
        <w:rPr>
          <w:rFonts w:cs="SimSun"/>
          <w:lang w:eastAsia="zh-CN"/>
        </w:rPr>
      </w:pPr>
      <w:r w:rsidRPr="007D3C32">
        <w:rPr>
          <w:rFonts w:ascii="SimSun" w:hAnsi="SimSun"/>
          <w:color w:val="000000"/>
          <w:lang w:eastAsia="zh-CN"/>
        </w:rPr>
        <w:tab/>
      </w:r>
      <w:r w:rsidRPr="002F0BDA">
        <w:rPr>
          <w:rFonts w:cs="SimSun" w:hint="eastAsia"/>
          <w:lang w:eastAsia="zh-CN"/>
        </w:rPr>
        <w:t>无线电通信局主任</w:t>
      </w:r>
      <w:r w:rsidR="002F0BDA">
        <w:rPr>
          <w:rFonts w:cs="SimSun"/>
          <w:lang w:eastAsia="zh-CN"/>
        </w:rPr>
        <w:br/>
      </w:r>
      <w:r w:rsidR="002F0BDA">
        <w:rPr>
          <w:rFonts w:cs="SimSun" w:hint="eastAsia"/>
          <w:lang w:eastAsia="zh-CN"/>
        </w:rPr>
        <w:tab/>
      </w:r>
      <w:r w:rsidRPr="002F0BDA">
        <w:rPr>
          <w:rFonts w:cs="SimSun" w:hint="eastAsia"/>
          <w:lang w:eastAsia="zh-CN"/>
        </w:rPr>
        <w:t>瓦列里</w:t>
      </w:r>
      <w:r w:rsidR="00A874B0" w:rsidRPr="00A874B0">
        <w:rPr>
          <w:rFonts w:cs="SimSun"/>
          <w:sz w:val="18"/>
          <w:szCs w:val="18"/>
          <w:lang w:eastAsia="zh-CN"/>
        </w:rPr>
        <w:t>•</w:t>
      </w:r>
      <w:r w:rsidRPr="002F0BDA">
        <w:rPr>
          <w:rFonts w:cs="SimSun" w:hint="eastAsia"/>
          <w:lang w:eastAsia="zh-CN"/>
        </w:rPr>
        <w:t>吉莫弗耶夫</w:t>
      </w:r>
    </w:p>
    <w:p w:rsidR="00C565E2" w:rsidRDefault="00C565E2" w:rsidP="00D64D66">
      <w:pPr>
        <w:rPr>
          <w:sz w:val="22"/>
          <w:u w:val="single"/>
          <w:lang w:eastAsia="zh-CN"/>
        </w:rPr>
      </w:pPr>
    </w:p>
    <w:p w:rsidR="00C565E2" w:rsidRDefault="00C565E2" w:rsidP="00D64D66">
      <w:pPr>
        <w:rPr>
          <w:rFonts w:ascii="SimSun" w:hAnsi="SimSun"/>
          <w:b/>
          <w:bCs/>
          <w:lang w:eastAsia="zh-CN"/>
        </w:rPr>
      </w:pPr>
    </w:p>
    <w:p w:rsidR="00C565E2" w:rsidRDefault="00C565E2" w:rsidP="00D64D66">
      <w:pPr>
        <w:rPr>
          <w:rFonts w:ascii="SimSun" w:hAnsi="SimSun"/>
          <w:b/>
          <w:bCs/>
          <w:lang w:eastAsia="zh-CN"/>
        </w:rPr>
      </w:pPr>
    </w:p>
    <w:p w:rsidR="00C565E2" w:rsidRPr="007D3C32" w:rsidRDefault="00C565E2" w:rsidP="00D64D66">
      <w:pPr>
        <w:rPr>
          <w:lang w:eastAsia="zh-CN"/>
        </w:rPr>
      </w:pPr>
      <w:r w:rsidRPr="00930685">
        <w:rPr>
          <w:rFonts w:hint="eastAsia"/>
          <w:b/>
          <w:bCs/>
          <w:lang w:eastAsia="zh-CN"/>
        </w:rPr>
        <w:t>附件</w:t>
      </w:r>
      <w:r w:rsidR="005728CA">
        <w:rPr>
          <w:rFonts w:hint="eastAsia"/>
          <w:b/>
          <w:bCs/>
          <w:lang w:eastAsia="zh-CN"/>
        </w:rPr>
        <w:t>1</w:t>
      </w:r>
      <w:r w:rsidRPr="00517CC7">
        <w:rPr>
          <w:rFonts w:hint="eastAsia"/>
          <w:b/>
          <w:lang w:eastAsia="zh-CN"/>
        </w:rPr>
        <w:t>：</w:t>
      </w:r>
      <w:r>
        <w:rPr>
          <w:rFonts w:hint="eastAsia"/>
          <w:lang w:eastAsia="zh-CN"/>
        </w:rPr>
        <w:t>建议书草案的</w:t>
      </w:r>
      <w:r>
        <w:rPr>
          <w:rFonts w:hint="eastAsia"/>
          <w:lang w:val="en-US" w:eastAsia="zh-CN"/>
        </w:rPr>
        <w:t>标题和概要</w:t>
      </w:r>
    </w:p>
    <w:p w:rsidR="00C565E2" w:rsidRDefault="005728CA" w:rsidP="00D64D66">
      <w:pPr>
        <w:rPr>
          <w:lang w:eastAsia="zh-CN"/>
        </w:rPr>
      </w:pPr>
      <w:bookmarkStart w:id="6" w:name="ddistribution"/>
      <w:bookmarkEnd w:id="6"/>
      <w:r w:rsidRPr="00307127">
        <w:rPr>
          <w:rFonts w:hint="eastAsia"/>
          <w:b/>
          <w:bCs/>
          <w:lang w:eastAsia="zh-CN"/>
        </w:rPr>
        <w:t>附件</w:t>
      </w:r>
      <w:r w:rsidRPr="00307127">
        <w:rPr>
          <w:rFonts w:hint="eastAsia"/>
          <w:b/>
          <w:bCs/>
          <w:lang w:eastAsia="zh-CN"/>
        </w:rPr>
        <w:t>2</w:t>
      </w:r>
      <w:r w:rsidRPr="00307127">
        <w:rPr>
          <w:rFonts w:hint="eastAsia"/>
          <w:b/>
          <w:bCs/>
          <w:lang w:eastAsia="zh-CN"/>
        </w:rPr>
        <w:t>：</w:t>
      </w:r>
      <w:r w:rsidR="00307127" w:rsidRPr="00307127">
        <w:rPr>
          <w:rFonts w:hint="eastAsia"/>
          <w:lang w:eastAsia="zh-CN"/>
        </w:rPr>
        <w:t>建议</w:t>
      </w:r>
      <w:r w:rsidR="00D67D77" w:rsidRPr="00D67D77">
        <w:rPr>
          <w:rFonts w:cs="SimSun" w:hint="eastAsia"/>
          <w:bCs/>
          <w:lang w:val="en-US" w:eastAsia="zh-CN"/>
        </w:rPr>
        <w:t>废</w:t>
      </w:r>
      <w:r w:rsidR="000D2542">
        <w:rPr>
          <w:rFonts w:hint="eastAsia"/>
          <w:lang w:eastAsia="zh-CN"/>
        </w:rPr>
        <w:t>除的建议书</w:t>
      </w:r>
    </w:p>
    <w:p w:rsidR="00C75C62" w:rsidRPr="00307127" w:rsidRDefault="00C75C62" w:rsidP="00D64D66">
      <w:pPr>
        <w:rPr>
          <w:b/>
          <w:bCs/>
          <w:lang w:eastAsia="zh-CN"/>
        </w:rPr>
      </w:pPr>
    </w:p>
    <w:p w:rsidR="00C565E2" w:rsidRDefault="00C565E2" w:rsidP="00E841E4">
      <w:pPr>
        <w:tabs>
          <w:tab w:val="clear" w:pos="1191"/>
        </w:tabs>
        <w:ind w:left="1246" w:hanging="1246"/>
        <w:rPr>
          <w:lang w:val="en-US" w:eastAsia="zh-CN"/>
        </w:rPr>
      </w:pPr>
      <w:r w:rsidRPr="00504985">
        <w:rPr>
          <w:rFonts w:hint="eastAsia"/>
          <w:b/>
          <w:bCs/>
          <w:lang w:eastAsia="zh-CN"/>
        </w:rPr>
        <w:t>后附文件：</w:t>
      </w:r>
      <w:r w:rsidR="00307127">
        <w:rPr>
          <w:rFonts w:hint="eastAsia"/>
          <w:lang w:val="en-US" w:eastAsia="zh-CN"/>
        </w:rPr>
        <w:t>光盘上的</w:t>
      </w:r>
      <w:r w:rsidR="00E841E4">
        <w:rPr>
          <w:rFonts w:hint="eastAsia"/>
          <w:lang w:val="en-US" w:eastAsia="zh-CN"/>
        </w:rPr>
        <w:t>1/132</w:t>
      </w:r>
      <w:r w:rsidR="000D2542" w:rsidRPr="000D2542">
        <w:rPr>
          <w:lang w:val="en-US" w:eastAsia="zh-CN"/>
        </w:rPr>
        <w:t>(Rev.1)</w:t>
      </w:r>
      <w:r w:rsidR="000D2542">
        <w:rPr>
          <w:rFonts w:hint="eastAsia"/>
          <w:lang w:val="en-US" w:eastAsia="zh-CN"/>
        </w:rPr>
        <w:t>、</w:t>
      </w:r>
      <w:r w:rsidR="00E841E4">
        <w:rPr>
          <w:rFonts w:hint="eastAsia"/>
          <w:lang w:val="en-US" w:eastAsia="zh-CN"/>
        </w:rPr>
        <w:t>1/127</w:t>
      </w:r>
      <w:r w:rsidR="000D2542" w:rsidRPr="000D2542">
        <w:rPr>
          <w:lang w:val="en-US" w:eastAsia="zh-CN"/>
        </w:rPr>
        <w:t>(Rev.1)</w:t>
      </w:r>
      <w:r w:rsidR="000D2542">
        <w:rPr>
          <w:rFonts w:hint="eastAsia"/>
          <w:lang w:val="en-US" w:eastAsia="zh-CN"/>
        </w:rPr>
        <w:t>和</w:t>
      </w:r>
      <w:r w:rsidR="00E841E4">
        <w:rPr>
          <w:rFonts w:hint="eastAsia"/>
          <w:lang w:val="en-US" w:eastAsia="zh-CN"/>
        </w:rPr>
        <w:t>1/129</w:t>
      </w:r>
      <w:r w:rsidR="000D2542" w:rsidRPr="000D2542">
        <w:rPr>
          <w:lang w:val="en-US" w:eastAsia="zh-CN"/>
        </w:rPr>
        <w:t>(Rev.1)</w:t>
      </w:r>
      <w:r>
        <w:rPr>
          <w:rFonts w:hint="eastAsia"/>
          <w:lang w:val="en-US" w:eastAsia="zh-CN"/>
        </w:rPr>
        <w:t>号文件。</w:t>
      </w:r>
    </w:p>
    <w:p w:rsidR="00C565E2" w:rsidRPr="00C565E2" w:rsidRDefault="00C565E2" w:rsidP="00D64D66">
      <w:pPr>
        <w:rPr>
          <w:lang w:val="en-US" w:eastAsia="zh-CN"/>
        </w:rPr>
      </w:pPr>
    </w:p>
    <w:p w:rsidR="00C565E2" w:rsidRDefault="00C565E2" w:rsidP="00D64D66">
      <w:pPr>
        <w:rPr>
          <w:lang w:val="en-US" w:eastAsia="zh-CN"/>
        </w:rPr>
      </w:pPr>
    </w:p>
    <w:p w:rsidR="00C565E2" w:rsidRDefault="00C565E2" w:rsidP="00D64D66">
      <w:pPr>
        <w:rPr>
          <w:lang w:val="en-US" w:eastAsia="zh-CN"/>
        </w:rPr>
      </w:pPr>
    </w:p>
    <w:p w:rsidR="00C565E2" w:rsidRPr="00233045" w:rsidRDefault="00C565E2" w:rsidP="00D64D66">
      <w:pPr>
        <w:rPr>
          <w:sz w:val="16"/>
          <w:szCs w:val="16"/>
          <w:lang w:val="en-US" w:eastAsia="zh-CN"/>
        </w:rPr>
      </w:pPr>
      <w:r w:rsidRPr="00233045">
        <w:rPr>
          <w:rFonts w:hint="eastAsia"/>
          <w:sz w:val="16"/>
          <w:szCs w:val="16"/>
          <w:u w:val="single"/>
          <w:lang w:eastAsia="zh-CN"/>
        </w:rPr>
        <w:t>分发：</w:t>
      </w:r>
    </w:p>
    <w:p w:rsidR="00C565E2" w:rsidRPr="005B5110" w:rsidRDefault="00C565E2" w:rsidP="00D64D66">
      <w:pPr>
        <w:spacing w:before="0"/>
        <w:ind w:left="284" w:hanging="284"/>
        <w:rPr>
          <w:sz w:val="16"/>
          <w:szCs w:val="16"/>
          <w:lang w:eastAsia="zh-CN"/>
        </w:rPr>
      </w:pPr>
      <w:r w:rsidRPr="00233045">
        <w:rPr>
          <w:sz w:val="16"/>
          <w:szCs w:val="16"/>
          <w:lang w:eastAsia="zh-CN"/>
        </w:rPr>
        <w:t>–</w:t>
      </w:r>
      <w:r w:rsidRPr="00233045">
        <w:rPr>
          <w:sz w:val="16"/>
          <w:szCs w:val="16"/>
          <w:lang w:val="en-US" w:eastAsia="zh-CN"/>
        </w:rPr>
        <w:tab/>
      </w:r>
      <w:r w:rsidRPr="00233045">
        <w:rPr>
          <w:rFonts w:hint="eastAsia"/>
          <w:sz w:val="16"/>
          <w:szCs w:val="16"/>
          <w:lang w:eastAsia="zh-CN"/>
        </w:rPr>
        <w:t>国际电联</w:t>
      </w:r>
      <w:r w:rsidR="00307127">
        <w:rPr>
          <w:rFonts w:hint="eastAsia"/>
          <w:sz w:val="16"/>
          <w:szCs w:val="16"/>
          <w:lang w:eastAsia="zh-CN"/>
        </w:rPr>
        <w:t>各</w:t>
      </w:r>
      <w:r w:rsidRPr="00233045">
        <w:rPr>
          <w:rFonts w:hint="eastAsia"/>
          <w:sz w:val="16"/>
          <w:szCs w:val="16"/>
          <w:lang w:eastAsia="zh-CN"/>
        </w:rPr>
        <w:t>成员国</w:t>
      </w:r>
      <w:r w:rsidRPr="005B5110">
        <w:rPr>
          <w:sz w:val="16"/>
          <w:szCs w:val="16"/>
          <w:lang w:eastAsia="zh-CN"/>
        </w:rPr>
        <w:t>主管部门</w:t>
      </w:r>
    </w:p>
    <w:p w:rsidR="00C565E2" w:rsidRPr="005B5110" w:rsidRDefault="00C565E2" w:rsidP="00D64D66">
      <w:pPr>
        <w:spacing w:before="0"/>
        <w:ind w:left="284" w:hanging="284"/>
        <w:rPr>
          <w:sz w:val="16"/>
          <w:szCs w:val="16"/>
          <w:lang w:eastAsia="zh-CN"/>
        </w:rPr>
      </w:pPr>
      <w:r w:rsidRPr="005B5110">
        <w:rPr>
          <w:sz w:val="16"/>
          <w:szCs w:val="16"/>
          <w:lang w:eastAsia="zh-CN"/>
        </w:rPr>
        <w:t>–</w:t>
      </w:r>
      <w:r w:rsidRPr="005B5110">
        <w:rPr>
          <w:sz w:val="16"/>
          <w:szCs w:val="16"/>
          <w:lang w:val="en-US" w:eastAsia="zh-CN"/>
        </w:rPr>
        <w:tab/>
      </w:r>
      <w:r w:rsidRPr="005B5110">
        <w:rPr>
          <w:sz w:val="16"/>
          <w:szCs w:val="16"/>
          <w:lang w:eastAsia="zh-CN"/>
        </w:rPr>
        <w:t>参加无线电通信第</w:t>
      </w:r>
      <w:r w:rsidR="00E841E4">
        <w:rPr>
          <w:rFonts w:hint="eastAsia"/>
          <w:sz w:val="16"/>
          <w:szCs w:val="16"/>
          <w:lang w:eastAsia="zh-CN"/>
        </w:rPr>
        <w:t>1</w:t>
      </w:r>
      <w:r w:rsidRPr="005B5110">
        <w:rPr>
          <w:sz w:val="16"/>
          <w:szCs w:val="16"/>
          <w:lang w:eastAsia="zh-CN"/>
        </w:rPr>
        <w:t>研究组工作的无线电通信部门成员</w:t>
      </w:r>
    </w:p>
    <w:p w:rsidR="004650FC" w:rsidRDefault="00C565E2" w:rsidP="00D64D66">
      <w:pPr>
        <w:tabs>
          <w:tab w:val="left" w:pos="284"/>
          <w:tab w:val="left" w:pos="568"/>
        </w:tabs>
        <w:spacing w:before="0"/>
        <w:rPr>
          <w:sz w:val="16"/>
          <w:lang w:eastAsia="zh-CN"/>
        </w:rPr>
      </w:pPr>
      <w:r w:rsidRPr="005B5110">
        <w:rPr>
          <w:sz w:val="16"/>
          <w:szCs w:val="16"/>
          <w:lang w:eastAsia="zh-CN"/>
        </w:rPr>
        <w:t>–</w:t>
      </w:r>
      <w:r w:rsidRPr="005B5110">
        <w:rPr>
          <w:sz w:val="16"/>
          <w:szCs w:val="16"/>
          <w:lang w:val="en-US" w:eastAsia="zh-CN"/>
        </w:rPr>
        <w:tab/>
      </w:r>
      <w:r w:rsidRPr="005B5110">
        <w:rPr>
          <w:sz w:val="16"/>
          <w:szCs w:val="16"/>
          <w:lang w:eastAsia="zh-CN"/>
        </w:rPr>
        <w:t>参加无线电通信第</w:t>
      </w:r>
      <w:r w:rsidR="00E841E4">
        <w:rPr>
          <w:rFonts w:hint="eastAsia"/>
          <w:sz w:val="16"/>
          <w:szCs w:val="16"/>
          <w:lang w:eastAsia="zh-CN"/>
        </w:rPr>
        <w:t>1</w:t>
      </w:r>
      <w:r w:rsidRPr="005B5110">
        <w:rPr>
          <w:sz w:val="16"/>
          <w:szCs w:val="16"/>
          <w:lang w:eastAsia="zh-CN"/>
        </w:rPr>
        <w:t>研究组工作的</w:t>
      </w:r>
      <w:r w:rsidRPr="005B5110">
        <w:rPr>
          <w:sz w:val="16"/>
          <w:szCs w:val="16"/>
          <w:lang w:eastAsia="zh-CN"/>
        </w:rPr>
        <w:t>ITU-R</w:t>
      </w:r>
      <w:r w:rsidRPr="005B5110">
        <w:rPr>
          <w:sz w:val="16"/>
          <w:szCs w:val="16"/>
          <w:lang w:eastAsia="zh-CN"/>
        </w:rPr>
        <w:t>部门</w:t>
      </w:r>
      <w:r w:rsidRPr="00233045">
        <w:rPr>
          <w:rFonts w:hint="eastAsia"/>
          <w:sz w:val="16"/>
          <w:szCs w:val="16"/>
          <w:lang w:eastAsia="zh-CN"/>
        </w:rPr>
        <w:t>准成员</w:t>
      </w:r>
    </w:p>
    <w:p w:rsidR="008806B5" w:rsidRDefault="00651AB1" w:rsidP="00D64D66">
      <w:pPr>
        <w:pStyle w:val="AnnexNotitle"/>
        <w:rPr>
          <w:lang w:eastAsia="zh-CN"/>
        </w:rPr>
      </w:pPr>
      <w:r>
        <w:rPr>
          <w:lang w:eastAsia="zh-CN"/>
        </w:rPr>
        <w:br w:type="page"/>
      </w:r>
      <w:r w:rsidR="008806B5">
        <w:rPr>
          <w:rFonts w:hint="eastAsia"/>
          <w:lang w:eastAsia="zh-CN"/>
        </w:rPr>
        <w:lastRenderedPageBreak/>
        <w:t>附件</w:t>
      </w:r>
      <w:r w:rsidR="008806B5">
        <w:rPr>
          <w:lang w:eastAsia="zh-CN"/>
        </w:rPr>
        <w:t>1</w:t>
      </w:r>
      <w:r w:rsidR="008806B5">
        <w:rPr>
          <w:lang w:eastAsia="zh-CN"/>
        </w:rPr>
        <w:br/>
      </w:r>
      <w:r w:rsidR="008806B5">
        <w:rPr>
          <w:lang w:eastAsia="zh-CN"/>
        </w:rPr>
        <w:br/>
      </w:r>
      <w:r w:rsidR="00307127">
        <w:rPr>
          <w:rFonts w:ascii="SimSun" w:hAnsi="SimSun" w:hint="eastAsia"/>
          <w:lang w:eastAsia="zh-CN"/>
        </w:rPr>
        <w:t>建议书草案的</w:t>
      </w:r>
      <w:r w:rsidR="00307127">
        <w:rPr>
          <w:rFonts w:hint="eastAsia"/>
          <w:lang w:val="en-US" w:eastAsia="zh-CN"/>
        </w:rPr>
        <w:t>标题和概要</w:t>
      </w:r>
    </w:p>
    <w:p w:rsidR="008806B5" w:rsidRPr="00E543EB" w:rsidRDefault="008806B5" w:rsidP="00D64D66">
      <w:pPr>
        <w:rPr>
          <w:lang w:eastAsia="zh-CN"/>
        </w:rPr>
      </w:pPr>
    </w:p>
    <w:p w:rsidR="005C0E7E" w:rsidRDefault="00B16CE5" w:rsidP="00E841E4">
      <w:pPr>
        <w:tabs>
          <w:tab w:val="right" w:pos="9639"/>
        </w:tabs>
        <w:rPr>
          <w:lang w:eastAsia="zh-CN"/>
        </w:rPr>
      </w:pPr>
      <w:r w:rsidRPr="0074543F">
        <w:rPr>
          <w:bCs/>
          <w:szCs w:val="24"/>
          <w:u w:val="single"/>
          <w:lang w:eastAsia="zh-CN"/>
        </w:rPr>
        <w:t>ITU-R S</w:t>
      </w:r>
      <w:r w:rsidR="00E841E4">
        <w:rPr>
          <w:rFonts w:hint="eastAsia"/>
          <w:bCs/>
          <w:szCs w:val="24"/>
          <w:u w:val="single"/>
          <w:lang w:eastAsia="zh-CN"/>
        </w:rPr>
        <w:t>M</w:t>
      </w:r>
      <w:r w:rsidRPr="0074543F">
        <w:rPr>
          <w:bCs/>
          <w:szCs w:val="24"/>
          <w:u w:val="single"/>
          <w:lang w:eastAsia="zh-CN"/>
        </w:rPr>
        <w:t>.[</w:t>
      </w:r>
      <w:r w:rsidR="00E841E4">
        <w:rPr>
          <w:rFonts w:hint="eastAsia"/>
          <w:bCs/>
          <w:szCs w:val="24"/>
          <w:u w:val="single"/>
          <w:lang w:eastAsia="zh-CN"/>
        </w:rPr>
        <w:t>SPEC-OCC-MEASUREMENT</w:t>
      </w:r>
      <w:r w:rsidRPr="0074543F">
        <w:rPr>
          <w:bCs/>
          <w:szCs w:val="24"/>
          <w:u w:val="single"/>
          <w:lang w:eastAsia="zh-CN"/>
        </w:rPr>
        <w:t>]</w:t>
      </w:r>
      <w:r w:rsidR="005C0E7E" w:rsidRPr="0074543F">
        <w:rPr>
          <w:rFonts w:hint="eastAsia"/>
          <w:u w:val="single"/>
          <w:lang w:eastAsia="zh-CN"/>
        </w:rPr>
        <w:t>新建议书草案</w:t>
      </w:r>
      <w:r w:rsidR="005C0E7E">
        <w:rPr>
          <w:lang w:eastAsia="zh-CN"/>
        </w:rPr>
        <w:tab/>
      </w:r>
      <w:r w:rsidR="00E841E4">
        <w:rPr>
          <w:rFonts w:hint="eastAsia"/>
          <w:lang w:eastAsia="zh-CN"/>
        </w:rPr>
        <w:t>1/132</w:t>
      </w:r>
      <w:r w:rsidR="005C0E7E">
        <w:rPr>
          <w:lang w:eastAsia="zh-CN"/>
        </w:rPr>
        <w:t>(Rev.1)</w:t>
      </w:r>
      <w:r w:rsidR="005C0E7E">
        <w:rPr>
          <w:rFonts w:hint="eastAsia"/>
          <w:lang w:eastAsia="zh-CN"/>
        </w:rPr>
        <w:t>号文件</w:t>
      </w:r>
    </w:p>
    <w:p w:rsidR="005C0E7E" w:rsidRDefault="00E841E4" w:rsidP="00B16CE5">
      <w:pPr>
        <w:pStyle w:val="Rectitle"/>
        <w:rPr>
          <w:lang w:eastAsia="zh-CN"/>
        </w:rPr>
      </w:pPr>
      <w:r>
        <w:rPr>
          <w:rFonts w:hint="eastAsia"/>
          <w:lang w:eastAsia="zh-CN"/>
        </w:rPr>
        <w:t>频谱占用度测量</w:t>
      </w:r>
    </w:p>
    <w:p w:rsidR="005C0E7E" w:rsidRDefault="00E841E4" w:rsidP="00CB2FA6">
      <w:pPr>
        <w:pStyle w:val="Normalaftertitle"/>
        <w:ind w:firstLine="462"/>
        <w:rPr>
          <w:szCs w:val="24"/>
          <w:lang w:val="en-US" w:eastAsia="zh-CN"/>
        </w:rPr>
      </w:pPr>
      <w:r>
        <w:rPr>
          <w:rFonts w:hint="eastAsia"/>
          <w:szCs w:val="24"/>
          <w:lang w:val="en-US" w:eastAsia="zh-CN"/>
        </w:rPr>
        <w:t>虽然自动占用度测量不会取代人工观测，但仍</w:t>
      </w:r>
      <w:r w:rsidR="004047EB">
        <w:rPr>
          <w:rFonts w:hint="eastAsia"/>
          <w:szCs w:val="24"/>
          <w:lang w:val="en-US" w:eastAsia="zh-CN"/>
        </w:rPr>
        <w:t>适用于大多数情况。频道占用以及频段占用数据应具有一定的精确度，以便进行比较</w:t>
      </w:r>
      <w:r w:rsidR="00CB2FA6">
        <w:rPr>
          <w:rFonts w:hint="eastAsia"/>
          <w:szCs w:val="24"/>
          <w:lang w:val="en-US" w:eastAsia="zh-CN"/>
        </w:rPr>
        <w:t>或</w:t>
      </w:r>
      <w:r w:rsidR="004047EB">
        <w:rPr>
          <w:rFonts w:hint="eastAsia"/>
          <w:szCs w:val="24"/>
          <w:lang w:val="en-US" w:eastAsia="zh-CN"/>
        </w:rPr>
        <w:t>必要时进行合并。通过使用相关技术和适当的方法，就可能提高现有设备的使用频率。</w:t>
      </w:r>
    </w:p>
    <w:p w:rsidR="004047EB" w:rsidRPr="004047EB" w:rsidRDefault="009D4C6F" w:rsidP="009D4C6F">
      <w:pPr>
        <w:ind w:firstLineChars="200" w:firstLine="480"/>
        <w:rPr>
          <w:lang w:val="en-US" w:eastAsia="zh-CN"/>
        </w:rPr>
      </w:pPr>
      <w:r>
        <w:rPr>
          <w:rFonts w:hint="eastAsia"/>
          <w:lang w:val="en-US" w:eastAsia="zh-CN"/>
        </w:rPr>
        <w:t>由于此新建议书草案合并了</w:t>
      </w:r>
      <w:r>
        <w:rPr>
          <w:rFonts w:hint="eastAsia"/>
          <w:lang w:val="en-US" w:eastAsia="zh-CN"/>
        </w:rPr>
        <w:t>ITU-R SM.182</w:t>
      </w:r>
      <w:r>
        <w:rPr>
          <w:rFonts w:hint="eastAsia"/>
          <w:lang w:val="en-US" w:eastAsia="zh-CN"/>
        </w:rPr>
        <w:t>、</w:t>
      </w:r>
      <w:r>
        <w:rPr>
          <w:rFonts w:hint="eastAsia"/>
          <w:lang w:val="en-US" w:eastAsia="zh-CN"/>
        </w:rPr>
        <w:t>ITU-R SM.1536</w:t>
      </w:r>
      <w:r>
        <w:rPr>
          <w:rFonts w:hint="eastAsia"/>
          <w:lang w:val="en-US" w:eastAsia="zh-CN"/>
        </w:rPr>
        <w:t>和</w:t>
      </w:r>
      <w:r>
        <w:rPr>
          <w:rFonts w:hint="eastAsia"/>
          <w:lang w:val="en-US" w:eastAsia="zh-CN"/>
        </w:rPr>
        <w:t>ITU-R SM.1793</w:t>
      </w:r>
      <w:r>
        <w:rPr>
          <w:rFonts w:hint="eastAsia"/>
          <w:lang w:val="en-US" w:eastAsia="zh-CN"/>
        </w:rPr>
        <w:t>建议书，因此提议删除现有的这三份建议书。</w:t>
      </w:r>
    </w:p>
    <w:p w:rsidR="005C0E7E" w:rsidRDefault="00B16CE5" w:rsidP="009D4C6F">
      <w:pPr>
        <w:pStyle w:val="Normalaftertitle"/>
        <w:tabs>
          <w:tab w:val="right" w:pos="9639"/>
        </w:tabs>
        <w:rPr>
          <w:lang w:eastAsia="zh-CN"/>
        </w:rPr>
      </w:pPr>
      <w:r w:rsidRPr="0074543F">
        <w:rPr>
          <w:bCs/>
          <w:szCs w:val="24"/>
          <w:u w:val="single"/>
          <w:lang w:eastAsia="zh-CN"/>
        </w:rPr>
        <w:t xml:space="preserve">ITU-R </w:t>
      </w:r>
      <w:r w:rsidR="009D4C6F">
        <w:rPr>
          <w:rFonts w:hint="eastAsia"/>
          <w:bCs/>
          <w:szCs w:val="24"/>
          <w:u w:val="single"/>
          <w:lang w:eastAsia="zh-CN"/>
        </w:rPr>
        <w:t>S</w:t>
      </w:r>
      <w:r w:rsidRPr="0074543F">
        <w:rPr>
          <w:bCs/>
          <w:szCs w:val="24"/>
          <w:u w:val="single"/>
          <w:lang w:eastAsia="zh-CN"/>
        </w:rPr>
        <w:t>M.</w:t>
      </w:r>
      <w:r w:rsidR="009D4C6F">
        <w:rPr>
          <w:rFonts w:hint="eastAsia"/>
          <w:bCs/>
          <w:szCs w:val="24"/>
          <w:u w:val="single"/>
          <w:lang w:eastAsia="zh-CN"/>
        </w:rPr>
        <w:t>1392-1</w:t>
      </w:r>
      <w:r w:rsidR="005C0E7E" w:rsidRPr="0074543F">
        <w:rPr>
          <w:rFonts w:hint="eastAsia"/>
          <w:u w:val="single"/>
          <w:lang w:eastAsia="zh-CN"/>
        </w:rPr>
        <w:t>建议书</w:t>
      </w:r>
      <w:r w:rsidR="00E979C7" w:rsidRPr="0074543F">
        <w:rPr>
          <w:rFonts w:hint="eastAsia"/>
          <w:u w:val="single"/>
          <w:lang w:eastAsia="zh-CN"/>
        </w:rPr>
        <w:t>修订</w:t>
      </w:r>
      <w:r w:rsidR="005C0E7E" w:rsidRPr="0074543F">
        <w:rPr>
          <w:rFonts w:hint="eastAsia"/>
          <w:u w:val="single"/>
          <w:lang w:eastAsia="zh-CN"/>
        </w:rPr>
        <w:t>草案</w:t>
      </w:r>
      <w:r w:rsidR="005C0E7E">
        <w:rPr>
          <w:lang w:eastAsia="zh-CN"/>
        </w:rPr>
        <w:tab/>
      </w:r>
      <w:r w:rsidR="009D4C6F">
        <w:rPr>
          <w:rFonts w:hint="eastAsia"/>
          <w:lang w:eastAsia="zh-CN"/>
        </w:rPr>
        <w:t>1/127</w:t>
      </w:r>
      <w:r w:rsidR="005C0E7E">
        <w:rPr>
          <w:lang w:eastAsia="zh-CN"/>
        </w:rPr>
        <w:t>(Rev.1)</w:t>
      </w:r>
      <w:r w:rsidR="005C0E7E">
        <w:rPr>
          <w:rFonts w:hint="eastAsia"/>
          <w:lang w:eastAsia="zh-CN"/>
        </w:rPr>
        <w:t>号文件</w:t>
      </w:r>
    </w:p>
    <w:p w:rsidR="005C0E7E" w:rsidRDefault="009D4C6F" w:rsidP="002631CA">
      <w:pPr>
        <w:pStyle w:val="Rectitle"/>
        <w:rPr>
          <w:lang w:eastAsia="zh-CN"/>
        </w:rPr>
      </w:pPr>
      <w:r>
        <w:rPr>
          <w:rFonts w:hint="eastAsia"/>
          <w:lang w:eastAsia="zh-CN"/>
        </w:rPr>
        <w:t>发展中国家频谱监测系统的基本要求</w:t>
      </w:r>
    </w:p>
    <w:p w:rsidR="002631CA" w:rsidRDefault="009D4C6F" w:rsidP="002631CA">
      <w:pPr>
        <w:ind w:firstLineChars="200" w:firstLine="480"/>
        <w:rPr>
          <w:lang w:eastAsia="zh-CN"/>
        </w:rPr>
      </w:pPr>
      <w:r>
        <w:rPr>
          <w:rFonts w:hint="eastAsia"/>
          <w:lang w:eastAsia="zh-CN"/>
        </w:rPr>
        <w:t>由于无线电通信业务和监测设备的技术发展，自上次修订本建议书以来，无线电监测站的要求发生了变化。频谱监测手册问题报告人组已考虑到这一点。现建议对</w:t>
      </w:r>
      <w:r>
        <w:rPr>
          <w:rFonts w:hint="eastAsia"/>
          <w:lang w:eastAsia="zh-CN"/>
        </w:rPr>
        <w:t>ITU-R SM.1392</w:t>
      </w:r>
      <w:r>
        <w:rPr>
          <w:rFonts w:hint="eastAsia"/>
          <w:lang w:eastAsia="zh-CN"/>
        </w:rPr>
        <w:t>建议书进行相应修订，以便更新。此外，对此建议书的建议修订放弃了以设备为中心进行阐述的做法，转而强调频谱监测系统的规划问题。</w:t>
      </w:r>
    </w:p>
    <w:p w:rsidR="00903638" w:rsidRDefault="00903638" w:rsidP="00903638">
      <w:pPr>
        <w:pStyle w:val="Normalaftertitle"/>
        <w:tabs>
          <w:tab w:val="right" w:pos="9639"/>
        </w:tabs>
        <w:rPr>
          <w:lang w:eastAsia="zh-CN"/>
        </w:rPr>
      </w:pPr>
      <w:r w:rsidRPr="0074543F">
        <w:rPr>
          <w:bCs/>
          <w:szCs w:val="24"/>
          <w:u w:val="single"/>
          <w:lang w:eastAsia="zh-CN"/>
        </w:rPr>
        <w:t xml:space="preserve">ITU-R </w:t>
      </w:r>
      <w:r>
        <w:rPr>
          <w:rFonts w:hint="eastAsia"/>
          <w:bCs/>
          <w:szCs w:val="24"/>
          <w:u w:val="single"/>
          <w:lang w:eastAsia="zh-CN"/>
        </w:rPr>
        <w:t>S</w:t>
      </w:r>
      <w:r w:rsidRPr="0074543F">
        <w:rPr>
          <w:bCs/>
          <w:szCs w:val="24"/>
          <w:u w:val="single"/>
          <w:lang w:eastAsia="zh-CN"/>
        </w:rPr>
        <w:t>M.</w:t>
      </w:r>
      <w:r>
        <w:rPr>
          <w:rFonts w:hint="eastAsia"/>
          <w:bCs/>
          <w:szCs w:val="24"/>
          <w:u w:val="single"/>
          <w:lang w:eastAsia="zh-CN"/>
        </w:rPr>
        <w:t>1268-1</w:t>
      </w:r>
      <w:r w:rsidRPr="0074543F">
        <w:rPr>
          <w:rFonts w:hint="eastAsia"/>
          <w:u w:val="single"/>
          <w:lang w:eastAsia="zh-CN"/>
        </w:rPr>
        <w:t>建议书修订草案</w:t>
      </w:r>
      <w:r>
        <w:rPr>
          <w:lang w:eastAsia="zh-CN"/>
        </w:rPr>
        <w:tab/>
      </w:r>
      <w:r>
        <w:rPr>
          <w:rFonts w:hint="eastAsia"/>
          <w:lang w:eastAsia="zh-CN"/>
        </w:rPr>
        <w:t>1/129</w:t>
      </w:r>
      <w:r>
        <w:rPr>
          <w:lang w:eastAsia="zh-CN"/>
        </w:rPr>
        <w:t>(Rev.1)</w:t>
      </w:r>
      <w:r>
        <w:rPr>
          <w:rFonts w:hint="eastAsia"/>
          <w:lang w:eastAsia="zh-CN"/>
        </w:rPr>
        <w:t>号文件</w:t>
      </w:r>
    </w:p>
    <w:p w:rsidR="00903638" w:rsidRDefault="00903638" w:rsidP="00903638">
      <w:pPr>
        <w:pStyle w:val="Rectitle"/>
        <w:rPr>
          <w:lang w:eastAsia="zh-CN"/>
        </w:rPr>
      </w:pPr>
      <w:r>
        <w:rPr>
          <w:rFonts w:hint="eastAsia"/>
          <w:lang w:eastAsia="zh-CN"/>
        </w:rPr>
        <w:t>监测站测量调频（</w:t>
      </w:r>
      <w:r>
        <w:rPr>
          <w:rFonts w:hint="eastAsia"/>
          <w:lang w:eastAsia="zh-CN"/>
        </w:rPr>
        <w:t>FM</w:t>
      </w:r>
      <w:r>
        <w:rPr>
          <w:rFonts w:hint="eastAsia"/>
          <w:lang w:eastAsia="zh-CN"/>
        </w:rPr>
        <w:t>）广播发射最大频偏的方法</w:t>
      </w:r>
    </w:p>
    <w:p w:rsidR="00903638" w:rsidRPr="00903638" w:rsidRDefault="00903638" w:rsidP="00903638">
      <w:pPr>
        <w:ind w:firstLineChars="200" w:firstLine="480"/>
        <w:rPr>
          <w:lang w:eastAsia="zh-CN"/>
        </w:rPr>
      </w:pPr>
      <w:r>
        <w:rPr>
          <w:rFonts w:hint="eastAsia"/>
          <w:lang w:eastAsia="zh-CN"/>
        </w:rPr>
        <w:t>对于</w:t>
      </w:r>
      <w:r>
        <w:rPr>
          <w:rFonts w:hint="eastAsia"/>
          <w:lang w:eastAsia="zh-CN"/>
        </w:rPr>
        <w:t>FM</w:t>
      </w:r>
      <w:r>
        <w:rPr>
          <w:rFonts w:hint="eastAsia"/>
          <w:lang w:eastAsia="zh-CN"/>
        </w:rPr>
        <w:t>广播发射频偏和多工功率的离播测量，</w:t>
      </w:r>
      <w:r>
        <w:rPr>
          <w:rFonts w:hint="eastAsia"/>
          <w:lang w:eastAsia="zh-CN"/>
        </w:rPr>
        <w:t>ITU-R SM.1268-1</w:t>
      </w:r>
      <w:r>
        <w:rPr>
          <w:rFonts w:hint="eastAsia"/>
          <w:lang w:eastAsia="zh-CN"/>
        </w:rPr>
        <w:t>建议书规定最大发射度为</w:t>
      </w:r>
      <w:r w:rsidR="00CB2FA6">
        <w:rPr>
          <w:rFonts w:hint="eastAsia"/>
          <w:lang w:eastAsia="zh-CN"/>
        </w:rPr>
        <w:t>2%/k</w:t>
      </w:r>
      <w:r>
        <w:rPr>
          <w:rFonts w:hint="eastAsia"/>
          <w:lang w:eastAsia="zh-CN"/>
        </w:rPr>
        <w:t>Hz</w:t>
      </w:r>
      <w:r>
        <w:rPr>
          <w:rFonts w:hint="eastAsia"/>
          <w:lang w:eastAsia="zh-CN"/>
        </w:rPr>
        <w:t>，以便达到要求的测量精度。经验表明，这一值太高，可能造成相当大的测量误差。因此建议将该值改为</w:t>
      </w:r>
      <w:r w:rsidR="00CB2FA6">
        <w:rPr>
          <w:rFonts w:hint="eastAsia"/>
          <w:lang w:eastAsia="zh-CN"/>
        </w:rPr>
        <w:t>0.4%/k</w:t>
      </w:r>
      <w:r>
        <w:rPr>
          <w:rFonts w:hint="eastAsia"/>
          <w:lang w:eastAsia="zh-CN"/>
        </w:rPr>
        <w:t>Hz</w:t>
      </w:r>
      <w:r>
        <w:rPr>
          <w:rFonts w:hint="eastAsia"/>
          <w:lang w:eastAsia="zh-CN"/>
        </w:rPr>
        <w:t>。建议的值基于测量、计算和计算机仿真，假设要求的置信水平为</w:t>
      </w:r>
      <w:r>
        <w:rPr>
          <w:rFonts w:hint="eastAsia"/>
          <w:lang w:eastAsia="zh-CN"/>
        </w:rPr>
        <w:t>95%</w:t>
      </w:r>
      <w:r>
        <w:rPr>
          <w:rFonts w:hint="eastAsia"/>
          <w:lang w:eastAsia="zh-CN"/>
        </w:rPr>
        <w:t>。另建议增加一个有关失真度测量问题段落，因为这对结果有相当大的影响。</w:t>
      </w:r>
    </w:p>
    <w:p w:rsidR="00903638" w:rsidRDefault="00903638" w:rsidP="002631CA">
      <w:pPr>
        <w:ind w:firstLineChars="200" w:firstLine="480"/>
        <w:rPr>
          <w:lang w:eastAsia="zh-CN"/>
        </w:rPr>
      </w:pPr>
      <w:r>
        <w:rPr>
          <w:rFonts w:hint="eastAsia"/>
          <w:lang w:eastAsia="zh-CN"/>
        </w:rPr>
        <w:t>测量结果还表明，现行的邻近频道发射保护比一方面太过严苛，另一方面又不够充分。因此建议对本建议书进行相应修改以涉及这一问题。</w:t>
      </w:r>
    </w:p>
    <w:p w:rsidR="00903638" w:rsidRPr="00903638" w:rsidRDefault="00903638" w:rsidP="002631CA">
      <w:pPr>
        <w:ind w:firstLineChars="200" w:firstLine="480"/>
        <w:rPr>
          <w:lang w:eastAsia="zh-CN"/>
        </w:rPr>
      </w:pPr>
      <w:r>
        <w:rPr>
          <w:rFonts w:hint="eastAsia"/>
          <w:lang w:eastAsia="zh-CN"/>
        </w:rPr>
        <w:t>最后建议增加一个从技术角度讨论违反限制的段落。</w:t>
      </w:r>
    </w:p>
    <w:p w:rsidR="00BC2050" w:rsidRDefault="00BC2050" w:rsidP="00906FDA">
      <w:pPr>
        <w:pStyle w:val="AnnexNotitle"/>
        <w:rPr>
          <w:lang w:eastAsia="zh-CN"/>
        </w:rPr>
      </w:pPr>
      <w:r>
        <w:rPr>
          <w:lang w:eastAsia="zh-CN"/>
        </w:rPr>
        <w:br w:type="page"/>
      </w:r>
      <w:r>
        <w:rPr>
          <w:rFonts w:hint="eastAsia"/>
          <w:lang w:eastAsia="zh-CN"/>
        </w:rPr>
        <w:t>附件</w:t>
      </w:r>
      <w:r w:rsidRPr="002065EA">
        <w:rPr>
          <w:lang w:eastAsia="zh-CN"/>
        </w:rPr>
        <w:t>2</w:t>
      </w:r>
    </w:p>
    <w:p w:rsidR="00BC2050" w:rsidRDefault="00BC2050" w:rsidP="00F62997">
      <w:pPr>
        <w:spacing w:before="240"/>
        <w:jc w:val="center"/>
        <w:rPr>
          <w:lang w:eastAsia="zh-CN"/>
        </w:rPr>
      </w:pPr>
      <w:r>
        <w:rPr>
          <w:rFonts w:hint="eastAsia"/>
          <w:lang w:eastAsia="zh-CN"/>
        </w:rPr>
        <w:t>（来源：</w:t>
      </w:r>
      <w:r w:rsidR="00903638">
        <w:rPr>
          <w:rFonts w:hint="eastAsia"/>
          <w:lang w:eastAsia="zh-CN"/>
        </w:rPr>
        <w:t>1/132(Rev.1)</w:t>
      </w:r>
      <w:r>
        <w:rPr>
          <w:rFonts w:hint="eastAsia"/>
          <w:lang w:eastAsia="zh-CN"/>
        </w:rPr>
        <w:t>号文件）</w:t>
      </w:r>
    </w:p>
    <w:p w:rsidR="00F62997" w:rsidRDefault="00BC2050" w:rsidP="00F62997">
      <w:pPr>
        <w:pStyle w:val="AnnexNotitle"/>
        <w:spacing w:before="360"/>
        <w:rPr>
          <w:lang w:eastAsia="zh-CN"/>
        </w:rPr>
      </w:pPr>
      <w:r>
        <w:rPr>
          <w:rFonts w:hint="eastAsia"/>
          <w:lang w:eastAsia="zh-CN"/>
        </w:rPr>
        <w:t>建议废除的建议书</w:t>
      </w:r>
    </w:p>
    <w:p w:rsidR="00BC2050" w:rsidRDefault="00903638" w:rsidP="00F62997">
      <w:pPr>
        <w:pStyle w:val="AnnexNotitle"/>
        <w:spacing w:before="360"/>
        <w:rPr>
          <w:lang w:eastAsia="zh-CN"/>
        </w:rPr>
      </w:pPr>
      <w:r>
        <w:rPr>
          <w:rFonts w:hint="eastAsia"/>
          <w:lang w:eastAsia="zh-CN"/>
        </w:rPr>
        <w:t>（待</w:t>
      </w:r>
      <w:r>
        <w:rPr>
          <w:rFonts w:hint="eastAsia"/>
          <w:lang w:eastAsia="zh-CN"/>
        </w:rPr>
        <w:t>ITU-R SM.[SPEC-OCC-MEASUREMENT]</w:t>
      </w:r>
      <w:r>
        <w:rPr>
          <w:rFonts w:hint="eastAsia"/>
          <w:lang w:eastAsia="zh-CN"/>
        </w:rPr>
        <w:t>建议书获得批准）</w:t>
      </w:r>
    </w:p>
    <w:p w:rsidR="00BC2050" w:rsidRPr="0023333F" w:rsidRDefault="00BC2050" w:rsidP="0023333F">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88"/>
        <w:gridCol w:w="7067"/>
      </w:tblGrid>
      <w:tr w:rsidR="00BC2050" w:rsidRPr="00FD198E" w:rsidTr="00903638">
        <w:trPr>
          <w:jc w:val="center"/>
        </w:trPr>
        <w:tc>
          <w:tcPr>
            <w:tcW w:w="2788" w:type="dxa"/>
            <w:vAlign w:val="center"/>
          </w:tcPr>
          <w:p w:rsidR="00BC2050" w:rsidRPr="00122E36" w:rsidRDefault="00BC2050" w:rsidP="00BC2050">
            <w:pPr>
              <w:pStyle w:val="Tablehead"/>
              <w:rPr>
                <w:shd w:val="pct15" w:color="auto" w:fill="FFFFFF"/>
              </w:rPr>
            </w:pPr>
            <w:r>
              <w:t>ITU</w:t>
            </w:r>
            <w:r>
              <w:rPr>
                <w:rFonts w:hint="eastAsia"/>
                <w:lang w:eastAsia="zh-CN"/>
              </w:rPr>
              <w:t>-</w:t>
            </w:r>
            <w:r w:rsidRPr="00122E36">
              <w:t>R</w:t>
            </w:r>
            <w:r>
              <w:rPr>
                <w:rFonts w:hint="eastAsia"/>
                <w:lang w:eastAsia="zh-CN"/>
              </w:rPr>
              <w:t>建议书</w:t>
            </w:r>
          </w:p>
        </w:tc>
        <w:tc>
          <w:tcPr>
            <w:tcW w:w="7067" w:type="dxa"/>
            <w:vAlign w:val="center"/>
          </w:tcPr>
          <w:p w:rsidR="00BC2050" w:rsidRPr="00122E36" w:rsidRDefault="00BC2050" w:rsidP="00BC2050">
            <w:pPr>
              <w:pStyle w:val="Tablehead"/>
              <w:rPr>
                <w:shd w:val="pct15" w:color="auto" w:fill="FFFFFF"/>
              </w:rPr>
            </w:pPr>
            <w:r>
              <w:rPr>
                <w:rFonts w:hint="eastAsia"/>
                <w:lang w:eastAsia="zh-CN"/>
              </w:rPr>
              <w:t>标题</w:t>
            </w:r>
          </w:p>
        </w:tc>
      </w:tr>
      <w:tr w:rsidR="00BC2050" w:rsidTr="00903638">
        <w:trPr>
          <w:jc w:val="center"/>
        </w:trPr>
        <w:tc>
          <w:tcPr>
            <w:tcW w:w="2788" w:type="dxa"/>
          </w:tcPr>
          <w:p w:rsidR="00BC2050" w:rsidRPr="00903638" w:rsidRDefault="00903638" w:rsidP="00903638">
            <w:pPr>
              <w:pStyle w:val="Tabletext"/>
              <w:jc w:val="center"/>
            </w:pPr>
            <w:r w:rsidRPr="00903638">
              <w:rPr>
                <w:rFonts w:hint="eastAsia"/>
              </w:rPr>
              <w:t>SM.182-5</w:t>
            </w:r>
          </w:p>
        </w:tc>
        <w:tc>
          <w:tcPr>
            <w:tcW w:w="7067" w:type="dxa"/>
          </w:tcPr>
          <w:p w:rsidR="00BC2050" w:rsidRPr="00903638" w:rsidRDefault="00903638" w:rsidP="00903638">
            <w:pPr>
              <w:pStyle w:val="Tabletext"/>
              <w:rPr>
                <w:lang w:eastAsia="zh-CN"/>
              </w:rPr>
            </w:pPr>
            <w:r>
              <w:rPr>
                <w:rFonts w:hint="eastAsia"/>
                <w:kern w:val="21"/>
                <w:lang w:eastAsia="zh-CN"/>
              </w:rPr>
              <w:t>无线电频谱占用度的自动监测</w:t>
            </w:r>
          </w:p>
        </w:tc>
      </w:tr>
      <w:tr w:rsidR="00BC2050" w:rsidTr="00903638">
        <w:trPr>
          <w:jc w:val="center"/>
        </w:trPr>
        <w:tc>
          <w:tcPr>
            <w:tcW w:w="2788" w:type="dxa"/>
            <w:vAlign w:val="center"/>
          </w:tcPr>
          <w:p w:rsidR="00BC2050" w:rsidRPr="00903638" w:rsidRDefault="00903638" w:rsidP="00903638">
            <w:pPr>
              <w:pStyle w:val="Tabletext"/>
              <w:jc w:val="center"/>
            </w:pPr>
            <w:r w:rsidRPr="00903638">
              <w:rPr>
                <w:rFonts w:hint="eastAsia"/>
              </w:rPr>
              <w:t>SM.1536</w:t>
            </w:r>
          </w:p>
        </w:tc>
        <w:tc>
          <w:tcPr>
            <w:tcW w:w="7067" w:type="dxa"/>
            <w:vAlign w:val="center"/>
          </w:tcPr>
          <w:p w:rsidR="00BC2050" w:rsidRPr="00903638" w:rsidRDefault="00903638" w:rsidP="00903638">
            <w:pPr>
              <w:pStyle w:val="Tabletext"/>
              <w:rPr>
                <w:lang w:eastAsia="zh-CN"/>
              </w:rPr>
            </w:pPr>
            <w:r>
              <w:rPr>
                <w:rFonts w:hint="eastAsia"/>
                <w:lang w:eastAsia="zh-CN"/>
              </w:rPr>
              <w:t>频道占用度测量</w:t>
            </w:r>
          </w:p>
        </w:tc>
      </w:tr>
      <w:tr w:rsidR="00BC2050" w:rsidTr="00903638">
        <w:trPr>
          <w:jc w:val="center"/>
        </w:trPr>
        <w:tc>
          <w:tcPr>
            <w:tcW w:w="2788" w:type="dxa"/>
          </w:tcPr>
          <w:p w:rsidR="00BC2050" w:rsidRPr="00903638" w:rsidRDefault="00903638" w:rsidP="00903638">
            <w:pPr>
              <w:pStyle w:val="Tabletext"/>
              <w:jc w:val="center"/>
              <w:rPr>
                <w:szCs w:val="24"/>
              </w:rPr>
            </w:pPr>
            <w:r w:rsidRPr="00903638">
              <w:rPr>
                <w:rFonts w:hint="eastAsia"/>
                <w:szCs w:val="24"/>
              </w:rPr>
              <w:t>SM.1793</w:t>
            </w:r>
          </w:p>
        </w:tc>
        <w:tc>
          <w:tcPr>
            <w:tcW w:w="7067" w:type="dxa"/>
            <w:vAlign w:val="center"/>
          </w:tcPr>
          <w:p w:rsidR="00BC2050" w:rsidRPr="00903638" w:rsidRDefault="00F426EE" w:rsidP="00903638">
            <w:pPr>
              <w:pStyle w:val="Tabletext"/>
              <w:rPr>
                <w:lang w:eastAsia="zh-CN"/>
              </w:rPr>
            </w:pPr>
            <w:r>
              <w:rPr>
                <w:rFonts w:ascii="SimSun" w:hAnsi="SimSun" w:hint="eastAsia"/>
                <w:lang w:val="en-US" w:eastAsia="zh-CN"/>
              </w:rPr>
              <w:t>利用频段测量中所使用的技术对频道占用率进行测量</w:t>
            </w:r>
          </w:p>
        </w:tc>
      </w:tr>
    </w:tbl>
    <w:p w:rsidR="00BC2050" w:rsidRDefault="00BC2050" w:rsidP="00BC2050">
      <w:pPr>
        <w:rPr>
          <w:lang w:eastAsia="ja-JP"/>
        </w:rPr>
      </w:pPr>
    </w:p>
    <w:p w:rsidR="00BC2050" w:rsidRDefault="00BC2050" w:rsidP="00BC2050">
      <w:pPr>
        <w:rPr>
          <w:lang w:eastAsia="zh-CN"/>
        </w:rPr>
      </w:pPr>
    </w:p>
    <w:p w:rsidR="00F62997" w:rsidRDefault="00F62997" w:rsidP="00BC2050">
      <w:pPr>
        <w:rPr>
          <w:lang w:eastAsia="zh-CN"/>
        </w:rPr>
      </w:pPr>
    </w:p>
    <w:p w:rsidR="00BC2050" w:rsidRDefault="00BC2050" w:rsidP="00BC2050">
      <w:pPr>
        <w:jc w:val="center"/>
      </w:pPr>
      <w:r>
        <w:t>______________</w:t>
      </w:r>
    </w:p>
    <w:p w:rsidR="00BC2050" w:rsidRPr="002631CA" w:rsidRDefault="00BC2050" w:rsidP="00BC2050">
      <w:pPr>
        <w:pStyle w:val="enumlev1"/>
        <w:rPr>
          <w:lang w:eastAsia="zh-CN"/>
        </w:rPr>
      </w:pPr>
    </w:p>
    <w:sectPr w:rsidR="00BC2050" w:rsidRPr="002631CA" w:rsidSect="00C00C2E">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F63" w:rsidRDefault="00034F63">
      <w:r>
        <w:separator/>
      </w:r>
    </w:p>
  </w:endnote>
  <w:endnote w:type="continuationSeparator" w:id="0">
    <w:p w:rsidR="00034F63" w:rsidRDefault="00034F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STKaiti">
    <w:altName w:val="SimSun"/>
    <w:charset w:val="86"/>
    <w:family w:val="auto"/>
    <w:pitch w:val="variable"/>
    <w:sig w:usb0="00000287" w:usb1="080F0000" w:usb2="00000010" w:usb3="00000000" w:csb0="0004009F"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F63" w:rsidRPr="00E8690B" w:rsidRDefault="004D3150" w:rsidP="00E8690B">
    <w:pPr>
      <w:pStyle w:val="Footer"/>
    </w:pPr>
    <w:fldSimple w:instr=" FILENAME  \p  \* MERGEFORMAT ">
      <w:r w:rsidR="009C6017">
        <w:t>Y:\APP\BR\CIRCS_DMS\CAR\300\302\302c.docx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034F63">
      <w:trPr>
        <w:cantSplit/>
      </w:trPr>
      <w:tc>
        <w:tcPr>
          <w:tcW w:w="1062" w:type="pct"/>
          <w:tcBorders>
            <w:top w:val="single" w:sz="6" w:space="0" w:color="auto"/>
          </w:tcBorders>
          <w:tcMar>
            <w:top w:w="57" w:type="dxa"/>
          </w:tcMar>
        </w:tcPr>
        <w:p w:rsidR="00034F63" w:rsidRDefault="00034F63">
          <w:pPr>
            <w:pStyle w:val="itu"/>
          </w:pPr>
          <w:r>
            <w:t>Place des Nations</w:t>
          </w:r>
        </w:p>
      </w:tc>
      <w:tc>
        <w:tcPr>
          <w:tcW w:w="1583" w:type="pct"/>
          <w:tcBorders>
            <w:top w:val="single" w:sz="6" w:space="0" w:color="auto"/>
          </w:tcBorders>
          <w:tcMar>
            <w:top w:w="57" w:type="dxa"/>
          </w:tcMar>
        </w:tcPr>
        <w:p w:rsidR="00034F63" w:rsidRDefault="00034F63">
          <w:pPr>
            <w:pStyle w:val="itu"/>
          </w:pPr>
          <w:r>
            <w:t>Telephone</w:t>
          </w:r>
          <w:r>
            <w:tab/>
            <w:t>+41 22 730 51 11</w:t>
          </w:r>
        </w:p>
      </w:tc>
      <w:tc>
        <w:tcPr>
          <w:tcW w:w="1224" w:type="pct"/>
          <w:tcBorders>
            <w:top w:val="single" w:sz="6" w:space="0" w:color="auto"/>
          </w:tcBorders>
          <w:tcMar>
            <w:top w:w="57" w:type="dxa"/>
          </w:tcMar>
        </w:tcPr>
        <w:p w:rsidR="00034F63" w:rsidRDefault="00034F63">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034F63" w:rsidRDefault="00034F63">
          <w:pPr>
            <w:pStyle w:val="itu"/>
          </w:pPr>
          <w:r>
            <w:t>E-mail:</w:t>
          </w:r>
          <w:r>
            <w:tab/>
            <w:t>itumail@itu.int</w:t>
          </w:r>
        </w:p>
      </w:tc>
    </w:tr>
    <w:tr w:rsidR="00034F63">
      <w:trPr>
        <w:cantSplit/>
      </w:trPr>
      <w:tc>
        <w:tcPr>
          <w:tcW w:w="1062" w:type="pct"/>
        </w:tcPr>
        <w:p w:rsidR="00034F63" w:rsidRDefault="00034F63">
          <w:pPr>
            <w:pStyle w:val="itu"/>
          </w:pPr>
          <w:r>
            <w:t xml:space="preserve">CH-1211 </w:t>
          </w:r>
          <w:smartTag w:uri="urn:schemas-microsoft-com:office:smarttags" w:element="State">
            <w:smartTag w:uri="urn:schemas-microsoft-com:office:smarttags" w:element="place">
              <w:r>
                <w:t>Geneva</w:t>
              </w:r>
            </w:smartTag>
          </w:smartTag>
          <w:r>
            <w:t xml:space="preserve"> 20</w:t>
          </w:r>
        </w:p>
      </w:tc>
      <w:tc>
        <w:tcPr>
          <w:tcW w:w="1583" w:type="pct"/>
        </w:tcPr>
        <w:p w:rsidR="00034F63" w:rsidRDefault="00034F63">
          <w:pPr>
            <w:pStyle w:val="itu"/>
          </w:pPr>
          <w:proofErr w:type="spellStart"/>
          <w:r>
            <w:t>Telefax</w:t>
          </w:r>
          <w:proofErr w:type="spellEnd"/>
          <w:r>
            <w:tab/>
            <w:t>Gr3:</w:t>
          </w:r>
          <w:r>
            <w:tab/>
            <w:t>+41 22 733 72 56</w:t>
          </w:r>
        </w:p>
      </w:tc>
      <w:tc>
        <w:tcPr>
          <w:tcW w:w="1224" w:type="pct"/>
        </w:tcPr>
        <w:p w:rsidR="00034F63" w:rsidRDefault="00034F63">
          <w:pPr>
            <w:pStyle w:val="itu"/>
          </w:pPr>
          <w:r>
            <w:t>Telegram ITU GENEVE</w:t>
          </w:r>
        </w:p>
      </w:tc>
      <w:tc>
        <w:tcPr>
          <w:tcW w:w="1131" w:type="pct"/>
        </w:tcPr>
        <w:p w:rsidR="00034F63" w:rsidRDefault="00034F63">
          <w:pPr>
            <w:pStyle w:val="itu"/>
          </w:pPr>
          <w:r>
            <w:tab/>
          </w:r>
          <w:hyperlink r:id="rId1" w:history="1">
            <w:r>
              <w:t>http://www.itu.int/</w:t>
            </w:r>
          </w:hyperlink>
        </w:p>
      </w:tc>
    </w:tr>
    <w:tr w:rsidR="00034F63">
      <w:trPr>
        <w:cantSplit/>
      </w:trPr>
      <w:tc>
        <w:tcPr>
          <w:tcW w:w="1062" w:type="pct"/>
        </w:tcPr>
        <w:p w:rsidR="00034F63" w:rsidRDefault="00034F63">
          <w:pPr>
            <w:pStyle w:val="itu"/>
          </w:pPr>
          <w:smartTag w:uri="urn:schemas-microsoft-com:office:smarttags" w:element="country-region">
            <w:smartTag w:uri="urn:schemas-microsoft-com:office:smarttags" w:element="place">
              <w:r>
                <w:t>Switzerland</w:t>
              </w:r>
            </w:smartTag>
          </w:smartTag>
        </w:p>
      </w:tc>
      <w:tc>
        <w:tcPr>
          <w:tcW w:w="1583" w:type="pct"/>
        </w:tcPr>
        <w:p w:rsidR="00034F63" w:rsidRDefault="00034F63">
          <w:pPr>
            <w:pStyle w:val="itu"/>
          </w:pPr>
          <w:r>
            <w:tab/>
            <w:t>Gr4:</w:t>
          </w:r>
          <w:r>
            <w:tab/>
            <w:t>+41 22 730 65 00</w:t>
          </w:r>
        </w:p>
      </w:tc>
      <w:tc>
        <w:tcPr>
          <w:tcW w:w="1224" w:type="pct"/>
        </w:tcPr>
        <w:p w:rsidR="00034F63" w:rsidRDefault="00034F63">
          <w:pPr>
            <w:pStyle w:val="itu"/>
          </w:pPr>
        </w:p>
      </w:tc>
      <w:tc>
        <w:tcPr>
          <w:tcW w:w="1131" w:type="pct"/>
        </w:tcPr>
        <w:p w:rsidR="00034F63" w:rsidRDefault="00034F63">
          <w:pPr>
            <w:pStyle w:val="itu"/>
          </w:pPr>
        </w:p>
      </w:tc>
    </w:tr>
  </w:tbl>
  <w:p w:rsidR="00034F63" w:rsidRDefault="00034F63" w:rsidP="00E543EB">
    <w:pPr>
      <w:spacing w:befor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F63" w:rsidRDefault="00034F63">
      <w:r>
        <w:t>____________________</w:t>
      </w:r>
    </w:p>
  </w:footnote>
  <w:footnote w:type="continuationSeparator" w:id="0">
    <w:p w:rsidR="00034F63" w:rsidRDefault="00034F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F63" w:rsidRPr="00B8091D" w:rsidRDefault="00034F63">
    <w:pPr>
      <w:pStyle w:val="Header"/>
      <w:rPr>
        <w:lang w:val="en-US"/>
      </w:rPr>
    </w:pPr>
    <w:r>
      <w:rPr>
        <w:lang w:val="en-US"/>
      </w:rPr>
      <w:t xml:space="preserve">- </w:t>
    </w:r>
    <w:r w:rsidR="004D3150">
      <w:rPr>
        <w:rStyle w:val="PageNumber"/>
      </w:rPr>
      <w:fldChar w:fldCharType="begin"/>
    </w:r>
    <w:r>
      <w:rPr>
        <w:rStyle w:val="PageNumber"/>
      </w:rPr>
      <w:instrText xml:space="preserve"> PAGE </w:instrText>
    </w:r>
    <w:r w:rsidR="004D3150">
      <w:rPr>
        <w:rStyle w:val="PageNumber"/>
      </w:rPr>
      <w:fldChar w:fldCharType="separate"/>
    </w:r>
    <w:r w:rsidR="009C6017">
      <w:rPr>
        <w:rStyle w:val="PageNumber"/>
        <w:noProof/>
      </w:rPr>
      <w:t>4</w:t>
    </w:r>
    <w:r w:rsidR="004D3150">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8C0C13"/>
    <w:multiLevelType w:val="hybridMultilevel"/>
    <w:tmpl w:val="A7FC1BE0"/>
    <w:lvl w:ilvl="0" w:tplc="C4E65BE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CE609ED"/>
    <w:multiLevelType w:val="hybridMultilevel"/>
    <w:tmpl w:val="2A8E02DC"/>
    <w:lvl w:ilvl="0" w:tplc="4B86A374">
      <w:start w:val="27"/>
      <w:numFmt w:val="bullet"/>
      <w:lvlText w:val="–"/>
      <w:lvlJc w:val="left"/>
      <w:pPr>
        <w:tabs>
          <w:tab w:val="num" w:pos="1785"/>
        </w:tabs>
        <w:ind w:left="1785" w:hanging="360"/>
      </w:pPr>
      <w:rPr>
        <w:rFonts w:ascii="Times New Roman" w:eastAsia="Times New Roman" w:hAnsi="Times New Roman" w:cs="Times New Roman" w:hint="default"/>
      </w:rPr>
    </w:lvl>
    <w:lvl w:ilvl="1" w:tplc="04090003" w:tentative="1">
      <w:start w:val="1"/>
      <w:numFmt w:val="bullet"/>
      <w:lvlText w:val="o"/>
      <w:lvlJc w:val="left"/>
      <w:pPr>
        <w:tabs>
          <w:tab w:val="num" w:pos="2505"/>
        </w:tabs>
        <w:ind w:left="2505" w:hanging="360"/>
      </w:pPr>
      <w:rPr>
        <w:rFonts w:ascii="Courier New" w:hAnsi="Courier New" w:cs="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cs="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cs="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abstractNum w:abstractNumId="2">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5361"/>
  </w:hdrShapeDefaults>
  <w:footnotePr>
    <w:footnote w:id="-1"/>
    <w:footnote w:id="0"/>
  </w:footnotePr>
  <w:endnotePr>
    <w:endnote w:id="-1"/>
    <w:endnote w:id="0"/>
  </w:endnotePr>
  <w:compat>
    <w:useFELayout/>
  </w:compat>
  <w:rsids>
    <w:rsidRoot w:val="00D1080B"/>
    <w:rsid w:val="00002115"/>
    <w:rsid w:val="000106CD"/>
    <w:rsid w:val="00014DC7"/>
    <w:rsid w:val="00015769"/>
    <w:rsid w:val="00020A9A"/>
    <w:rsid w:val="0002229D"/>
    <w:rsid w:val="00024B70"/>
    <w:rsid w:val="00025367"/>
    <w:rsid w:val="000274D2"/>
    <w:rsid w:val="00034F63"/>
    <w:rsid w:val="00036DCD"/>
    <w:rsid w:val="0004212A"/>
    <w:rsid w:val="00042E7C"/>
    <w:rsid w:val="00050E86"/>
    <w:rsid w:val="00056426"/>
    <w:rsid w:val="00056AD1"/>
    <w:rsid w:val="00063846"/>
    <w:rsid w:val="00074092"/>
    <w:rsid w:val="00086092"/>
    <w:rsid w:val="00090064"/>
    <w:rsid w:val="0009067B"/>
    <w:rsid w:val="00095439"/>
    <w:rsid w:val="00097F15"/>
    <w:rsid w:val="000B19FD"/>
    <w:rsid w:val="000B2D84"/>
    <w:rsid w:val="000B7F7A"/>
    <w:rsid w:val="000C6AF7"/>
    <w:rsid w:val="000D20B8"/>
    <w:rsid w:val="000D2542"/>
    <w:rsid w:val="000E484A"/>
    <w:rsid w:val="00101819"/>
    <w:rsid w:val="00115FBE"/>
    <w:rsid w:val="00117900"/>
    <w:rsid w:val="0013186C"/>
    <w:rsid w:val="0015568B"/>
    <w:rsid w:val="00160539"/>
    <w:rsid w:val="00163110"/>
    <w:rsid w:val="001664E7"/>
    <w:rsid w:val="00173DAB"/>
    <w:rsid w:val="001754FA"/>
    <w:rsid w:val="00182638"/>
    <w:rsid w:val="0018324D"/>
    <w:rsid w:val="001C318B"/>
    <w:rsid w:val="001D4627"/>
    <w:rsid w:val="001D4FD8"/>
    <w:rsid w:val="001E0E6C"/>
    <w:rsid w:val="001F2708"/>
    <w:rsid w:val="001F411C"/>
    <w:rsid w:val="001F7D06"/>
    <w:rsid w:val="00201B41"/>
    <w:rsid w:val="0022130B"/>
    <w:rsid w:val="002217D3"/>
    <w:rsid w:val="00221EDD"/>
    <w:rsid w:val="0022581A"/>
    <w:rsid w:val="00227F3C"/>
    <w:rsid w:val="002305D0"/>
    <w:rsid w:val="0023333F"/>
    <w:rsid w:val="00235FBC"/>
    <w:rsid w:val="00250CF1"/>
    <w:rsid w:val="002549EE"/>
    <w:rsid w:val="00254D21"/>
    <w:rsid w:val="002631CA"/>
    <w:rsid w:val="002635FF"/>
    <w:rsid w:val="00293C41"/>
    <w:rsid w:val="002A0C54"/>
    <w:rsid w:val="002A419F"/>
    <w:rsid w:val="002B1EC3"/>
    <w:rsid w:val="002B34B4"/>
    <w:rsid w:val="002B4A52"/>
    <w:rsid w:val="002C1D67"/>
    <w:rsid w:val="002E6150"/>
    <w:rsid w:val="002F0BDA"/>
    <w:rsid w:val="002F0ED0"/>
    <w:rsid w:val="00307127"/>
    <w:rsid w:val="00323B7E"/>
    <w:rsid w:val="00330B57"/>
    <w:rsid w:val="00335B67"/>
    <w:rsid w:val="00356579"/>
    <w:rsid w:val="00360C34"/>
    <w:rsid w:val="00362E8E"/>
    <w:rsid w:val="00370E83"/>
    <w:rsid w:val="00384C7E"/>
    <w:rsid w:val="003857F7"/>
    <w:rsid w:val="00385DA6"/>
    <w:rsid w:val="00392FAD"/>
    <w:rsid w:val="00393E4A"/>
    <w:rsid w:val="00396BAB"/>
    <w:rsid w:val="003B2D5D"/>
    <w:rsid w:val="003D1C43"/>
    <w:rsid w:val="003D36E1"/>
    <w:rsid w:val="003D7DE0"/>
    <w:rsid w:val="003F15F2"/>
    <w:rsid w:val="003F549C"/>
    <w:rsid w:val="004047EB"/>
    <w:rsid w:val="00431747"/>
    <w:rsid w:val="004349C2"/>
    <w:rsid w:val="0045329D"/>
    <w:rsid w:val="004650FC"/>
    <w:rsid w:val="00467288"/>
    <w:rsid w:val="00490842"/>
    <w:rsid w:val="004A78C0"/>
    <w:rsid w:val="004B0D0F"/>
    <w:rsid w:val="004C5E93"/>
    <w:rsid w:val="004D3150"/>
    <w:rsid w:val="004D70C0"/>
    <w:rsid w:val="004D7B23"/>
    <w:rsid w:val="004E1930"/>
    <w:rsid w:val="004F6FB7"/>
    <w:rsid w:val="00504AD8"/>
    <w:rsid w:val="00517CC7"/>
    <w:rsid w:val="00517DCC"/>
    <w:rsid w:val="00526804"/>
    <w:rsid w:val="005414C8"/>
    <w:rsid w:val="00553C5C"/>
    <w:rsid w:val="00565413"/>
    <w:rsid w:val="005728CA"/>
    <w:rsid w:val="00572E87"/>
    <w:rsid w:val="00587B9D"/>
    <w:rsid w:val="00591BCC"/>
    <w:rsid w:val="00597369"/>
    <w:rsid w:val="005A0C10"/>
    <w:rsid w:val="005A52C7"/>
    <w:rsid w:val="005B5110"/>
    <w:rsid w:val="005B612F"/>
    <w:rsid w:val="005C0E7E"/>
    <w:rsid w:val="005D4E94"/>
    <w:rsid w:val="006107C8"/>
    <w:rsid w:val="00623F4D"/>
    <w:rsid w:val="00651AB1"/>
    <w:rsid w:val="00654783"/>
    <w:rsid w:val="00656A65"/>
    <w:rsid w:val="00666C47"/>
    <w:rsid w:val="006739E4"/>
    <w:rsid w:val="006766DA"/>
    <w:rsid w:val="00681DE7"/>
    <w:rsid w:val="00682DA2"/>
    <w:rsid w:val="006A27B0"/>
    <w:rsid w:val="006B2BDF"/>
    <w:rsid w:val="006D0361"/>
    <w:rsid w:val="006D5469"/>
    <w:rsid w:val="006E1A7F"/>
    <w:rsid w:val="006F1DD6"/>
    <w:rsid w:val="0070682D"/>
    <w:rsid w:val="00714B16"/>
    <w:rsid w:val="00715CE8"/>
    <w:rsid w:val="007164F2"/>
    <w:rsid w:val="00716896"/>
    <w:rsid w:val="00732D70"/>
    <w:rsid w:val="0073795F"/>
    <w:rsid w:val="007407D6"/>
    <w:rsid w:val="0074543F"/>
    <w:rsid w:val="00746413"/>
    <w:rsid w:val="00747DAD"/>
    <w:rsid w:val="00764859"/>
    <w:rsid w:val="007704A2"/>
    <w:rsid w:val="00770EA1"/>
    <w:rsid w:val="007751D0"/>
    <w:rsid w:val="007812F6"/>
    <w:rsid w:val="00785BB7"/>
    <w:rsid w:val="007A4BE6"/>
    <w:rsid w:val="007B347F"/>
    <w:rsid w:val="007B4DAB"/>
    <w:rsid w:val="007C1FF0"/>
    <w:rsid w:val="007C4ED1"/>
    <w:rsid w:val="007C5368"/>
    <w:rsid w:val="007C58BA"/>
    <w:rsid w:val="007C69A9"/>
    <w:rsid w:val="007D3CB6"/>
    <w:rsid w:val="007D7EE1"/>
    <w:rsid w:val="007E254B"/>
    <w:rsid w:val="008010FB"/>
    <w:rsid w:val="00801E1E"/>
    <w:rsid w:val="00810702"/>
    <w:rsid w:val="00817274"/>
    <w:rsid w:val="00840F99"/>
    <w:rsid w:val="00842F2A"/>
    <w:rsid w:val="00844CB9"/>
    <w:rsid w:val="008452B9"/>
    <w:rsid w:val="00852E80"/>
    <w:rsid w:val="008707F1"/>
    <w:rsid w:val="008806B5"/>
    <w:rsid w:val="00881070"/>
    <w:rsid w:val="00881594"/>
    <w:rsid w:val="00882ADA"/>
    <w:rsid w:val="008845EA"/>
    <w:rsid w:val="008B2E9C"/>
    <w:rsid w:val="008B5831"/>
    <w:rsid w:val="008C027B"/>
    <w:rsid w:val="008C4F5D"/>
    <w:rsid w:val="008C5549"/>
    <w:rsid w:val="008E28FE"/>
    <w:rsid w:val="00903638"/>
    <w:rsid w:val="00906FDA"/>
    <w:rsid w:val="00925208"/>
    <w:rsid w:val="0093191D"/>
    <w:rsid w:val="009336CE"/>
    <w:rsid w:val="00937F87"/>
    <w:rsid w:val="009422BC"/>
    <w:rsid w:val="009672C0"/>
    <w:rsid w:val="009A6448"/>
    <w:rsid w:val="009B7E0D"/>
    <w:rsid w:val="009C6017"/>
    <w:rsid w:val="009D2772"/>
    <w:rsid w:val="009D4C6F"/>
    <w:rsid w:val="009D745F"/>
    <w:rsid w:val="009F3569"/>
    <w:rsid w:val="009F4AD3"/>
    <w:rsid w:val="00A068A5"/>
    <w:rsid w:val="00A11D9C"/>
    <w:rsid w:val="00A201F8"/>
    <w:rsid w:val="00A343EA"/>
    <w:rsid w:val="00A40B24"/>
    <w:rsid w:val="00A47F11"/>
    <w:rsid w:val="00A5621F"/>
    <w:rsid w:val="00A66FD4"/>
    <w:rsid w:val="00A74601"/>
    <w:rsid w:val="00A75E89"/>
    <w:rsid w:val="00A874B0"/>
    <w:rsid w:val="00A9285C"/>
    <w:rsid w:val="00A9329F"/>
    <w:rsid w:val="00AB1E94"/>
    <w:rsid w:val="00AB5E74"/>
    <w:rsid w:val="00AB7229"/>
    <w:rsid w:val="00AC64AA"/>
    <w:rsid w:val="00B06EE2"/>
    <w:rsid w:val="00B11BDA"/>
    <w:rsid w:val="00B14F22"/>
    <w:rsid w:val="00B16CE5"/>
    <w:rsid w:val="00B267A0"/>
    <w:rsid w:val="00B27206"/>
    <w:rsid w:val="00B33C6A"/>
    <w:rsid w:val="00B363DD"/>
    <w:rsid w:val="00B4120D"/>
    <w:rsid w:val="00B524F2"/>
    <w:rsid w:val="00B55304"/>
    <w:rsid w:val="00B6450A"/>
    <w:rsid w:val="00B66559"/>
    <w:rsid w:val="00B75814"/>
    <w:rsid w:val="00B77273"/>
    <w:rsid w:val="00B77DF6"/>
    <w:rsid w:val="00B8091D"/>
    <w:rsid w:val="00B829AC"/>
    <w:rsid w:val="00B84EB7"/>
    <w:rsid w:val="00BB6D0E"/>
    <w:rsid w:val="00BB75EB"/>
    <w:rsid w:val="00BB7F1D"/>
    <w:rsid w:val="00BC2050"/>
    <w:rsid w:val="00BC3672"/>
    <w:rsid w:val="00BC4151"/>
    <w:rsid w:val="00BD08F1"/>
    <w:rsid w:val="00BE2DB2"/>
    <w:rsid w:val="00C00C2E"/>
    <w:rsid w:val="00C017EF"/>
    <w:rsid w:val="00C02E3C"/>
    <w:rsid w:val="00C07714"/>
    <w:rsid w:val="00C209D8"/>
    <w:rsid w:val="00C33C2F"/>
    <w:rsid w:val="00C34610"/>
    <w:rsid w:val="00C4374E"/>
    <w:rsid w:val="00C43F1A"/>
    <w:rsid w:val="00C507FE"/>
    <w:rsid w:val="00C565E2"/>
    <w:rsid w:val="00C5711B"/>
    <w:rsid w:val="00C61D9B"/>
    <w:rsid w:val="00C70C9A"/>
    <w:rsid w:val="00C75C62"/>
    <w:rsid w:val="00C81B46"/>
    <w:rsid w:val="00C91106"/>
    <w:rsid w:val="00C96E29"/>
    <w:rsid w:val="00C96FEC"/>
    <w:rsid w:val="00CA01C4"/>
    <w:rsid w:val="00CB2C10"/>
    <w:rsid w:val="00CB2FA6"/>
    <w:rsid w:val="00CC14C1"/>
    <w:rsid w:val="00CC66A9"/>
    <w:rsid w:val="00CD6990"/>
    <w:rsid w:val="00CE5EE4"/>
    <w:rsid w:val="00D0391F"/>
    <w:rsid w:val="00D1080B"/>
    <w:rsid w:val="00D178A7"/>
    <w:rsid w:val="00D20F87"/>
    <w:rsid w:val="00D21A4C"/>
    <w:rsid w:val="00D321EA"/>
    <w:rsid w:val="00D50A64"/>
    <w:rsid w:val="00D64D66"/>
    <w:rsid w:val="00D67D77"/>
    <w:rsid w:val="00D73EEC"/>
    <w:rsid w:val="00D7590B"/>
    <w:rsid w:val="00D83F15"/>
    <w:rsid w:val="00D83F43"/>
    <w:rsid w:val="00D84800"/>
    <w:rsid w:val="00D90512"/>
    <w:rsid w:val="00D91921"/>
    <w:rsid w:val="00D97931"/>
    <w:rsid w:val="00DA48DC"/>
    <w:rsid w:val="00DA4B02"/>
    <w:rsid w:val="00DA7C83"/>
    <w:rsid w:val="00DB51A0"/>
    <w:rsid w:val="00DC50D4"/>
    <w:rsid w:val="00DC7CB2"/>
    <w:rsid w:val="00DE0D4F"/>
    <w:rsid w:val="00DF50ED"/>
    <w:rsid w:val="00DF5901"/>
    <w:rsid w:val="00E039D9"/>
    <w:rsid w:val="00E12A2B"/>
    <w:rsid w:val="00E26A89"/>
    <w:rsid w:val="00E26B6D"/>
    <w:rsid w:val="00E26EF9"/>
    <w:rsid w:val="00E53A50"/>
    <w:rsid w:val="00E543EB"/>
    <w:rsid w:val="00E60157"/>
    <w:rsid w:val="00E60D3B"/>
    <w:rsid w:val="00E741DD"/>
    <w:rsid w:val="00E74861"/>
    <w:rsid w:val="00E77BA8"/>
    <w:rsid w:val="00E83717"/>
    <w:rsid w:val="00E841E4"/>
    <w:rsid w:val="00E8690B"/>
    <w:rsid w:val="00E93BC2"/>
    <w:rsid w:val="00E95803"/>
    <w:rsid w:val="00E963B9"/>
    <w:rsid w:val="00E979C7"/>
    <w:rsid w:val="00EB56E8"/>
    <w:rsid w:val="00EE15C8"/>
    <w:rsid w:val="00F00283"/>
    <w:rsid w:val="00F11AF4"/>
    <w:rsid w:val="00F164BA"/>
    <w:rsid w:val="00F20C16"/>
    <w:rsid w:val="00F40981"/>
    <w:rsid w:val="00F426EE"/>
    <w:rsid w:val="00F43480"/>
    <w:rsid w:val="00F46289"/>
    <w:rsid w:val="00F47365"/>
    <w:rsid w:val="00F47555"/>
    <w:rsid w:val="00F62997"/>
    <w:rsid w:val="00F65781"/>
    <w:rsid w:val="00F66B28"/>
    <w:rsid w:val="00F84BF7"/>
    <w:rsid w:val="00F90081"/>
    <w:rsid w:val="00F91A20"/>
    <w:rsid w:val="00F962CD"/>
    <w:rsid w:val="00FD1FED"/>
    <w:rsid w:val="00FD707E"/>
    <w:rsid w:val="00FE184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0C2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00C2E"/>
    <w:pPr>
      <w:keepNext/>
      <w:keepLines/>
      <w:spacing w:before="360"/>
      <w:ind w:left="794" w:hanging="794"/>
      <w:outlineLvl w:val="0"/>
    </w:pPr>
    <w:rPr>
      <w:b/>
    </w:rPr>
  </w:style>
  <w:style w:type="paragraph" w:styleId="Heading2">
    <w:name w:val="heading 2"/>
    <w:basedOn w:val="Heading1"/>
    <w:next w:val="Normal"/>
    <w:qFormat/>
    <w:rsid w:val="00C00C2E"/>
    <w:pPr>
      <w:spacing w:before="240"/>
      <w:outlineLvl w:val="1"/>
    </w:pPr>
  </w:style>
  <w:style w:type="paragraph" w:styleId="Heading3">
    <w:name w:val="heading 3"/>
    <w:basedOn w:val="Heading1"/>
    <w:next w:val="Normal"/>
    <w:qFormat/>
    <w:rsid w:val="00C00C2E"/>
    <w:pPr>
      <w:spacing w:before="160"/>
      <w:outlineLvl w:val="2"/>
    </w:pPr>
  </w:style>
  <w:style w:type="paragraph" w:styleId="Heading4">
    <w:name w:val="heading 4"/>
    <w:basedOn w:val="Heading3"/>
    <w:next w:val="Normal"/>
    <w:qFormat/>
    <w:rsid w:val="00C00C2E"/>
    <w:pPr>
      <w:tabs>
        <w:tab w:val="clear" w:pos="794"/>
        <w:tab w:val="left" w:pos="1021"/>
      </w:tabs>
      <w:ind w:left="1021" w:hanging="1021"/>
      <w:outlineLvl w:val="3"/>
    </w:pPr>
  </w:style>
  <w:style w:type="paragraph" w:styleId="Heading5">
    <w:name w:val="heading 5"/>
    <w:basedOn w:val="Heading4"/>
    <w:next w:val="Normal"/>
    <w:qFormat/>
    <w:rsid w:val="00C00C2E"/>
    <w:pPr>
      <w:outlineLvl w:val="4"/>
    </w:pPr>
  </w:style>
  <w:style w:type="paragraph" w:styleId="Heading6">
    <w:name w:val="heading 6"/>
    <w:basedOn w:val="Heading4"/>
    <w:next w:val="Normal"/>
    <w:qFormat/>
    <w:rsid w:val="00C00C2E"/>
    <w:pPr>
      <w:tabs>
        <w:tab w:val="clear" w:pos="1021"/>
        <w:tab w:val="clear" w:pos="1191"/>
      </w:tabs>
      <w:ind w:left="1588" w:hanging="1588"/>
      <w:outlineLvl w:val="5"/>
    </w:pPr>
  </w:style>
  <w:style w:type="paragraph" w:styleId="Heading7">
    <w:name w:val="heading 7"/>
    <w:basedOn w:val="Heading6"/>
    <w:next w:val="Normal"/>
    <w:qFormat/>
    <w:rsid w:val="00C00C2E"/>
    <w:pPr>
      <w:outlineLvl w:val="6"/>
    </w:pPr>
  </w:style>
  <w:style w:type="paragraph" w:styleId="Heading8">
    <w:name w:val="heading 8"/>
    <w:basedOn w:val="Heading6"/>
    <w:next w:val="Normal"/>
    <w:qFormat/>
    <w:rsid w:val="00C00C2E"/>
    <w:pPr>
      <w:outlineLvl w:val="7"/>
    </w:pPr>
  </w:style>
  <w:style w:type="paragraph" w:styleId="Heading9">
    <w:name w:val="heading 9"/>
    <w:basedOn w:val="Heading6"/>
    <w:next w:val="Normal"/>
    <w:qFormat/>
    <w:rsid w:val="00C00C2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C00C2E"/>
    <w:pPr>
      <w:keepNext/>
      <w:keepLines/>
      <w:spacing w:before="480"/>
      <w:jc w:val="center"/>
    </w:pPr>
    <w:rPr>
      <w:b/>
      <w:sz w:val="28"/>
    </w:rPr>
  </w:style>
  <w:style w:type="paragraph" w:customStyle="1" w:styleId="Normalaftertitle">
    <w:name w:val="Normal_after_title"/>
    <w:basedOn w:val="Normal"/>
    <w:next w:val="Normal"/>
    <w:rsid w:val="00C00C2E"/>
    <w:pPr>
      <w:spacing w:before="360"/>
    </w:pPr>
  </w:style>
  <w:style w:type="paragraph" w:customStyle="1" w:styleId="AppendixNotitle">
    <w:name w:val="Appendix_No &amp; title"/>
    <w:basedOn w:val="AnnexNotitle"/>
    <w:next w:val="Normalaftertitle"/>
    <w:rsid w:val="00C00C2E"/>
  </w:style>
  <w:style w:type="paragraph" w:customStyle="1" w:styleId="Figure">
    <w:name w:val="Figure"/>
    <w:basedOn w:val="Normal"/>
    <w:next w:val="FigureNotitle"/>
    <w:rsid w:val="00C00C2E"/>
    <w:pPr>
      <w:keepNext/>
      <w:keepLines/>
      <w:spacing w:before="240" w:after="120"/>
      <w:jc w:val="center"/>
    </w:pPr>
  </w:style>
  <w:style w:type="character" w:customStyle="1" w:styleId="Appdef">
    <w:name w:val="App_def"/>
    <w:basedOn w:val="DefaultParagraphFont"/>
    <w:rsid w:val="00C00C2E"/>
    <w:rPr>
      <w:rFonts w:ascii="Times New Roman" w:hAnsi="Times New Roman"/>
      <w:b/>
    </w:rPr>
  </w:style>
  <w:style w:type="character" w:customStyle="1" w:styleId="Appref">
    <w:name w:val="App_ref"/>
    <w:basedOn w:val="DefaultParagraphFont"/>
    <w:rsid w:val="00C00C2E"/>
  </w:style>
  <w:style w:type="paragraph" w:customStyle="1" w:styleId="FigureNotitle">
    <w:name w:val="Figure_No &amp; title"/>
    <w:basedOn w:val="Normal"/>
    <w:next w:val="Normalaftertitle"/>
    <w:rsid w:val="00C00C2E"/>
    <w:pPr>
      <w:keepLines/>
      <w:spacing w:before="240" w:after="120"/>
      <w:jc w:val="center"/>
    </w:pPr>
    <w:rPr>
      <w:b/>
    </w:rPr>
  </w:style>
  <w:style w:type="paragraph" w:customStyle="1" w:styleId="FooterQP">
    <w:name w:val="Footer_QP"/>
    <w:basedOn w:val="Normal"/>
    <w:rsid w:val="00C00C2E"/>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00C2E"/>
    <w:rPr>
      <w:b w:val="0"/>
    </w:rPr>
  </w:style>
  <w:style w:type="paragraph" w:customStyle="1" w:styleId="ASN1">
    <w:name w:val="ASN.1"/>
    <w:basedOn w:val="Normal"/>
    <w:rsid w:val="00C00C2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C00C2E"/>
    <w:rPr>
      <w:rFonts w:ascii="Times New Roman" w:hAnsi="Times New Roman"/>
      <w:b/>
    </w:rPr>
  </w:style>
  <w:style w:type="paragraph" w:customStyle="1" w:styleId="Artheading">
    <w:name w:val="Art_heading"/>
    <w:basedOn w:val="Normal"/>
    <w:next w:val="Normalaftertitle"/>
    <w:rsid w:val="00C00C2E"/>
    <w:pPr>
      <w:spacing w:before="480"/>
      <w:jc w:val="center"/>
    </w:pPr>
    <w:rPr>
      <w:b/>
      <w:sz w:val="28"/>
    </w:rPr>
  </w:style>
  <w:style w:type="paragraph" w:customStyle="1" w:styleId="ArtNo">
    <w:name w:val="Art_No"/>
    <w:basedOn w:val="Normal"/>
    <w:next w:val="Arttitle"/>
    <w:rsid w:val="00C00C2E"/>
    <w:pPr>
      <w:keepNext/>
      <w:keepLines/>
      <w:spacing w:before="480"/>
      <w:jc w:val="center"/>
    </w:pPr>
    <w:rPr>
      <w:caps/>
      <w:sz w:val="28"/>
    </w:rPr>
  </w:style>
  <w:style w:type="paragraph" w:customStyle="1" w:styleId="Arttitle">
    <w:name w:val="Art_title"/>
    <w:basedOn w:val="Normal"/>
    <w:next w:val="Normalaftertitle"/>
    <w:rsid w:val="00C00C2E"/>
    <w:pPr>
      <w:keepNext/>
      <w:keepLines/>
      <w:spacing w:before="240"/>
      <w:jc w:val="center"/>
    </w:pPr>
    <w:rPr>
      <w:b/>
      <w:sz w:val="28"/>
    </w:rPr>
  </w:style>
  <w:style w:type="character" w:customStyle="1" w:styleId="Artref">
    <w:name w:val="Art_ref"/>
    <w:basedOn w:val="DefaultParagraphFont"/>
    <w:rsid w:val="00C00C2E"/>
  </w:style>
  <w:style w:type="paragraph" w:customStyle="1" w:styleId="Call">
    <w:name w:val="Call"/>
    <w:basedOn w:val="Normal"/>
    <w:next w:val="Normal"/>
    <w:rsid w:val="00C00C2E"/>
    <w:pPr>
      <w:keepNext/>
      <w:keepLines/>
      <w:spacing w:before="160"/>
      <w:ind w:left="794"/>
    </w:pPr>
    <w:rPr>
      <w:i/>
    </w:rPr>
  </w:style>
  <w:style w:type="paragraph" w:customStyle="1" w:styleId="ChapNo">
    <w:name w:val="Chap_No"/>
    <w:basedOn w:val="Normal"/>
    <w:next w:val="Chaptitle"/>
    <w:rsid w:val="00C00C2E"/>
    <w:pPr>
      <w:keepNext/>
      <w:keepLines/>
      <w:spacing w:before="480"/>
      <w:jc w:val="center"/>
    </w:pPr>
    <w:rPr>
      <w:b/>
      <w:caps/>
      <w:sz w:val="28"/>
    </w:rPr>
  </w:style>
  <w:style w:type="paragraph" w:customStyle="1" w:styleId="Chaptitle">
    <w:name w:val="Chap_title"/>
    <w:basedOn w:val="Normal"/>
    <w:next w:val="Normalaftertitle"/>
    <w:rsid w:val="00C00C2E"/>
    <w:pPr>
      <w:keepNext/>
      <w:keepLines/>
      <w:spacing w:before="240"/>
      <w:jc w:val="center"/>
    </w:pPr>
    <w:rPr>
      <w:b/>
      <w:sz w:val="28"/>
    </w:rPr>
  </w:style>
  <w:style w:type="character" w:styleId="PageNumber">
    <w:name w:val="page number"/>
    <w:basedOn w:val="DefaultParagraphFont"/>
    <w:rsid w:val="00C00C2E"/>
  </w:style>
  <w:style w:type="paragraph" w:customStyle="1" w:styleId="RecNoBR">
    <w:name w:val="Rec_No_BR"/>
    <w:basedOn w:val="Normal"/>
    <w:next w:val="Rectitle"/>
    <w:rsid w:val="00C00C2E"/>
    <w:pPr>
      <w:keepNext/>
      <w:keepLines/>
      <w:spacing w:before="480"/>
      <w:jc w:val="center"/>
    </w:pPr>
    <w:rPr>
      <w:caps/>
      <w:sz w:val="28"/>
    </w:rPr>
  </w:style>
  <w:style w:type="paragraph" w:customStyle="1" w:styleId="Rectitle">
    <w:name w:val="Rec_title"/>
    <w:basedOn w:val="Normal"/>
    <w:next w:val="Normalaftertitle"/>
    <w:rsid w:val="00C00C2E"/>
    <w:pPr>
      <w:keepNext/>
      <w:keepLines/>
      <w:spacing w:before="360"/>
      <w:jc w:val="center"/>
    </w:pPr>
    <w:rPr>
      <w:b/>
      <w:sz w:val="28"/>
    </w:rPr>
  </w:style>
  <w:style w:type="paragraph" w:customStyle="1" w:styleId="QuestionNoBR">
    <w:name w:val="Question_No_BR"/>
    <w:basedOn w:val="RecNoBR"/>
    <w:next w:val="Questiontitle"/>
    <w:rsid w:val="00C00C2E"/>
  </w:style>
  <w:style w:type="paragraph" w:customStyle="1" w:styleId="Questiontitle">
    <w:name w:val="Question_title"/>
    <w:basedOn w:val="Rectitle"/>
    <w:next w:val="Questionref"/>
    <w:rsid w:val="00C00C2E"/>
  </w:style>
  <w:style w:type="paragraph" w:customStyle="1" w:styleId="Questionref">
    <w:name w:val="Question_ref"/>
    <w:basedOn w:val="Recref"/>
    <w:next w:val="Questiondate"/>
    <w:rsid w:val="00C00C2E"/>
  </w:style>
  <w:style w:type="paragraph" w:customStyle="1" w:styleId="Recref">
    <w:name w:val="Rec_ref"/>
    <w:basedOn w:val="Normal"/>
    <w:next w:val="Recdate"/>
    <w:rsid w:val="00C00C2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C00C2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00C2E"/>
  </w:style>
  <w:style w:type="character" w:styleId="EndnoteReference">
    <w:name w:val="endnote reference"/>
    <w:basedOn w:val="DefaultParagraphFont"/>
    <w:semiHidden/>
    <w:rsid w:val="00C00C2E"/>
    <w:rPr>
      <w:vertAlign w:val="superscript"/>
    </w:rPr>
  </w:style>
  <w:style w:type="paragraph" w:customStyle="1" w:styleId="enumlev1">
    <w:name w:val="enumlev1"/>
    <w:basedOn w:val="Normal"/>
    <w:link w:val="enumlev1Char"/>
    <w:rsid w:val="00C00C2E"/>
    <w:pPr>
      <w:spacing w:before="80"/>
      <w:ind w:left="794" w:hanging="794"/>
    </w:pPr>
  </w:style>
  <w:style w:type="paragraph" w:customStyle="1" w:styleId="enumlev2">
    <w:name w:val="enumlev2"/>
    <w:basedOn w:val="enumlev1"/>
    <w:rsid w:val="00C00C2E"/>
    <w:pPr>
      <w:ind w:left="1191" w:hanging="397"/>
    </w:pPr>
  </w:style>
  <w:style w:type="paragraph" w:customStyle="1" w:styleId="enumlev3">
    <w:name w:val="enumlev3"/>
    <w:basedOn w:val="enumlev2"/>
    <w:rsid w:val="00C00C2E"/>
    <w:pPr>
      <w:ind w:left="1588"/>
    </w:pPr>
  </w:style>
  <w:style w:type="paragraph" w:customStyle="1" w:styleId="Equation">
    <w:name w:val="Equation"/>
    <w:basedOn w:val="Normal"/>
    <w:rsid w:val="00C00C2E"/>
    <w:pPr>
      <w:tabs>
        <w:tab w:val="clear" w:pos="1191"/>
        <w:tab w:val="clear" w:pos="1588"/>
        <w:tab w:val="clear" w:pos="1985"/>
        <w:tab w:val="center" w:pos="4820"/>
        <w:tab w:val="right" w:pos="9639"/>
      </w:tabs>
    </w:pPr>
  </w:style>
  <w:style w:type="paragraph" w:customStyle="1" w:styleId="Equationlegend">
    <w:name w:val="Equation_legend"/>
    <w:basedOn w:val="Normal"/>
    <w:rsid w:val="00C00C2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C00C2E"/>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C00C2E"/>
  </w:style>
  <w:style w:type="paragraph" w:customStyle="1" w:styleId="Reptitle">
    <w:name w:val="Rep_title"/>
    <w:basedOn w:val="Rectitle"/>
    <w:next w:val="Repref"/>
    <w:rsid w:val="00C00C2E"/>
  </w:style>
  <w:style w:type="paragraph" w:customStyle="1" w:styleId="Repref">
    <w:name w:val="Rep_ref"/>
    <w:basedOn w:val="Recref"/>
    <w:next w:val="Repdate"/>
    <w:rsid w:val="00C00C2E"/>
  </w:style>
  <w:style w:type="paragraph" w:customStyle="1" w:styleId="Repdate">
    <w:name w:val="Rep_date"/>
    <w:basedOn w:val="Recdate"/>
    <w:next w:val="Normalaftertitle"/>
    <w:rsid w:val="00C00C2E"/>
  </w:style>
  <w:style w:type="paragraph" w:customStyle="1" w:styleId="ResNoBR">
    <w:name w:val="Res_No_BR"/>
    <w:basedOn w:val="RecNoBR"/>
    <w:next w:val="Restitle"/>
    <w:rsid w:val="00C00C2E"/>
  </w:style>
  <w:style w:type="paragraph" w:customStyle="1" w:styleId="Restitle">
    <w:name w:val="Res_title"/>
    <w:basedOn w:val="Rectitle"/>
    <w:next w:val="Resref"/>
    <w:rsid w:val="00C00C2E"/>
  </w:style>
  <w:style w:type="paragraph" w:customStyle="1" w:styleId="Resref">
    <w:name w:val="Res_ref"/>
    <w:basedOn w:val="Recref"/>
    <w:next w:val="Resdate"/>
    <w:rsid w:val="00C00C2E"/>
  </w:style>
  <w:style w:type="paragraph" w:customStyle="1" w:styleId="Resdate">
    <w:name w:val="Res_date"/>
    <w:basedOn w:val="Recdate"/>
    <w:next w:val="Normalaftertitle"/>
    <w:rsid w:val="00C00C2E"/>
  </w:style>
  <w:style w:type="paragraph" w:customStyle="1" w:styleId="Section1">
    <w:name w:val="Section_1"/>
    <w:basedOn w:val="Normal"/>
    <w:next w:val="Normal"/>
    <w:rsid w:val="00C00C2E"/>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C00C2E"/>
    <w:pPr>
      <w:keepLines/>
      <w:spacing w:before="240" w:after="120"/>
      <w:jc w:val="center"/>
    </w:pPr>
  </w:style>
  <w:style w:type="paragraph" w:styleId="Footer">
    <w:name w:val="footer"/>
    <w:basedOn w:val="Normal"/>
    <w:rsid w:val="00C00C2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C00C2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C00C2E"/>
    <w:rPr>
      <w:position w:val="6"/>
      <w:sz w:val="18"/>
    </w:rPr>
  </w:style>
  <w:style w:type="paragraph" w:styleId="FootnoteText">
    <w:name w:val="footnote text"/>
    <w:basedOn w:val="Note"/>
    <w:semiHidden/>
    <w:rsid w:val="00C00C2E"/>
    <w:pPr>
      <w:keepLines/>
      <w:tabs>
        <w:tab w:val="left" w:pos="255"/>
      </w:tabs>
      <w:ind w:left="255" w:hanging="255"/>
    </w:pPr>
  </w:style>
  <w:style w:type="paragraph" w:customStyle="1" w:styleId="Note">
    <w:name w:val="Note"/>
    <w:basedOn w:val="Normal"/>
    <w:rsid w:val="00C00C2E"/>
    <w:pPr>
      <w:spacing w:before="80"/>
    </w:pPr>
  </w:style>
  <w:style w:type="paragraph" w:styleId="Header">
    <w:name w:val="header"/>
    <w:basedOn w:val="Normal"/>
    <w:rsid w:val="00C00C2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C00C2E"/>
    <w:pPr>
      <w:keepNext/>
      <w:spacing w:before="160"/>
    </w:pPr>
    <w:rPr>
      <w:b/>
    </w:rPr>
  </w:style>
  <w:style w:type="paragraph" w:customStyle="1" w:styleId="Headingi">
    <w:name w:val="Heading_i"/>
    <w:basedOn w:val="Normal"/>
    <w:next w:val="Normal"/>
    <w:rsid w:val="00C00C2E"/>
    <w:pPr>
      <w:keepNext/>
      <w:spacing w:before="160"/>
    </w:pPr>
    <w:rPr>
      <w:i/>
    </w:rPr>
  </w:style>
  <w:style w:type="paragraph" w:styleId="Index1">
    <w:name w:val="index 1"/>
    <w:basedOn w:val="Normal"/>
    <w:next w:val="Normal"/>
    <w:semiHidden/>
    <w:rsid w:val="00C00C2E"/>
  </w:style>
  <w:style w:type="paragraph" w:styleId="Index2">
    <w:name w:val="index 2"/>
    <w:basedOn w:val="Normal"/>
    <w:next w:val="Normal"/>
    <w:semiHidden/>
    <w:rsid w:val="00C00C2E"/>
    <w:pPr>
      <w:ind w:left="283"/>
    </w:pPr>
  </w:style>
  <w:style w:type="paragraph" w:styleId="Index3">
    <w:name w:val="index 3"/>
    <w:basedOn w:val="Normal"/>
    <w:next w:val="Normal"/>
    <w:semiHidden/>
    <w:rsid w:val="00C00C2E"/>
    <w:pPr>
      <w:ind w:left="566"/>
    </w:pPr>
  </w:style>
  <w:style w:type="paragraph" w:customStyle="1" w:styleId="Section2">
    <w:name w:val="Section_2"/>
    <w:basedOn w:val="Normal"/>
    <w:next w:val="Normal"/>
    <w:rsid w:val="00C00C2E"/>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C00C2E"/>
    <w:pPr>
      <w:keepNext/>
      <w:keepLines/>
      <w:spacing w:before="360" w:after="120"/>
      <w:jc w:val="center"/>
    </w:pPr>
    <w:rPr>
      <w:b/>
    </w:rPr>
  </w:style>
  <w:style w:type="paragraph" w:customStyle="1" w:styleId="Tablehead">
    <w:name w:val="Table_head"/>
    <w:basedOn w:val="Normal"/>
    <w:next w:val="Tabletext"/>
    <w:uiPriority w:val="99"/>
    <w:rsid w:val="00C00C2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C00C2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C00C2E"/>
    <w:pPr>
      <w:keepNext/>
      <w:spacing w:before="560" w:after="120"/>
      <w:jc w:val="center"/>
    </w:pPr>
    <w:rPr>
      <w:caps/>
    </w:rPr>
  </w:style>
  <w:style w:type="paragraph" w:customStyle="1" w:styleId="TabletitleBR">
    <w:name w:val="Table_title_BR"/>
    <w:basedOn w:val="Normal"/>
    <w:next w:val="Tablehead"/>
    <w:rsid w:val="00C00C2E"/>
    <w:pPr>
      <w:keepNext/>
      <w:keepLines/>
      <w:spacing w:before="0" w:after="120"/>
      <w:jc w:val="center"/>
    </w:pPr>
    <w:rPr>
      <w:b/>
    </w:rPr>
  </w:style>
  <w:style w:type="paragraph" w:customStyle="1" w:styleId="Infodoc">
    <w:name w:val="Infodoc"/>
    <w:basedOn w:val="Normal"/>
    <w:rsid w:val="00C00C2E"/>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C00C2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C00C2E"/>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C00C2E"/>
    <w:pPr>
      <w:keepNext/>
      <w:keepLines/>
      <w:spacing w:before="480" w:after="80"/>
      <w:jc w:val="center"/>
    </w:pPr>
    <w:rPr>
      <w:caps/>
      <w:sz w:val="28"/>
    </w:rPr>
  </w:style>
  <w:style w:type="paragraph" w:customStyle="1" w:styleId="Partref">
    <w:name w:val="Part_ref"/>
    <w:basedOn w:val="Normal"/>
    <w:next w:val="Parttitle"/>
    <w:rsid w:val="00C00C2E"/>
    <w:pPr>
      <w:keepNext/>
      <w:keepLines/>
      <w:spacing w:before="280"/>
      <w:jc w:val="center"/>
    </w:pPr>
  </w:style>
  <w:style w:type="paragraph" w:customStyle="1" w:styleId="Parttitle">
    <w:name w:val="Part_title"/>
    <w:basedOn w:val="Normal"/>
    <w:next w:val="Normalaftertitle"/>
    <w:rsid w:val="00C00C2E"/>
    <w:pPr>
      <w:keepNext/>
      <w:keepLines/>
      <w:spacing w:before="240" w:after="280"/>
      <w:jc w:val="center"/>
    </w:pPr>
    <w:rPr>
      <w:b/>
      <w:sz w:val="28"/>
    </w:rPr>
  </w:style>
  <w:style w:type="paragraph" w:customStyle="1" w:styleId="RecNo">
    <w:name w:val="Rec_No"/>
    <w:basedOn w:val="Normal"/>
    <w:next w:val="Rectitle"/>
    <w:rsid w:val="00C00C2E"/>
    <w:pPr>
      <w:keepNext/>
      <w:keepLines/>
      <w:spacing w:before="0"/>
    </w:pPr>
    <w:rPr>
      <w:b/>
      <w:sz w:val="28"/>
    </w:rPr>
  </w:style>
  <w:style w:type="paragraph" w:customStyle="1" w:styleId="QuestionNo">
    <w:name w:val="Question_No"/>
    <w:basedOn w:val="RecNo"/>
    <w:next w:val="Questiontitle"/>
    <w:rsid w:val="00C00C2E"/>
  </w:style>
  <w:style w:type="character" w:customStyle="1" w:styleId="Recdef">
    <w:name w:val="Rec_def"/>
    <w:basedOn w:val="DefaultParagraphFont"/>
    <w:rsid w:val="00C00C2E"/>
    <w:rPr>
      <w:b/>
    </w:rPr>
  </w:style>
  <w:style w:type="paragraph" w:customStyle="1" w:styleId="Reftext">
    <w:name w:val="Ref_text"/>
    <w:basedOn w:val="Normal"/>
    <w:rsid w:val="00C00C2E"/>
    <w:pPr>
      <w:ind w:left="794" w:hanging="794"/>
    </w:pPr>
  </w:style>
  <w:style w:type="paragraph" w:customStyle="1" w:styleId="Reftitle">
    <w:name w:val="Ref_title"/>
    <w:basedOn w:val="Normal"/>
    <w:next w:val="Reftext"/>
    <w:rsid w:val="00C00C2E"/>
    <w:pPr>
      <w:spacing w:before="480"/>
      <w:jc w:val="center"/>
    </w:pPr>
    <w:rPr>
      <w:b/>
    </w:rPr>
  </w:style>
  <w:style w:type="paragraph" w:customStyle="1" w:styleId="RepNo">
    <w:name w:val="Rep_No"/>
    <w:basedOn w:val="RecNo"/>
    <w:next w:val="Reptitle"/>
    <w:rsid w:val="00C00C2E"/>
  </w:style>
  <w:style w:type="character" w:customStyle="1" w:styleId="Resdef">
    <w:name w:val="Res_def"/>
    <w:basedOn w:val="DefaultParagraphFont"/>
    <w:rsid w:val="00C00C2E"/>
    <w:rPr>
      <w:rFonts w:ascii="Times New Roman" w:hAnsi="Times New Roman"/>
      <w:b/>
    </w:rPr>
  </w:style>
  <w:style w:type="paragraph" w:customStyle="1" w:styleId="ResNo">
    <w:name w:val="Res_No"/>
    <w:basedOn w:val="RecNo"/>
    <w:next w:val="Restitle"/>
    <w:rsid w:val="00C00C2E"/>
  </w:style>
  <w:style w:type="paragraph" w:customStyle="1" w:styleId="SectionNo">
    <w:name w:val="Section_No"/>
    <w:basedOn w:val="Normal"/>
    <w:next w:val="Sectiontitle"/>
    <w:rsid w:val="00C00C2E"/>
    <w:pPr>
      <w:keepNext/>
      <w:keepLines/>
      <w:spacing w:before="480" w:after="80"/>
      <w:jc w:val="center"/>
    </w:pPr>
    <w:rPr>
      <w:caps/>
      <w:sz w:val="28"/>
    </w:rPr>
  </w:style>
  <w:style w:type="paragraph" w:customStyle="1" w:styleId="Sectiontitle">
    <w:name w:val="Section_title"/>
    <w:basedOn w:val="Normal"/>
    <w:next w:val="Normalaftertitle"/>
    <w:rsid w:val="00C00C2E"/>
    <w:pPr>
      <w:keepNext/>
      <w:keepLines/>
      <w:spacing w:before="480" w:after="280"/>
      <w:jc w:val="center"/>
    </w:pPr>
    <w:rPr>
      <w:b/>
      <w:sz w:val="28"/>
    </w:rPr>
  </w:style>
  <w:style w:type="paragraph" w:customStyle="1" w:styleId="Source">
    <w:name w:val="Source"/>
    <w:basedOn w:val="Normal"/>
    <w:next w:val="Normalaftertitle"/>
    <w:rsid w:val="00C00C2E"/>
    <w:pPr>
      <w:spacing w:before="840" w:after="200"/>
      <w:jc w:val="center"/>
    </w:pPr>
    <w:rPr>
      <w:b/>
      <w:sz w:val="28"/>
    </w:rPr>
  </w:style>
  <w:style w:type="paragraph" w:customStyle="1" w:styleId="SpecialFooter">
    <w:name w:val="Special Footer"/>
    <w:basedOn w:val="Footer"/>
    <w:rsid w:val="00C00C2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00C2E"/>
    <w:rPr>
      <w:b/>
      <w:color w:val="auto"/>
    </w:rPr>
  </w:style>
  <w:style w:type="paragraph" w:customStyle="1" w:styleId="Tablelegend">
    <w:name w:val="Table_legend"/>
    <w:basedOn w:val="Normal"/>
    <w:rsid w:val="00C00C2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C00C2E"/>
    <w:pPr>
      <w:keepNext/>
      <w:spacing w:before="0" w:after="120"/>
      <w:jc w:val="center"/>
    </w:pPr>
  </w:style>
  <w:style w:type="paragraph" w:customStyle="1" w:styleId="Title1">
    <w:name w:val="Title 1"/>
    <w:basedOn w:val="Source"/>
    <w:next w:val="Title2"/>
    <w:rsid w:val="00C00C2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00C2E"/>
  </w:style>
  <w:style w:type="paragraph" w:customStyle="1" w:styleId="Title3">
    <w:name w:val="Title 3"/>
    <w:basedOn w:val="Title2"/>
    <w:next w:val="Title4"/>
    <w:rsid w:val="00C00C2E"/>
    <w:rPr>
      <w:caps w:val="0"/>
    </w:rPr>
  </w:style>
  <w:style w:type="paragraph" w:customStyle="1" w:styleId="Title4">
    <w:name w:val="Title 4"/>
    <w:basedOn w:val="Title3"/>
    <w:next w:val="Heading1"/>
    <w:rsid w:val="00C00C2E"/>
    <w:rPr>
      <w:b/>
    </w:rPr>
  </w:style>
  <w:style w:type="paragraph" w:customStyle="1" w:styleId="toc0">
    <w:name w:val="toc 0"/>
    <w:basedOn w:val="Normal"/>
    <w:next w:val="TOC1"/>
    <w:rsid w:val="00C00C2E"/>
    <w:pPr>
      <w:tabs>
        <w:tab w:val="clear" w:pos="794"/>
        <w:tab w:val="clear" w:pos="1191"/>
        <w:tab w:val="clear" w:pos="1588"/>
        <w:tab w:val="clear" w:pos="1985"/>
        <w:tab w:val="right" w:pos="9639"/>
      </w:tabs>
    </w:pPr>
    <w:rPr>
      <w:b/>
    </w:rPr>
  </w:style>
  <w:style w:type="paragraph" w:styleId="TOC1">
    <w:name w:val="toc 1"/>
    <w:basedOn w:val="Normal"/>
    <w:semiHidden/>
    <w:rsid w:val="00C00C2E"/>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C00C2E"/>
    <w:pPr>
      <w:spacing w:before="80"/>
      <w:ind w:left="1531" w:hanging="851"/>
    </w:pPr>
  </w:style>
  <w:style w:type="paragraph" w:styleId="TOC3">
    <w:name w:val="toc 3"/>
    <w:basedOn w:val="TOC2"/>
    <w:semiHidden/>
    <w:rsid w:val="00C00C2E"/>
  </w:style>
  <w:style w:type="paragraph" w:styleId="TOC4">
    <w:name w:val="toc 4"/>
    <w:basedOn w:val="TOC3"/>
    <w:semiHidden/>
    <w:rsid w:val="00C00C2E"/>
  </w:style>
  <w:style w:type="paragraph" w:styleId="TOC5">
    <w:name w:val="toc 5"/>
    <w:basedOn w:val="TOC4"/>
    <w:semiHidden/>
    <w:rsid w:val="00C00C2E"/>
  </w:style>
  <w:style w:type="paragraph" w:styleId="TOC6">
    <w:name w:val="toc 6"/>
    <w:basedOn w:val="TOC4"/>
    <w:semiHidden/>
    <w:rsid w:val="00C00C2E"/>
  </w:style>
  <w:style w:type="paragraph" w:styleId="TOC7">
    <w:name w:val="toc 7"/>
    <w:basedOn w:val="TOC4"/>
    <w:semiHidden/>
    <w:rsid w:val="00C00C2E"/>
  </w:style>
  <w:style w:type="paragraph" w:styleId="TOC8">
    <w:name w:val="toc 8"/>
    <w:basedOn w:val="TOC4"/>
    <w:semiHidden/>
    <w:rsid w:val="00C00C2E"/>
  </w:style>
  <w:style w:type="paragraph" w:customStyle="1" w:styleId="FiguretitleBR">
    <w:name w:val="Figure_title_BR"/>
    <w:basedOn w:val="TabletitleBR"/>
    <w:next w:val="Figurewithouttitle"/>
    <w:rsid w:val="00C00C2E"/>
    <w:pPr>
      <w:keepNext w:val="0"/>
      <w:spacing w:after="480"/>
    </w:pPr>
  </w:style>
  <w:style w:type="paragraph" w:customStyle="1" w:styleId="FigureNoBR">
    <w:name w:val="Figure_No_BR"/>
    <w:basedOn w:val="Normal"/>
    <w:next w:val="FiguretitleBR"/>
    <w:rsid w:val="00C00C2E"/>
    <w:pPr>
      <w:keepNext/>
      <w:keepLines/>
      <w:spacing w:before="480" w:after="120"/>
      <w:jc w:val="center"/>
    </w:pPr>
    <w:rPr>
      <w:caps/>
    </w:rPr>
  </w:style>
  <w:style w:type="character" w:styleId="Hyperlink">
    <w:name w:val="Hyperlink"/>
    <w:basedOn w:val="DefaultParagraphFont"/>
    <w:rsid w:val="00D1080B"/>
    <w:rPr>
      <w:color w:val="0000FF"/>
      <w:u w:val="single"/>
    </w:rPr>
  </w:style>
  <w:style w:type="paragraph" w:styleId="BodyTextIndent">
    <w:name w:val="Body Text Indent"/>
    <w:basedOn w:val="Normal"/>
    <w:rsid w:val="00D1080B"/>
    <w:pPr>
      <w:tabs>
        <w:tab w:val="left" w:pos="0"/>
        <w:tab w:val="left" w:pos="1134"/>
        <w:tab w:val="left" w:pos="3119"/>
        <w:tab w:val="center" w:pos="7371"/>
      </w:tabs>
      <w:overflowPunct/>
      <w:autoSpaceDE/>
      <w:autoSpaceDN/>
      <w:adjustRightInd/>
      <w:spacing w:before="1418" w:after="240"/>
      <w:ind w:left="5760"/>
      <w:jc w:val="center"/>
      <w:textAlignment w:val="auto"/>
    </w:pPr>
  </w:style>
  <w:style w:type="character" w:styleId="FollowedHyperlink">
    <w:name w:val="FollowedHyperlink"/>
    <w:basedOn w:val="DefaultParagraphFont"/>
    <w:rsid w:val="00E26EF9"/>
    <w:rPr>
      <w:color w:val="800080"/>
      <w:u w:val="single"/>
    </w:rPr>
  </w:style>
  <w:style w:type="paragraph" w:customStyle="1" w:styleId="Char1CharChar1Char">
    <w:name w:val="Char1 Char Char1 Char"/>
    <w:basedOn w:val="Normal"/>
    <w:rsid w:val="00A9285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href">
    <w:name w:val="href"/>
    <w:basedOn w:val="DefaultParagraphFont"/>
    <w:rsid w:val="00385DA6"/>
  </w:style>
  <w:style w:type="paragraph" w:styleId="BalloonText">
    <w:name w:val="Balloon Text"/>
    <w:basedOn w:val="Normal"/>
    <w:semiHidden/>
    <w:rsid w:val="00D0391F"/>
    <w:rPr>
      <w:sz w:val="16"/>
      <w:szCs w:val="16"/>
    </w:rPr>
  </w:style>
  <w:style w:type="table" w:styleId="TableGrid">
    <w:name w:val="Table Grid"/>
    <w:basedOn w:val="TableNormal"/>
    <w:rsid w:val="0022581A"/>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5C0E7E"/>
    <w:rPr>
      <w:b/>
      <w:bCs/>
    </w:rPr>
  </w:style>
  <w:style w:type="character" w:customStyle="1" w:styleId="enumlev1Char">
    <w:name w:val="enumlev1 Char"/>
    <w:basedOn w:val="DefaultParagraphFont"/>
    <w:link w:val="enumlev1"/>
    <w:rsid w:val="005C0E7E"/>
    <w:rPr>
      <w:rFonts w:eastAsia="SimSun"/>
      <w:sz w:val="24"/>
      <w:lang w:val="en-GB"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dbase/patent/patent-policy.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PE_BRcirc</Template>
  <TotalTime>2</TotalTime>
  <Pages>4</Pages>
  <Words>1338</Words>
  <Characters>605</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1940</CharactersWithSpaces>
  <SharedDoc>false</SharedDoc>
  <HLinks>
    <vt:vector size="12" baseType="variant">
      <vt:variant>
        <vt:i4>6160462</vt:i4>
      </vt:variant>
      <vt:variant>
        <vt:i4>0</vt:i4>
      </vt:variant>
      <vt:variant>
        <vt:i4>0</vt:i4>
      </vt:variant>
      <vt:variant>
        <vt:i4>5</vt:i4>
      </vt:variant>
      <vt:variant>
        <vt:lpwstr>http://www.itu.int/ITU-T/dbase/patent/patent-policy.html</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fernandv</dc:creator>
  <cp:keywords/>
  <dc:description/>
  <cp:lastModifiedBy>capdessu</cp:lastModifiedBy>
  <cp:revision>4</cp:revision>
  <cp:lastPrinted>2010-10-29T13:55:00Z</cp:lastPrinted>
  <dcterms:created xsi:type="dcterms:W3CDTF">2010-10-29T09:13:00Z</dcterms:created>
  <dcterms:modified xsi:type="dcterms:W3CDTF">2010-10-29T13:56:00Z</dcterms:modified>
</cp:coreProperties>
</file>