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692492" w:rsidRPr="00D35752" w:rsidTr="00C060AF">
        <w:tc>
          <w:tcPr>
            <w:tcW w:w="8188" w:type="dxa"/>
            <w:vAlign w:val="center"/>
          </w:tcPr>
          <w:p w:rsidR="00692492" w:rsidRPr="00D35752" w:rsidRDefault="00692492" w:rsidP="00C060AF">
            <w:pPr>
              <w:spacing w:before="0"/>
            </w:pPr>
            <w:r w:rsidRPr="00C060AF">
              <w:rPr>
                <w:rFonts w:ascii="Futura Lt BT" w:hAnsi="Futura Lt BT"/>
                <w:sz w:val="44"/>
              </w:rPr>
              <w:t>I</w:t>
            </w:r>
            <w:r w:rsidRPr="00C060AF">
              <w:rPr>
                <w:rFonts w:ascii="Futura Lt BT" w:hAnsi="Futura Lt BT"/>
                <w:sz w:val="36"/>
              </w:rPr>
              <w:t xml:space="preserve">NTERNATIONAL </w:t>
            </w:r>
            <w:r w:rsidRPr="00C060AF">
              <w:rPr>
                <w:rFonts w:ascii="Futura Lt BT" w:hAnsi="Futura Lt BT"/>
                <w:sz w:val="44"/>
              </w:rPr>
              <w:t>T</w:t>
            </w:r>
            <w:r w:rsidRPr="00C060AF">
              <w:rPr>
                <w:rFonts w:ascii="Futura Lt BT" w:hAnsi="Futura Lt BT"/>
                <w:sz w:val="36"/>
              </w:rPr>
              <w:t xml:space="preserve">ELECOMMUNICATION </w:t>
            </w:r>
            <w:smartTag w:uri="urn:schemas-microsoft-com:office:smarttags" w:element="place">
              <w:r w:rsidRPr="00C060AF">
                <w:rPr>
                  <w:rFonts w:ascii="Futura Lt BT" w:hAnsi="Futura Lt BT"/>
                  <w:sz w:val="44"/>
                </w:rPr>
                <w:t>U</w:t>
              </w:r>
              <w:r w:rsidRPr="00C060AF">
                <w:rPr>
                  <w:rFonts w:ascii="Futura Lt BT" w:hAnsi="Futura Lt BT"/>
                  <w:sz w:val="36"/>
                </w:rPr>
                <w:t>NION</w:t>
              </w:r>
            </w:smartTag>
          </w:p>
        </w:tc>
        <w:tc>
          <w:tcPr>
            <w:tcW w:w="1667" w:type="dxa"/>
          </w:tcPr>
          <w:p w:rsidR="00692492" w:rsidRPr="00D35752" w:rsidRDefault="00841FD3" w:rsidP="00C060AF">
            <w:pPr>
              <w:spacing w:before="0"/>
              <w:jc w:val="right"/>
            </w:pPr>
            <w:r>
              <w:rPr>
                <w:noProof/>
                <w:lang w:val="en-US" w:eastAsia="zh-CN"/>
              </w:rPr>
              <w:drawing>
                <wp:inline distT="0" distB="0" distL="0" distR="0">
                  <wp:extent cx="828675" cy="942975"/>
                  <wp:effectExtent l="0" t="0" r="9525" b="9525"/>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942975"/>
                          </a:xfrm>
                          <a:prstGeom prst="rect">
                            <a:avLst/>
                          </a:prstGeom>
                          <a:noFill/>
                          <a:ln>
                            <a:noFill/>
                          </a:ln>
                        </pic:spPr>
                      </pic:pic>
                    </a:graphicData>
                  </a:graphic>
                </wp:inline>
              </w:drawing>
            </w:r>
          </w:p>
        </w:tc>
      </w:tr>
    </w:tbl>
    <w:tbl>
      <w:tblPr>
        <w:tblW w:w="0" w:type="auto"/>
        <w:tblLayout w:type="fixed"/>
        <w:tblLook w:val="0000" w:firstRow="0" w:lastRow="0" w:firstColumn="0" w:lastColumn="0" w:noHBand="0" w:noVBand="0"/>
      </w:tblPr>
      <w:tblGrid>
        <w:gridCol w:w="5075"/>
      </w:tblGrid>
      <w:tr w:rsidR="00692492">
        <w:trPr>
          <w:cantSplit/>
        </w:trPr>
        <w:tc>
          <w:tcPr>
            <w:tcW w:w="5075" w:type="dxa"/>
          </w:tcPr>
          <w:p w:rsidR="00692492" w:rsidRPr="00A22FBB" w:rsidRDefault="00692492">
            <w:pPr>
              <w:rPr>
                <w:b/>
                <w:smallCaps/>
                <w:sz w:val="20"/>
                <w:lang w:val="fr-CH"/>
              </w:rPr>
            </w:pPr>
            <w:r w:rsidRPr="00A22FBB">
              <w:rPr>
                <w:i/>
                <w:sz w:val="28"/>
                <w:lang w:val="fr-CH"/>
              </w:rPr>
              <w:t>Radiocommunication Bureau</w:t>
            </w:r>
          </w:p>
          <w:p w:rsidR="00692492" w:rsidRDefault="00692492">
            <w:pPr>
              <w:tabs>
                <w:tab w:val="clear" w:pos="794"/>
                <w:tab w:val="clear" w:pos="1191"/>
                <w:tab w:val="clear" w:pos="1588"/>
                <w:tab w:val="clear" w:pos="1985"/>
                <w:tab w:val="center" w:pos="1701"/>
              </w:tabs>
              <w:spacing w:before="0"/>
              <w:rPr>
                <w:b/>
                <w:smallCaps/>
                <w:sz w:val="20"/>
              </w:rPr>
            </w:pPr>
            <w:r w:rsidRPr="00A22FBB">
              <w:rPr>
                <w:b/>
                <w:sz w:val="18"/>
                <w:lang w:val="fr-CH"/>
              </w:rPr>
              <w:tab/>
            </w:r>
            <w:r w:rsidRPr="00A22FBB">
              <w:rPr>
                <w:i/>
                <w:sz w:val="18"/>
                <w:lang w:val="fr-CH"/>
              </w:rPr>
              <w:t xml:space="preserve">(Direct Fax N°. </w:t>
            </w:r>
            <w:r>
              <w:rPr>
                <w:i/>
                <w:sz w:val="18"/>
              </w:rPr>
              <w:t>+41 22 730 57 85)</w:t>
            </w:r>
          </w:p>
        </w:tc>
      </w:tr>
    </w:tbl>
    <w:p w:rsidR="00692492" w:rsidRDefault="00692492">
      <w:pPr>
        <w:tabs>
          <w:tab w:val="left" w:pos="7513"/>
        </w:tabs>
      </w:pPr>
    </w:p>
    <w:p w:rsidR="00692492" w:rsidRDefault="00692492">
      <w:pPr>
        <w:tabs>
          <w:tab w:val="left" w:pos="7513"/>
        </w:tabs>
      </w:pPr>
    </w:p>
    <w:tbl>
      <w:tblPr>
        <w:tblW w:w="10020" w:type="dxa"/>
        <w:tblLayout w:type="fixed"/>
        <w:tblLook w:val="0000" w:firstRow="0" w:lastRow="0" w:firstColumn="0" w:lastColumn="0" w:noHBand="0" w:noVBand="0"/>
      </w:tblPr>
      <w:tblGrid>
        <w:gridCol w:w="3085"/>
        <w:gridCol w:w="6935"/>
      </w:tblGrid>
      <w:tr w:rsidR="00692492">
        <w:trPr>
          <w:cantSplit/>
        </w:trPr>
        <w:tc>
          <w:tcPr>
            <w:tcW w:w="3085" w:type="dxa"/>
          </w:tcPr>
          <w:p w:rsidR="00692492" w:rsidRPr="00FB11D7" w:rsidRDefault="00B14AB4">
            <w:pPr>
              <w:tabs>
                <w:tab w:val="left" w:pos="7513"/>
              </w:tabs>
              <w:jc w:val="center"/>
              <w:rPr>
                <w:b/>
                <w:bCs/>
              </w:rPr>
            </w:pPr>
            <w:bookmarkStart w:id="0" w:name="dletter"/>
            <w:bookmarkEnd w:id="0"/>
            <w:r>
              <w:rPr>
                <w:b/>
                <w:bCs/>
              </w:rPr>
              <w:t>Administrative Circular</w:t>
            </w:r>
          </w:p>
          <w:p w:rsidR="00692492" w:rsidRPr="00975994" w:rsidRDefault="00692492" w:rsidP="00696DF5">
            <w:pPr>
              <w:tabs>
                <w:tab w:val="clear" w:pos="794"/>
                <w:tab w:val="clear" w:pos="1191"/>
                <w:tab w:val="clear" w:pos="1588"/>
              </w:tabs>
              <w:spacing w:before="0"/>
              <w:jc w:val="center"/>
              <w:rPr>
                <w:b/>
                <w:bCs/>
              </w:rPr>
            </w:pPr>
            <w:bookmarkStart w:id="1" w:name="dnum"/>
            <w:bookmarkEnd w:id="1"/>
            <w:r>
              <w:rPr>
                <w:b/>
                <w:bCs/>
              </w:rPr>
              <w:t>CAR/</w:t>
            </w:r>
            <w:r w:rsidR="00696DF5">
              <w:rPr>
                <w:b/>
                <w:bCs/>
              </w:rPr>
              <w:t>313</w:t>
            </w:r>
          </w:p>
        </w:tc>
        <w:tc>
          <w:tcPr>
            <w:tcW w:w="6935" w:type="dxa"/>
          </w:tcPr>
          <w:p w:rsidR="00692492" w:rsidRPr="00975994" w:rsidRDefault="00F84D30" w:rsidP="00396BA8">
            <w:pPr>
              <w:tabs>
                <w:tab w:val="left" w:pos="7513"/>
              </w:tabs>
              <w:jc w:val="right"/>
              <w:rPr>
                <w:bCs/>
              </w:rPr>
            </w:pPr>
            <w:bookmarkStart w:id="2" w:name="ddate"/>
            <w:bookmarkEnd w:id="2"/>
            <w:r>
              <w:rPr>
                <w:bCs/>
              </w:rPr>
              <w:t>2</w:t>
            </w:r>
            <w:r w:rsidR="00396BA8">
              <w:rPr>
                <w:bCs/>
              </w:rPr>
              <w:t>5</w:t>
            </w:r>
            <w:bookmarkStart w:id="3" w:name="_GoBack"/>
            <w:bookmarkEnd w:id="3"/>
            <w:r>
              <w:rPr>
                <w:bCs/>
              </w:rPr>
              <w:t xml:space="preserve"> February 2011</w:t>
            </w:r>
          </w:p>
        </w:tc>
      </w:tr>
    </w:tbl>
    <w:p w:rsidR="00692492" w:rsidRDefault="00692492">
      <w:pPr>
        <w:tabs>
          <w:tab w:val="left" w:pos="7513"/>
        </w:tabs>
        <w:spacing w:before="480"/>
        <w:jc w:val="center"/>
        <w:rPr>
          <w:b/>
        </w:rPr>
      </w:pPr>
      <w:r w:rsidRPr="005F7F4C">
        <w:rPr>
          <w:b/>
          <w:bCs/>
        </w:rPr>
        <w:t>To Administrations of Member States of ITU</w:t>
      </w:r>
    </w:p>
    <w:p w:rsidR="00692492" w:rsidRDefault="00692492">
      <w:pPr>
        <w:tabs>
          <w:tab w:val="clear" w:pos="794"/>
          <w:tab w:val="clear" w:pos="1191"/>
          <w:tab w:val="clear" w:pos="1588"/>
          <w:tab w:val="clear" w:pos="1985"/>
          <w:tab w:val="left" w:pos="709"/>
        </w:tabs>
        <w:spacing w:before="720"/>
        <w:ind w:left="709" w:hanging="709"/>
        <w:rPr>
          <w:b/>
          <w:bCs/>
        </w:rPr>
      </w:pPr>
      <w:r>
        <w:rPr>
          <w:b/>
        </w:rPr>
        <w:t>Subject</w:t>
      </w:r>
      <w:r>
        <w:t>:</w:t>
      </w:r>
      <w:r>
        <w:tab/>
      </w:r>
      <w:bookmarkStart w:id="4" w:name="dtitle1"/>
      <w:bookmarkEnd w:id="4"/>
      <w:r w:rsidRPr="006F39C2">
        <w:rPr>
          <w:b/>
          <w:bCs/>
        </w:rPr>
        <w:t>Radiocommunication Study Group 6</w:t>
      </w:r>
    </w:p>
    <w:p w:rsidR="00692492" w:rsidRPr="00FB11D7" w:rsidRDefault="00692492" w:rsidP="009A55EC">
      <w:pPr>
        <w:tabs>
          <w:tab w:val="clear" w:pos="1588"/>
          <w:tab w:val="left" w:pos="1418"/>
        </w:tabs>
        <w:ind w:left="1985" w:hanging="1985"/>
        <w:rPr>
          <w:b/>
          <w:bCs/>
        </w:rPr>
      </w:pPr>
      <w:r w:rsidRPr="006F39C2">
        <w:tab/>
      </w:r>
      <w:r w:rsidRPr="006F39C2">
        <w:tab/>
      </w:r>
      <w:r>
        <w:tab/>
      </w:r>
      <w:r w:rsidR="00C062A1">
        <w:rPr>
          <w:b/>
          <w:bCs/>
        </w:rPr>
        <w:t>–</w:t>
      </w:r>
      <w:r w:rsidR="00C062A1">
        <w:rPr>
          <w:b/>
          <w:bCs/>
        </w:rPr>
        <w:tab/>
      </w:r>
      <w:bookmarkStart w:id="5" w:name="OLE_LINK1"/>
      <w:bookmarkStart w:id="6" w:name="OLE_LINK2"/>
      <w:r w:rsidR="00C062A1" w:rsidRPr="00FB11D7">
        <w:rPr>
          <w:b/>
          <w:bCs/>
        </w:rPr>
        <w:t xml:space="preserve">Proposed approval of </w:t>
      </w:r>
      <w:r w:rsidR="009A55EC">
        <w:rPr>
          <w:b/>
          <w:bCs/>
        </w:rPr>
        <w:t>4</w:t>
      </w:r>
      <w:r w:rsidR="009A55EC" w:rsidRPr="00FB11D7">
        <w:rPr>
          <w:b/>
          <w:bCs/>
        </w:rPr>
        <w:t xml:space="preserve"> </w:t>
      </w:r>
      <w:r w:rsidR="00C062A1" w:rsidRPr="00FB11D7">
        <w:rPr>
          <w:b/>
          <w:bCs/>
        </w:rPr>
        <w:t>draft new Recommendation</w:t>
      </w:r>
      <w:bookmarkEnd w:id="5"/>
      <w:bookmarkEnd w:id="6"/>
      <w:r w:rsidR="009A55EC">
        <w:rPr>
          <w:b/>
          <w:bCs/>
        </w:rPr>
        <w:t>s and 3 draft revised Recommendations</w:t>
      </w:r>
    </w:p>
    <w:p w:rsidR="00692492" w:rsidRDefault="00692492" w:rsidP="009A55EC">
      <w:pPr>
        <w:spacing w:before="720"/>
      </w:pPr>
      <w:r>
        <w:t xml:space="preserve">At the meeting of ITU-R Study Group 6 (Broadcasting service) held on </w:t>
      </w:r>
      <w:r w:rsidR="009A55EC">
        <w:t xml:space="preserve">28 </w:t>
      </w:r>
      <w:r>
        <w:t xml:space="preserve">and </w:t>
      </w:r>
      <w:r w:rsidR="009A55EC">
        <w:t>29 October</w:t>
      </w:r>
      <w:r>
        <w:t xml:space="preserve"> </w:t>
      </w:r>
      <w:r w:rsidR="003A6CE7">
        <w:t>20</w:t>
      </w:r>
      <w:r w:rsidR="009A55EC">
        <w:t>1</w:t>
      </w:r>
      <w:r w:rsidR="003A6CE7">
        <w:t>0</w:t>
      </w:r>
      <w:r>
        <w:t xml:space="preserve">, the Study Group decided to seek adoption of </w:t>
      </w:r>
      <w:r w:rsidR="009A55EC">
        <w:t xml:space="preserve">4 </w:t>
      </w:r>
      <w:r>
        <w:t>draft new Recommendation</w:t>
      </w:r>
      <w:r w:rsidR="009A55EC">
        <w:t>s and 3 draft revised Recommendations</w:t>
      </w:r>
      <w:r>
        <w:t xml:space="preserve"> by correspondence, according to § 10.2.3 of Resolution ITU</w:t>
      </w:r>
      <w:r>
        <w:noBreakHyphen/>
        <w:t xml:space="preserve">R 1-5. </w:t>
      </w:r>
    </w:p>
    <w:p w:rsidR="00692492" w:rsidRDefault="00692492" w:rsidP="009A55EC">
      <w:pPr>
        <w:spacing w:before="136"/>
      </w:pPr>
      <w:r>
        <w:t>As stated in Circular Letter 6/LCCE/</w:t>
      </w:r>
      <w:r w:rsidR="009A55EC">
        <w:t>72</w:t>
      </w:r>
      <w:r>
        <w:t xml:space="preserve">, dated </w:t>
      </w:r>
      <w:r w:rsidR="009A55EC">
        <w:t xml:space="preserve">6 </w:t>
      </w:r>
      <w:r>
        <w:t xml:space="preserve">December </w:t>
      </w:r>
      <w:r w:rsidR="003A6CE7">
        <w:t>20</w:t>
      </w:r>
      <w:r w:rsidR="009A55EC">
        <w:t>1</w:t>
      </w:r>
      <w:r w:rsidR="003A6CE7">
        <w:t>0</w:t>
      </w:r>
      <w:r>
        <w:t xml:space="preserve">, the consultation period for the Recommendations ended on </w:t>
      </w:r>
      <w:r w:rsidR="009A55EC">
        <w:t xml:space="preserve">6 </w:t>
      </w:r>
      <w:r>
        <w:t xml:space="preserve">February </w:t>
      </w:r>
      <w:r w:rsidR="003A6CE7">
        <w:t>201</w:t>
      </w:r>
      <w:r w:rsidR="009A55EC">
        <w:t>1</w:t>
      </w:r>
      <w:r>
        <w:t>.</w:t>
      </w:r>
    </w:p>
    <w:p w:rsidR="00692492" w:rsidRDefault="00692492" w:rsidP="009A55EC">
      <w:r>
        <w:t>The Recommendation</w:t>
      </w:r>
      <w:r w:rsidR="009A55EC">
        <w:t>s</w:t>
      </w:r>
      <w:r>
        <w:t xml:space="preserve"> </w:t>
      </w:r>
      <w:r w:rsidR="009A55EC">
        <w:t xml:space="preserve">have </w:t>
      </w:r>
      <w:r>
        <w:t>now been adopted by Study Group 6 and the approval procedure of Resolution ITU-R 1-5 § 10.4.5 is to be applied. The title</w:t>
      </w:r>
      <w:r w:rsidR="009A55EC">
        <w:t>s</w:t>
      </w:r>
      <w:r>
        <w:t xml:space="preserve"> and </w:t>
      </w:r>
      <w:r w:rsidR="00B14AB4">
        <w:t xml:space="preserve">the </w:t>
      </w:r>
      <w:r w:rsidR="009A55EC">
        <w:t xml:space="preserve">summaries </w:t>
      </w:r>
      <w:r>
        <w:t>of the Recommendation</w:t>
      </w:r>
      <w:r w:rsidR="009A55EC">
        <w:t>s</w:t>
      </w:r>
      <w:r>
        <w:t xml:space="preserve"> are given in </w:t>
      </w:r>
      <w:r w:rsidR="00B70D49">
        <w:t>the Annex</w:t>
      </w:r>
      <w:r>
        <w:t>.</w:t>
      </w:r>
    </w:p>
    <w:p w:rsidR="00692492" w:rsidRDefault="00692492" w:rsidP="006233BF">
      <w:pPr>
        <w:spacing w:before="136"/>
      </w:pPr>
      <w:r>
        <w:t>Having regard to the provisions of § 10.4.5.2 of Resolution ITU-R 1-5, you are requested to inform the Secretariat (</w:t>
      </w:r>
      <w:hyperlink r:id="rId9" w:history="1">
        <w:r>
          <w:rPr>
            <w:rStyle w:val="Hyperlink"/>
          </w:rPr>
          <w:t>brsgd@itu.int</w:t>
        </w:r>
      </w:hyperlink>
      <w:r>
        <w:t xml:space="preserve">) by </w:t>
      </w:r>
      <w:r w:rsidR="00795888">
        <w:rPr>
          <w:u w:val="single"/>
        </w:rPr>
        <w:t>2</w:t>
      </w:r>
      <w:r w:rsidR="006233BF">
        <w:rPr>
          <w:u w:val="single"/>
        </w:rPr>
        <w:t>5</w:t>
      </w:r>
      <w:r w:rsidR="003A6CE7">
        <w:rPr>
          <w:u w:val="single"/>
        </w:rPr>
        <w:t xml:space="preserve"> </w:t>
      </w:r>
      <w:r>
        <w:rPr>
          <w:u w:val="single"/>
        </w:rPr>
        <w:t xml:space="preserve">May </w:t>
      </w:r>
      <w:r w:rsidR="003A6CE7">
        <w:rPr>
          <w:u w:val="single"/>
        </w:rPr>
        <w:t>201</w:t>
      </w:r>
      <w:r w:rsidR="009A55EC">
        <w:rPr>
          <w:u w:val="single"/>
        </w:rPr>
        <w:t>1</w:t>
      </w:r>
      <w:r w:rsidR="003A6CE7">
        <w:t xml:space="preserve"> </w:t>
      </w:r>
      <w:r>
        <w:t>whether your Administration approves or does not approve the draft Recommendation</w:t>
      </w:r>
      <w:r w:rsidR="009A55EC">
        <w:t>s</w:t>
      </w:r>
      <w:r>
        <w:t>.</w:t>
      </w:r>
    </w:p>
    <w:p w:rsidR="00692492" w:rsidRDefault="00692492" w:rsidP="003A6CE7">
      <w:pPr>
        <w:spacing w:before="136"/>
      </w:pPr>
      <w:r>
        <w:t>A Member State who indicates that the draft Recommendation</w:t>
      </w:r>
      <w:r w:rsidR="009A55EC">
        <w:t>s</w:t>
      </w:r>
      <w:r>
        <w:t xml:space="preserve"> should not be approved is requested to advise the Secretariat of the reason and to indicate possible changes in order to facilitate further consideration by the Study Group during the study period (§ 10.4.5.5 of Resolution ITU-R 1-5).</w:t>
      </w:r>
    </w:p>
    <w:p w:rsidR="00692492" w:rsidRDefault="00692492" w:rsidP="003A6CE7">
      <w:pPr>
        <w:spacing w:before="136"/>
      </w:pPr>
      <w:r>
        <w:t>After the above-mentioned deadline, the results of this consultation will be notified in an Administrative Circular and arrangements made for the approved Recommendation to be published in accordance with § 10.4.7 of Resolution ITU-R 1-5.</w:t>
      </w:r>
    </w:p>
    <w:p w:rsidR="00692492" w:rsidRDefault="00692492">
      <w:pPr>
        <w:pStyle w:val="Index1"/>
      </w:pPr>
    </w:p>
    <w:p w:rsidR="00692492" w:rsidRDefault="00692492">
      <w:pPr>
        <w:spacing w:before="136"/>
      </w:pPr>
      <w:r>
        <w:br w:type="page"/>
      </w:r>
    </w:p>
    <w:p w:rsidR="00692492" w:rsidRDefault="00692492">
      <w:pPr>
        <w:spacing w:before="136"/>
      </w:pPr>
      <w:r>
        <w:lastRenderedPageBreak/>
        <w:t xml:space="preserve">Any ITU member organization aware of a patent held by itself or others which may fully or partly cover elements of the draft Recommendation(s) mentioned in this letter is requested to disclose such information to the Secretariat as soon as possible. The Common Patent Policy for </w:t>
      </w:r>
      <w:r>
        <w:br/>
        <w:t xml:space="preserve">ITU-T/ITU-R/ISO/IEC is available at </w:t>
      </w:r>
      <w:hyperlink r:id="rId10" w:history="1">
        <w:r w:rsidRPr="00CB3F8D">
          <w:rPr>
            <w:rStyle w:val="Hyperlink"/>
            <w:szCs w:val="24"/>
          </w:rPr>
          <w:t>http://www.itu.int/</w:t>
        </w:r>
        <w:r>
          <w:rPr>
            <w:rStyle w:val="Hyperlink"/>
            <w:szCs w:val="24"/>
          </w:rPr>
          <w:t>ITU</w:t>
        </w:r>
        <w:r>
          <w:rPr>
            <w:rStyle w:val="Hyperlink"/>
            <w:szCs w:val="24"/>
          </w:rPr>
          <w:noBreakHyphen/>
        </w:r>
        <w:r w:rsidRPr="00CB3F8D">
          <w:rPr>
            <w:rStyle w:val="Hyperlink"/>
            <w:szCs w:val="24"/>
          </w:rPr>
          <w:t>T/dbase/patent/patent-policy.html</w:t>
        </w:r>
      </w:hyperlink>
      <w:r>
        <w:t>.</w:t>
      </w:r>
    </w:p>
    <w:p w:rsidR="00692492" w:rsidRDefault="00692492" w:rsidP="00F019DF">
      <w:pPr>
        <w:tabs>
          <w:tab w:val="clear" w:pos="794"/>
          <w:tab w:val="clear" w:pos="1191"/>
          <w:tab w:val="clear" w:pos="1588"/>
          <w:tab w:val="clear" w:pos="1985"/>
          <w:tab w:val="center" w:pos="7371"/>
        </w:tabs>
        <w:spacing w:before="1418"/>
        <w:rPr>
          <w:lang w:val="en-US"/>
        </w:rPr>
      </w:pPr>
      <w:r>
        <w:tab/>
      </w:r>
      <w:r w:rsidR="00F019DF">
        <w:rPr>
          <w:lang w:val="en-US"/>
        </w:rPr>
        <w:t>François Rancy</w:t>
      </w:r>
    </w:p>
    <w:p w:rsidR="00692492" w:rsidRDefault="00692492">
      <w:pPr>
        <w:tabs>
          <w:tab w:val="clear" w:pos="794"/>
          <w:tab w:val="clear" w:pos="1191"/>
          <w:tab w:val="clear" w:pos="1588"/>
          <w:tab w:val="clear" w:pos="1985"/>
          <w:tab w:val="center" w:pos="7371"/>
        </w:tabs>
        <w:spacing w:before="0"/>
        <w:rPr>
          <w:lang w:val="en-US"/>
        </w:rPr>
      </w:pPr>
      <w:r>
        <w:rPr>
          <w:lang w:val="en-US"/>
        </w:rPr>
        <w:tab/>
        <w:t>Director, Radiocommunication Bureau</w:t>
      </w:r>
    </w:p>
    <w:p w:rsidR="00692492" w:rsidRDefault="00692492">
      <w:pPr>
        <w:tabs>
          <w:tab w:val="center" w:pos="7939"/>
          <w:tab w:val="right" w:pos="8505"/>
        </w:tabs>
        <w:rPr>
          <w:u w:val="single"/>
        </w:rPr>
      </w:pPr>
    </w:p>
    <w:p w:rsidR="00692492" w:rsidRDefault="00692492">
      <w:pPr>
        <w:tabs>
          <w:tab w:val="center" w:pos="7939"/>
          <w:tab w:val="right" w:pos="8505"/>
        </w:tabs>
        <w:rPr>
          <w:u w:val="single"/>
        </w:rPr>
      </w:pPr>
    </w:p>
    <w:p w:rsidR="00692492" w:rsidRDefault="00692492">
      <w:pPr>
        <w:tabs>
          <w:tab w:val="center" w:pos="7939"/>
          <w:tab w:val="right" w:pos="8505"/>
        </w:tabs>
        <w:rPr>
          <w:u w:val="single"/>
        </w:rPr>
      </w:pPr>
    </w:p>
    <w:p w:rsidR="00692492" w:rsidRDefault="00692492" w:rsidP="00F019DF">
      <w:pPr>
        <w:tabs>
          <w:tab w:val="center" w:pos="7939"/>
          <w:tab w:val="right" w:pos="8505"/>
        </w:tabs>
        <w:rPr>
          <w:u w:val="single"/>
        </w:rPr>
      </w:pPr>
      <w:r>
        <w:rPr>
          <w:u w:val="single"/>
        </w:rPr>
        <w:t>Annex</w:t>
      </w:r>
      <w:r w:rsidR="00696DF5">
        <w:t>:</w:t>
      </w:r>
      <w:r w:rsidR="00696DF5">
        <w:tab/>
      </w:r>
      <w:r>
        <w:t>Title</w:t>
      </w:r>
      <w:r w:rsidR="00F019DF">
        <w:t>s</w:t>
      </w:r>
      <w:r>
        <w:t xml:space="preserve"> and </w:t>
      </w:r>
      <w:r w:rsidR="00F019DF">
        <w:t xml:space="preserve">summaries </w:t>
      </w:r>
      <w:r>
        <w:t>of the draft Recommendation</w:t>
      </w:r>
      <w:r w:rsidR="00F019DF">
        <w:t>s</w:t>
      </w:r>
    </w:p>
    <w:p w:rsidR="00692492" w:rsidRDefault="00692492">
      <w:pPr>
        <w:pStyle w:val="Index1"/>
        <w:tabs>
          <w:tab w:val="center" w:pos="7939"/>
          <w:tab w:val="right" w:pos="8505"/>
        </w:tabs>
        <w:spacing w:before="0"/>
      </w:pPr>
    </w:p>
    <w:p w:rsidR="00692492" w:rsidRDefault="00692492"/>
    <w:p w:rsidR="00692492" w:rsidRPr="00A22FBB" w:rsidRDefault="00692492">
      <w:pPr>
        <w:tabs>
          <w:tab w:val="center" w:pos="7939"/>
          <w:tab w:val="right" w:pos="8505"/>
        </w:tabs>
        <w:rPr>
          <w:lang w:val="en-US"/>
        </w:rPr>
      </w:pPr>
      <w:r w:rsidRPr="00A22FBB">
        <w:rPr>
          <w:u w:val="single"/>
          <w:lang w:val="en-US"/>
        </w:rPr>
        <w:t>Document</w:t>
      </w:r>
      <w:r w:rsidR="0090290B">
        <w:rPr>
          <w:u w:val="single"/>
          <w:lang w:val="en-US"/>
        </w:rPr>
        <w:t>s</w:t>
      </w:r>
      <w:r w:rsidRPr="00A22FBB">
        <w:rPr>
          <w:u w:val="single"/>
          <w:lang w:val="en-US"/>
        </w:rPr>
        <w:t xml:space="preserve"> attached</w:t>
      </w:r>
      <w:r w:rsidR="0090290B">
        <w:rPr>
          <w:lang w:val="en-US"/>
        </w:rPr>
        <w:t xml:space="preserve">: </w:t>
      </w:r>
      <w:r w:rsidRPr="00A22FBB">
        <w:rPr>
          <w:lang w:val="en-US"/>
        </w:rPr>
        <w:t>Document</w:t>
      </w:r>
      <w:r w:rsidR="00E46670">
        <w:rPr>
          <w:lang w:val="en-US"/>
        </w:rPr>
        <w:t>s</w:t>
      </w:r>
      <w:r w:rsidRPr="00A22FBB">
        <w:rPr>
          <w:lang w:val="en-US"/>
        </w:rPr>
        <w:t xml:space="preserve"> 6/BL/</w:t>
      </w:r>
      <w:r w:rsidR="00F019DF" w:rsidRPr="00A22FBB">
        <w:rPr>
          <w:lang w:val="en-US"/>
        </w:rPr>
        <w:t xml:space="preserve">8 - 6/BL/14 </w:t>
      </w:r>
      <w:r w:rsidRPr="00A22FBB">
        <w:rPr>
          <w:lang w:val="en-US"/>
        </w:rPr>
        <w:t>on CD-ROM</w:t>
      </w:r>
    </w:p>
    <w:p w:rsidR="00692492" w:rsidRPr="00A22FBB" w:rsidRDefault="00692492">
      <w:pPr>
        <w:rPr>
          <w:lang w:val="en-US"/>
        </w:rPr>
      </w:pPr>
    </w:p>
    <w:p w:rsidR="00692492" w:rsidRPr="00A22FBB" w:rsidRDefault="00692492">
      <w:pPr>
        <w:rPr>
          <w:lang w:val="en-US"/>
        </w:rPr>
      </w:pPr>
    </w:p>
    <w:p w:rsidR="00B14AB4" w:rsidRPr="00A22FBB" w:rsidRDefault="00B14AB4">
      <w:pPr>
        <w:rPr>
          <w:lang w:val="en-US"/>
        </w:rPr>
      </w:pPr>
    </w:p>
    <w:p w:rsidR="00B14AB4" w:rsidRPr="00A22FBB" w:rsidRDefault="00B14AB4">
      <w:pPr>
        <w:rPr>
          <w:lang w:val="en-US"/>
        </w:rPr>
      </w:pPr>
    </w:p>
    <w:p w:rsidR="00692492" w:rsidRPr="00BB6CF2" w:rsidRDefault="00692492">
      <w:pPr>
        <w:tabs>
          <w:tab w:val="left" w:pos="284"/>
          <w:tab w:val="left" w:pos="568"/>
        </w:tabs>
        <w:spacing w:before="600" w:after="120"/>
        <w:rPr>
          <w:sz w:val="18"/>
          <w:szCs w:val="18"/>
          <w:u w:val="single"/>
        </w:rPr>
      </w:pPr>
      <w:r w:rsidRPr="00BB6CF2">
        <w:rPr>
          <w:b/>
          <w:bCs/>
          <w:sz w:val="18"/>
          <w:szCs w:val="18"/>
        </w:rPr>
        <w:t>Distribution</w:t>
      </w:r>
      <w:r w:rsidRPr="00BB6CF2">
        <w:rPr>
          <w:sz w:val="18"/>
          <w:szCs w:val="18"/>
        </w:rPr>
        <w:t>:</w:t>
      </w:r>
    </w:p>
    <w:p w:rsidR="00692492" w:rsidRPr="00BB6CF2" w:rsidRDefault="00692492">
      <w:pPr>
        <w:tabs>
          <w:tab w:val="left" w:pos="284"/>
        </w:tabs>
        <w:spacing w:before="0"/>
        <w:ind w:left="284" w:hanging="284"/>
        <w:rPr>
          <w:sz w:val="18"/>
          <w:szCs w:val="18"/>
        </w:rPr>
      </w:pPr>
      <w:r w:rsidRPr="00BB6CF2">
        <w:rPr>
          <w:sz w:val="18"/>
          <w:szCs w:val="18"/>
        </w:rPr>
        <w:t>–</w:t>
      </w:r>
      <w:r w:rsidRPr="00BB6CF2">
        <w:rPr>
          <w:sz w:val="18"/>
          <w:szCs w:val="18"/>
        </w:rPr>
        <w:tab/>
        <w:t>Administrations of Member States of the ITU</w:t>
      </w:r>
    </w:p>
    <w:p w:rsidR="00692492" w:rsidRPr="00BB6CF2" w:rsidRDefault="00692492">
      <w:pPr>
        <w:tabs>
          <w:tab w:val="left" w:pos="284"/>
        </w:tabs>
        <w:spacing w:before="0"/>
        <w:ind w:left="284" w:hanging="284"/>
        <w:rPr>
          <w:sz w:val="18"/>
          <w:szCs w:val="18"/>
        </w:rPr>
      </w:pPr>
      <w:r w:rsidRPr="00BB6CF2">
        <w:rPr>
          <w:sz w:val="18"/>
          <w:szCs w:val="18"/>
        </w:rPr>
        <w:t>–</w:t>
      </w:r>
      <w:r w:rsidRPr="00BB6CF2">
        <w:rPr>
          <w:sz w:val="18"/>
          <w:szCs w:val="18"/>
        </w:rPr>
        <w:tab/>
        <w:t>Radiocommunication Sector Members participating in the work of Radiocommunication Study Group 6</w:t>
      </w:r>
    </w:p>
    <w:p w:rsidR="00692492" w:rsidRPr="00BB6CF2" w:rsidRDefault="00692492">
      <w:pPr>
        <w:tabs>
          <w:tab w:val="left" w:pos="284"/>
        </w:tabs>
        <w:spacing w:before="0"/>
        <w:ind w:left="284" w:hanging="284"/>
        <w:rPr>
          <w:sz w:val="18"/>
          <w:szCs w:val="18"/>
        </w:rPr>
      </w:pPr>
      <w:r w:rsidRPr="00BB6CF2">
        <w:rPr>
          <w:sz w:val="18"/>
          <w:szCs w:val="18"/>
        </w:rPr>
        <w:t>–</w:t>
      </w:r>
      <w:r w:rsidRPr="00BB6CF2">
        <w:rPr>
          <w:sz w:val="18"/>
          <w:szCs w:val="18"/>
        </w:rPr>
        <w:tab/>
        <w:t>ITU-R Associates participating in the work of Radiocommunication Study Group 6</w:t>
      </w:r>
    </w:p>
    <w:p w:rsidR="00692492" w:rsidRPr="00BB6CF2" w:rsidRDefault="00692492">
      <w:pPr>
        <w:tabs>
          <w:tab w:val="left" w:pos="284"/>
        </w:tabs>
        <w:spacing w:before="0"/>
        <w:ind w:left="284" w:hanging="284"/>
        <w:rPr>
          <w:sz w:val="18"/>
          <w:szCs w:val="18"/>
        </w:rPr>
      </w:pPr>
    </w:p>
    <w:p w:rsidR="00692492" w:rsidRDefault="00692492" w:rsidP="00F81CC7">
      <w:pPr>
        <w:pStyle w:val="AnnexNotitle"/>
        <w:spacing w:before="240"/>
      </w:pPr>
      <w:r>
        <w:rPr>
          <w:sz w:val="16"/>
        </w:rPr>
        <w:br w:type="page"/>
      </w:r>
      <w:r w:rsidR="00B70D49">
        <w:t>Annex</w:t>
      </w:r>
      <w:r>
        <w:br/>
      </w:r>
      <w:r>
        <w:br/>
        <w:t>Title</w:t>
      </w:r>
      <w:r w:rsidR="00FB1824">
        <w:t>s</w:t>
      </w:r>
      <w:r>
        <w:t xml:space="preserve"> and </w:t>
      </w:r>
      <w:r w:rsidR="00FB1824">
        <w:t xml:space="preserve">summaries </w:t>
      </w:r>
      <w:r>
        <w:t>of the draft Recommendation</w:t>
      </w:r>
      <w:r w:rsidR="00FB1824">
        <w:t>s</w:t>
      </w:r>
      <w:r>
        <w:br/>
        <w:t>adopted by Radiocommunication Study Group 6</w:t>
      </w:r>
    </w:p>
    <w:p w:rsidR="00692492" w:rsidRDefault="00692492">
      <w:pPr>
        <w:pStyle w:val="Normalaftertitle"/>
      </w:pPr>
    </w:p>
    <w:p w:rsidR="00F81CC7" w:rsidRDefault="00F81CC7" w:rsidP="00F81CC7">
      <w:pPr>
        <w:tabs>
          <w:tab w:val="right" w:pos="9639"/>
        </w:tabs>
      </w:pPr>
      <w:r>
        <w:rPr>
          <w:u w:val="single"/>
        </w:rPr>
        <w:t>Draft new Recommendation ITU-R BS.[MULT-FM]</w:t>
      </w:r>
      <w:r>
        <w:tab/>
        <w:t>Doc. 6/BL/8</w:t>
      </w:r>
    </w:p>
    <w:p w:rsidR="00F81CC7" w:rsidRDefault="00F81CC7" w:rsidP="00F81CC7">
      <w:pPr>
        <w:pStyle w:val="Rectitle"/>
      </w:pPr>
      <w:r w:rsidRPr="00557AAF">
        <w:t>Requirements for enhanced multimedia services for digital terrestrial broadcasting in VHF Bands I and II</w:t>
      </w:r>
    </w:p>
    <w:p w:rsidR="00F81CC7" w:rsidRPr="00343337" w:rsidRDefault="00F81CC7" w:rsidP="00F81CC7">
      <w:pPr>
        <w:spacing w:before="240"/>
        <w:rPr>
          <w:szCs w:val="24"/>
          <w:lang w:eastAsia="zh-CN"/>
        </w:rPr>
      </w:pPr>
      <w:r w:rsidRPr="00343337">
        <w:rPr>
          <w:szCs w:val="24"/>
          <w:lang w:eastAsia="zh-CN"/>
        </w:rPr>
        <w:t>This Recommendation provides service and implementation requirements for enhanced multimedia services using digital terrestrial broadcasting to vehicular, portable and fixed receivers in the VHF broadcasting band.</w:t>
      </w:r>
    </w:p>
    <w:p w:rsidR="00F81CC7" w:rsidRDefault="00F81CC7" w:rsidP="00F81CC7">
      <w:pPr>
        <w:pStyle w:val="Normalaftertitle"/>
        <w:tabs>
          <w:tab w:val="right" w:pos="9639"/>
        </w:tabs>
      </w:pPr>
      <w:r>
        <w:rPr>
          <w:u w:val="single"/>
        </w:rPr>
        <w:t>Draft new Recommendation ITU-R BT.[WINTURB]</w:t>
      </w:r>
      <w:r>
        <w:tab/>
        <w:t>Doc. 6/BL/9</w:t>
      </w:r>
    </w:p>
    <w:p w:rsidR="00F81CC7" w:rsidRDefault="00F81CC7" w:rsidP="00F81CC7">
      <w:pPr>
        <w:pStyle w:val="Rectitle"/>
      </w:pPr>
      <w:r w:rsidRPr="00557AAF">
        <w:t>Assessment of impairment caused to digital television</w:t>
      </w:r>
      <w:r w:rsidRPr="00557AAF">
        <w:br/>
        <w:t>reception by a wind turbine</w:t>
      </w:r>
    </w:p>
    <w:p w:rsidR="00F81CC7" w:rsidRPr="007B07E5" w:rsidRDefault="00F81CC7" w:rsidP="00F81CC7">
      <w:pPr>
        <w:spacing w:before="240"/>
        <w:rPr>
          <w:szCs w:val="24"/>
          <w:lang w:eastAsia="ja-JP"/>
        </w:rPr>
      </w:pPr>
      <w:r w:rsidRPr="007B07E5">
        <w:rPr>
          <w:szCs w:val="24"/>
          <w:lang w:eastAsia="ja-JP"/>
        </w:rPr>
        <w:t>This Recommendation provides a method to assess the</w:t>
      </w:r>
      <w:r w:rsidRPr="007B07E5">
        <w:rPr>
          <w:szCs w:val="24"/>
        </w:rPr>
        <w:t xml:space="preserve"> potential impairment caused to </w:t>
      </w:r>
      <w:r w:rsidRPr="007B07E5">
        <w:rPr>
          <w:szCs w:val="24"/>
          <w:lang w:eastAsia="ja-JP"/>
        </w:rPr>
        <w:t>d</w:t>
      </w:r>
      <w:r w:rsidRPr="007B07E5">
        <w:rPr>
          <w:szCs w:val="24"/>
        </w:rPr>
        <w:t>igital television</w:t>
      </w:r>
      <w:r w:rsidRPr="007B07E5">
        <w:rPr>
          <w:szCs w:val="24"/>
          <w:lang w:eastAsia="ja-JP"/>
        </w:rPr>
        <w:t xml:space="preserve"> </w:t>
      </w:r>
      <w:r w:rsidRPr="007B07E5">
        <w:rPr>
          <w:szCs w:val="24"/>
        </w:rPr>
        <w:t>reception by wind turbine</w:t>
      </w:r>
      <w:r w:rsidRPr="007B07E5">
        <w:rPr>
          <w:szCs w:val="24"/>
          <w:lang w:eastAsia="ja-JP"/>
        </w:rPr>
        <w:t xml:space="preserve"> installation consisting of a single machine.</w:t>
      </w:r>
    </w:p>
    <w:p w:rsidR="00F81CC7" w:rsidRDefault="00F81CC7" w:rsidP="00F81CC7">
      <w:pPr>
        <w:pStyle w:val="Normalaftertitle"/>
        <w:tabs>
          <w:tab w:val="right" w:pos="9639"/>
        </w:tabs>
      </w:pPr>
      <w:r>
        <w:rPr>
          <w:u w:val="single"/>
        </w:rPr>
        <w:t>Draft new Recommendation ITU-R BS.[CAP.RAD]</w:t>
      </w:r>
      <w:r>
        <w:tab/>
        <w:t>Doc. 6/BL/10</w:t>
      </w:r>
    </w:p>
    <w:p w:rsidR="00F81CC7" w:rsidRDefault="00F81CC7" w:rsidP="00F81CC7">
      <w:pPr>
        <w:pStyle w:val="Rectitle"/>
      </w:pPr>
      <w:r w:rsidRPr="00557AAF">
        <w:t>Digital radio broadcast service, captioned radio</w:t>
      </w:r>
    </w:p>
    <w:p w:rsidR="00F81CC7" w:rsidRPr="00172555" w:rsidRDefault="00F81CC7" w:rsidP="00F81CC7">
      <w:pPr>
        <w:spacing w:before="240"/>
        <w:rPr>
          <w:szCs w:val="24"/>
        </w:rPr>
      </w:pPr>
      <w:r w:rsidRPr="00172555">
        <w:rPr>
          <w:szCs w:val="24"/>
        </w:rPr>
        <w:t xml:space="preserve">This </w:t>
      </w:r>
      <w:r w:rsidRPr="00172555">
        <w:rPr>
          <w:rFonts w:hint="eastAsia"/>
          <w:szCs w:val="24"/>
          <w:lang w:eastAsia="ja-JP"/>
        </w:rPr>
        <w:t>Recommendation describes mechanisms to support captioned radio broadcast service</w:t>
      </w:r>
      <w:r w:rsidRPr="00172555">
        <w:rPr>
          <w:szCs w:val="24"/>
          <w:lang w:eastAsia="ja-JP"/>
        </w:rPr>
        <w:t>s</w:t>
      </w:r>
      <w:r w:rsidRPr="00172555">
        <w:rPr>
          <w:rFonts w:hint="eastAsia"/>
          <w:szCs w:val="24"/>
          <w:lang w:eastAsia="ja-JP"/>
        </w:rPr>
        <w:t xml:space="preserve"> on the basis of terrestrial digital sound broadcasting systems </w:t>
      </w:r>
      <w:r w:rsidRPr="00172555">
        <w:rPr>
          <w:szCs w:val="24"/>
        </w:rPr>
        <w:t xml:space="preserve">described in Recommendation ITU-R BS.1114 as well as traditional analogue FM system(s). </w:t>
      </w:r>
    </w:p>
    <w:p w:rsidR="00F81CC7" w:rsidRDefault="00F81CC7" w:rsidP="00F81CC7">
      <w:pPr>
        <w:pStyle w:val="Normalaftertitle"/>
        <w:tabs>
          <w:tab w:val="right" w:pos="9639"/>
        </w:tabs>
        <w:rPr>
          <w:u w:val="single"/>
        </w:rPr>
      </w:pPr>
      <w:r>
        <w:rPr>
          <w:u w:val="single"/>
        </w:rPr>
        <w:t>Draft new Recommendations ITU-R BT.[PROTECT] and</w:t>
      </w:r>
      <w:r>
        <w:tab/>
        <w:t>Doc. 6/BL/11</w:t>
      </w:r>
      <w:r>
        <w:rPr>
          <w:u w:val="single"/>
        </w:rPr>
        <w:br/>
        <w:t>ITU-R BS.[PROTECT]</w:t>
      </w:r>
    </w:p>
    <w:p w:rsidR="00F81CC7" w:rsidRDefault="00F81CC7" w:rsidP="00F81CC7">
      <w:pPr>
        <w:pStyle w:val="Rectitle"/>
      </w:pPr>
      <w:r w:rsidRPr="00172555">
        <w:t>Protection criteria for terrestrial broadcasting systems</w:t>
      </w:r>
    </w:p>
    <w:p w:rsidR="00F81CC7" w:rsidRPr="00172555" w:rsidRDefault="00F81CC7" w:rsidP="00F81CC7">
      <w:pPr>
        <w:spacing w:before="240"/>
        <w:rPr>
          <w:szCs w:val="24"/>
        </w:rPr>
      </w:pPr>
      <w:r w:rsidRPr="00172555">
        <w:rPr>
          <w:szCs w:val="24"/>
          <w:lang w:eastAsia="ja-JP"/>
        </w:rPr>
        <w:t xml:space="preserve">This Recommendation provides guidelines to ensure </w:t>
      </w:r>
      <w:r w:rsidRPr="00172555">
        <w:rPr>
          <w:szCs w:val="24"/>
        </w:rPr>
        <w:t>that radiocommunication services and other sources of radio frequency emissions do not degrade the performance of terrestrial broadcasting systems beyond acceptable levels.</w:t>
      </w:r>
    </w:p>
    <w:p w:rsidR="00F81CC7" w:rsidRPr="00172555" w:rsidRDefault="00F81CC7" w:rsidP="00F81CC7">
      <w:pPr>
        <w:rPr>
          <w:szCs w:val="24"/>
          <w:lang w:eastAsia="ja-JP"/>
        </w:rPr>
      </w:pPr>
      <w:r w:rsidRPr="00172555">
        <w:rPr>
          <w:szCs w:val="24"/>
          <w:lang w:eastAsia="ja-JP"/>
        </w:rPr>
        <w:t>Taking these guidelines into account, compatibility studies may need to be conducted when necessary.</w:t>
      </w:r>
    </w:p>
    <w:p w:rsidR="00F81CC7" w:rsidRPr="00172555" w:rsidRDefault="00F81CC7" w:rsidP="00F81CC7">
      <w:pPr>
        <w:rPr>
          <w:szCs w:val="24"/>
        </w:rPr>
      </w:pPr>
      <w:r w:rsidRPr="00172555">
        <w:rPr>
          <w:snapToGrid w:val="0"/>
          <w:szCs w:val="24"/>
          <w:lang w:val="en-US"/>
        </w:rPr>
        <w:t>R</w:t>
      </w:r>
      <w:r w:rsidRPr="00172555">
        <w:rPr>
          <w:szCs w:val="24"/>
          <w:lang w:val="en-US"/>
        </w:rPr>
        <w:t>adiation below 30</w:t>
      </w:r>
      <w:r>
        <w:rPr>
          <w:szCs w:val="24"/>
          <w:lang w:val="en-US"/>
        </w:rPr>
        <w:t xml:space="preserve"> </w:t>
      </w:r>
      <w:r w:rsidRPr="00172555">
        <w:rPr>
          <w:szCs w:val="24"/>
          <w:lang w:val="en-US"/>
        </w:rPr>
        <w:t xml:space="preserve">MHz from “Power line high data rate telecommunication systems” is covered in </w:t>
      </w:r>
      <w:r w:rsidRPr="00172555">
        <w:rPr>
          <w:szCs w:val="24"/>
        </w:rPr>
        <w:t>Recommendation ITU-R [1/102-PLT]</w:t>
      </w:r>
      <w:r w:rsidRPr="00172555">
        <w:rPr>
          <w:szCs w:val="24"/>
          <w:lang w:val="en-US"/>
        </w:rPr>
        <w:t>.</w:t>
      </w:r>
    </w:p>
    <w:p w:rsidR="00F81CC7" w:rsidRDefault="00F81CC7" w:rsidP="00F81CC7">
      <w:pPr>
        <w:pStyle w:val="Normalaftertitle"/>
        <w:tabs>
          <w:tab w:val="right" w:pos="9639"/>
        </w:tabs>
      </w:pPr>
      <w:r>
        <w:rPr>
          <w:u w:val="single"/>
        </w:rPr>
        <w:br w:type="page"/>
        <w:t>Draft revision of Recommendation ITU-R BS.1660-3</w:t>
      </w:r>
      <w:r>
        <w:tab/>
        <w:t>Doc. 6/BL/12</w:t>
      </w:r>
    </w:p>
    <w:p w:rsidR="00F81CC7" w:rsidRDefault="00F81CC7" w:rsidP="00F81CC7">
      <w:pPr>
        <w:pStyle w:val="Rectitle"/>
        <w:rPr>
          <w:lang w:val="en-US"/>
        </w:rPr>
      </w:pPr>
      <w:r w:rsidRPr="00526F8D">
        <w:rPr>
          <w:lang w:val="en-US"/>
        </w:rPr>
        <w:t>Technical basis for planning of terrestrial digital</w:t>
      </w:r>
      <w:r w:rsidRPr="00526F8D">
        <w:rPr>
          <w:lang w:val="en-US"/>
        </w:rPr>
        <w:br/>
        <w:t>sound broadcasting in the VHF band</w:t>
      </w:r>
    </w:p>
    <w:p w:rsidR="00F81CC7" w:rsidRPr="00223054" w:rsidRDefault="00F81CC7" w:rsidP="00F81CC7">
      <w:pPr>
        <w:spacing w:before="240"/>
        <w:rPr>
          <w:lang w:val="en-US" w:eastAsia="ja-JP"/>
        </w:rPr>
      </w:pPr>
      <w:r w:rsidRPr="00223054">
        <w:rPr>
          <w:lang w:val="en-US" w:eastAsia="ja-JP"/>
        </w:rPr>
        <w:t>This draft revision is to include additional information on the planning criteria for Digital System F (ISDB-T</w:t>
      </w:r>
      <w:r w:rsidRPr="00223054">
        <w:rPr>
          <w:vertAlign w:val="subscript"/>
          <w:lang w:val="en-US" w:eastAsia="ja-JP"/>
        </w:rPr>
        <w:t>SB</w:t>
      </w:r>
      <w:r w:rsidRPr="00223054">
        <w:rPr>
          <w:lang w:val="en-US" w:eastAsia="ja-JP"/>
        </w:rPr>
        <w:t>). Only the Annex 2 “Technical basis for planning of terrestrial digital sound broadcasting System F (ISDB-T</w:t>
      </w:r>
      <w:r w:rsidRPr="004042BA">
        <w:rPr>
          <w:vertAlign w:val="subscript"/>
          <w:lang w:val="en-US" w:eastAsia="ja-JP"/>
        </w:rPr>
        <w:t>SB</w:t>
      </w:r>
      <w:r w:rsidRPr="00223054">
        <w:rPr>
          <w:lang w:val="en-US" w:eastAsia="ja-JP"/>
        </w:rPr>
        <w:t xml:space="preserve">) in the VHF band” is proposed for revision, where additional link budgets at the frequency of 100 MHz, correction of some figures of link budgets at 200 MHz, and </w:t>
      </w:r>
      <w:r w:rsidRPr="00223054">
        <w:rPr>
          <w:rFonts w:eastAsia="MS PGothic"/>
          <w:lang w:val="en-US" w:eastAsia="ja-JP"/>
        </w:rPr>
        <w:t>a protection criterion for ISDB-T</w:t>
      </w:r>
      <w:r w:rsidRPr="00223054">
        <w:rPr>
          <w:vertAlign w:val="subscript"/>
          <w:lang w:val="en-US" w:eastAsia="ja-JP"/>
        </w:rPr>
        <w:t>SB</w:t>
      </w:r>
      <w:r w:rsidRPr="00223054">
        <w:rPr>
          <w:rFonts w:eastAsia="MS PGothic"/>
          <w:lang w:val="en-US" w:eastAsia="ja-JP"/>
        </w:rPr>
        <w:t xml:space="preserve"> below 108 MHz against interference from services other than broadcasting are proposed.</w:t>
      </w:r>
    </w:p>
    <w:p w:rsidR="00F81CC7" w:rsidRDefault="00F81CC7" w:rsidP="00F81CC7">
      <w:pPr>
        <w:pStyle w:val="Normalaftertitle"/>
        <w:tabs>
          <w:tab w:val="right" w:pos="9639"/>
        </w:tabs>
        <w:rPr>
          <w:lang w:val="en-US"/>
        </w:rPr>
      </w:pPr>
      <w:r>
        <w:rPr>
          <w:u w:val="single"/>
          <w:lang w:val="en-US"/>
        </w:rPr>
        <w:t>Draft revision of Recommendation ITU-R BS.643-2</w:t>
      </w:r>
      <w:r>
        <w:rPr>
          <w:lang w:val="en-US"/>
        </w:rPr>
        <w:tab/>
        <w:t>Doc. 6/BL/13</w:t>
      </w:r>
    </w:p>
    <w:p w:rsidR="00F81CC7" w:rsidRDefault="00F81CC7" w:rsidP="00F81CC7">
      <w:pPr>
        <w:pStyle w:val="Rectitle"/>
      </w:pPr>
      <w:r w:rsidRPr="00526F8D">
        <w:t>System for automatic tuning and other applications</w:t>
      </w:r>
      <w:r>
        <w:t xml:space="preserve"> </w:t>
      </w:r>
      <w:r w:rsidRPr="00526F8D">
        <w:t>in FM radio receivers</w:t>
      </w:r>
      <w:r>
        <w:br/>
      </w:r>
      <w:r w:rsidRPr="00526F8D">
        <w:t>for use with the pilot-tone system</w:t>
      </w:r>
    </w:p>
    <w:p w:rsidR="00F81CC7" w:rsidRPr="00EC58BD" w:rsidRDefault="00F81CC7" w:rsidP="00F81CC7">
      <w:pPr>
        <w:spacing w:before="240"/>
      </w:pPr>
      <w:r w:rsidRPr="00EC58BD">
        <w:t>Recommendation ITU-R BS.643-2, dealing with RDS, was last updated in 1995. Since then RDS has been extensively used by the industry in FM radio receiver products and the RDS standard was much developed further through the RDS Forum. The second edition of the totally updated RDS standard was published in August 2009 as IEC 62106 Ed.2:2009.</w:t>
      </w:r>
    </w:p>
    <w:p w:rsidR="00F81CC7" w:rsidRDefault="00F81CC7" w:rsidP="00F81CC7">
      <w:pPr>
        <w:pStyle w:val="Normalaftertitle"/>
        <w:tabs>
          <w:tab w:val="right" w:pos="9639"/>
        </w:tabs>
      </w:pPr>
      <w:r>
        <w:rPr>
          <w:u w:val="single"/>
        </w:rPr>
        <w:t>Draft revision of Recommendation ITU-R BS.1615</w:t>
      </w:r>
      <w:r>
        <w:tab/>
        <w:t>Doc. 6/BL/14</w:t>
      </w:r>
    </w:p>
    <w:p w:rsidR="00F81CC7" w:rsidRDefault="00F81CC7" w:rsidP="00F81CC7">
      <w:pPr>
        <w:pStyle w:val="Rectitle"/>
        <w:rPr>
          <w:lang w:val="en-US"/>
        </w:rPr>
      </w:pPr>
      <w:r w:rsidRPr="00526F8D">
        <w:rPr>
          <w:lang w:val="en-US"/>
        </w:rPr>
        <w:t xml:space="preserve">“Planning parameters” for digital sound broadcasting at </w:t>
      </w:r>
      <w:r w:rsidRPr="00526F8D">
        <w:rPr>
          <w:lang w:val="en-US"/>
        </w:rPr>
        <w:br/>
        <w:t>frequencies below 30 MHz</w:t>
      </w:r>
    </w:p>
    <w:p w:rsidR="00F81CC7" w:rsidRPr="00F13BB7" w:rsidRDefault="00F81CC7" w:rsidP="00F81CC7">
      <w:pPr>
        <w:spacing w:before="240"/>
        <w:rPr>
          <w:lang w:val="en-US"/>
        </w:rPr>
      </w:pPr>
      <w:r w:rsidRPr="00F13BB7">
        <w:rPr>
          <w:lang w:val="en-US"/>
        </w:rPr>
        <w:t>This draft revision aims to provide additional protection ratios for DRM modes using 18 kHz and 20 kHz bandwidths.</w:t>
      </w:r>
    </w:p>
    <w:p w:rsidR="00F81CC7" w:rsidRPr="00F13BB7" w:rsidRDefault="00F81CC7" w:rsidP="00F81CC7">
      <w:pPr>
        <w:rPr>
          <w:lang w:val="en-US"/>
        </w:rPr>
      </w:pPr>
      <w:r w:rsidRPr="00F13BB7">
        <w:rPr>
          <w:lang w:val="en-US"/>
        </w:rPr>
        <w:t xml:space="preserve">New Appendix 3 of Annex 2 describes the method used to include protection ratios values for DRM signals with bandwidths of 18 and 20 kHz. </w:t>
      </w:r>
    </w:p>
    <w:p w:rsidR="00FB1824" w:rsidRPr="00F81CC7" w:rsidRDefault="00FB1824" w:rsidP="00696DF5">
      <w:pPr>
        <w:rPr>
          <w:lang w:val="en-US"/>
        </w:rPr>
      </w:pPr>
    </w:p>
    <w:p w:rsidR="00692492" w:rsidRDefault="00692492" w:rsidP="00F81CC7">
      <w:pPr>
        <w:jc w:val="center"/>
      </w:pPr>
      <w:r>
        <w:t>______________</w:t>
      </w:r>
    </w:p>
    <w:sectPr w:rsidR="00692492">
      <w:headerReference w:type="default" r:id="rId11"/>
      <w:footerReference w:type="default" r:id="rId12"/>
      <w:footerReference w:type="first" r:id="rId13"/>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90B" w:rsidRDefault="0090290B">
      <w:r>
        <w:separator/>
      </w:r>
    </w:p>
  </w:endnote>
  <w:endnote w:type="continuationSeparator" w:id="0">
    <w:p w:rsidR="0090290B" w:rsidRDefault="00902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01"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PGothic">
    <w:panose1 w:val="020B0600070205080204"/>
    <w:charset w:val="80"/>
    <w:family w:val="swiss"/>
    <w:pitch w:val="variable"/>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90B" w:rsidRPr="00A2254C" w:rsidRDefault="00396BA8" w:rsidP="00A2254C">
    <w:pPr>
      <w:pStyle w:val="Footer"/>
    </w:pPr>
    <w:r>
      <w:fldChar w:fldCharType="begin"/>
    </w:r>
    <w:r>
      <w:instrText xml:space="preserve"> FILENAME  \p  \* MERGEFORMAT </w:instrText>
    </w:r>
    <w:r>
      <w:fldChar w:fldCharType="separate"/>
    </w:r>
    <w:r>
      <w:t>Y:\APP\BR\CIRCS_DMS\CAR\300\313\313e.docx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41"/>
      <w:gridCol w:w="3067"/>
      <w:gridCol w:w="2361"/>
      <w:gridCol w:w="2384"/>
    </w:tblGrid>
    <w:tr w:rsidR="0090290B">
      <w:trPr>
        <w:cantSplit/>
      </w:trPr>
      <w:tc>
        <w:tcPr>
          <w:tcW w:w="1062" w:type="pct"/>
          <w:tcBorders>
            <w:top w:val="single" w:sz="6" w:space="0" w:color="auto"/>
          </w:tcBorders>
          <w:tcMar>
            <w:top w:w="57" w:type="dxa"/>
          </w:tcMar>
        </w:tcPr>
        <w:p w:rsidR="0090290B" w:rsidRDefault="0090290B">
          <w:pPr>
            <w:pStyle w:val="itu"/>
          </w:pPr>
          <w:r>
            <w:t>Place des Nations</w:t>
          </w:r>
        </w:p>
      </w:tc>
      <w:tc>
        <w:tcPr>
          <w:tcW w:w="1583" w:type="pct"/>
          <w:tcBorders>
            <w:top w:val="single" w:sz="6" w:space="0" w:color="auto"/>
          </w:tcBorders>
          <w:tcMar>
            <w:top w:w="57" w:type="dxa"/>
          </w:tcMar>
        </w:tcPr>
        <w:p w:rsidR="0090290B" w:rsidRDefault="0090290B">
          <w:pPr>
            <w:pStyle w:val="itu"/>
          </w:pPr>
          <w:r>
            <w:t>Telephone</w:t>
          </w:r>
          <w:r>
            <w:tab/>
            <w:t>+41 22 730 51 11</w:t>
          </w:r>
        </w:p>
      </w:tc>
      <w:tc>
        <w:tcPr>
          <w:tcW w:w="1224" w:type="pct"/>
          <w:tcBorders>
            <w:top w:val="single" w:sz="6" w:space="0" w:color="auto"/>
          </w:tcBorders>
          <w:tcMar>
            <w:top w:w="57" w:type="dxa"/>
          </w:tcMar>
        </w:tcPr>
        <w:p w:rsidR="0090290B" w:rsidRDefault="0090290B">
          <w:pPr>
            <w:pStyle w:val="itu"/>
          </w:pPr>
          <w:r>
            <w:t>Telex 421 000 uit ch</w:t>
          </w:r>
        </w:p>
      </w:tc>
      <w:tc>
        <w:tcPr>
          <w:tcW w:w="1131" w:type="pct"/>
          <w:tcBorders>
            <w:top w:val="single" w:sz="6" w:space="0" w:color="auto"/>
          </w:tcBorders>
          <w:tcMar>
            <w:top w:w="57" w:type="dxa"/>
          </w:tcMar>
        </w:tcPr>
        <w:p w:rsidR="0090290B" w:rsidRDefault="0090290B">
          <w:pPr>
            <w:pStyle w:val="itu"/>
          </w:pPr>
          <w:r>
            <w:t>E-mail:</w:t>
          </w:r>
          <w:r>
            <w:tab/>
            <w:t>itumail@itu.int</w:t>
          </w:r>
        </w:p>
      </w:tc>
    </w:tr>
    <w:tr w:rsidR="0090290B">
      <w:trPr>
        <w:cantSplit/>
      </w:trPr>
      <w:tc>
        <w:tcPr>
          <w:tcW w:w="1062" w:type="pct"/>
        </w:tcPr>
        <w:p w:rsidR="0090290B" w:rsidRDefault="0090290B">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90290B" w:rsidRDefault="0090290B">
          <w:pPr>
            <w:pStyle w:val="itu"/>
          </w:pPr>
          <w:r>
            <w:t>Telefax</w:t>
          </w:r>
          <w:r>
            <w:tab/>
            <w:t>Gr3:</w:t>
          </w:r>
          <w:r>
            <w:tab/>
            <w:t>+41 22 733 72 56</w:t>
          </w:r>
        </w:p>
      </w:tc>
      <w:tc>
        <w:tcPr>
          <w:tcW w:w="1224" w:type="pct"/>
        </w:tcPr>
        <w:p w:rsidR="0090290B" w:rsidRDefault="0090290B">
          <w:pPr>
            <w:pStyle w:val="itu"/>
          </w:pPr>
          <w:r>
            <w:t>Telegram ITU GENEVE</w:t>
          </w:r>
        </w:p>
      </w:tc>
      <w:tc>
        <w:tcPr>
          <w:tcW w:w="1131" w:type="pct"/>
        </w:tcPr>
        <w:p w:rsidR="0090290B" w:rsidRDefault="0090290B">
          <w:pPr>
            <w:pStyle w:val="itu"/>
          </w:pPr>
          <w:r>
            <w:tab/>
          </w:r>
          <w:hyperlink r:id="rId1" w:history="1">
            <w:r>
              <w:t>http://www.itu.int/</w:t>
            </w:r>
          </w:hyperlink>
        </w:p>
      </w:tc>
    </w:tr>
    <w:tr w:rsidR="0090290B">
      <w:trPr>
        <w:cantSplit/>
      </w:trPr>
      <w:tc>
        <w:tcPr>
          <w:tcW w:w="1062" w:type="pct"/>
        </w:tcPr>
        <w:p w:rsidR="0090290B" w:rsidRDefault="0090290B">
          <w:pPr>
            <w:pStyle w:val="itu"/>
          </w:pPr>
          <w:smartTag w:uri="urn:schemas-microsoft-com:office:smarttags" w:element="place">
            <w:smartTag w:uri="urn:schemas-microsoft-com:office:smarttags" w:element="country-region">
              <w:r>
                <w:t>Switzerland</w:t>
              </w:r>
            </w:smartTag>
          </w:smartTag>
        </w:p>
      </w:tc>
      <w:tc>
        <w:tcPr>
          <w:tcW w:w="1583" w:type="pct"/>
        </w:tcPr>
        <w:p w:rsidR="0090290B" w:rsidRDefault="0090290B">
          <w:pPr>
            <w:pStyle w:val="itu"/>
          </w:pPr>
          <w:r>
            <w:tab/>
            <w:t>Gr4:</w:t>
          </w:r>
          <w:r>
            <w:tab/>
            <w:t>+41 22 730 65 00</w:t>
          </w:r>
        </w:p>
      </w:tc>
      <w:tc>
        <w:tcPr>
          <w:tcW w:w="1224" w:type="pct"/>
        </w:tcPr>
        <w:p w:rsidR="0090290B" w:rsidRDefault="0090290B">
          <w:pPr>
            <w:pStyle w:val="itu"/>
          </w:pPr>
        </w:p>
      </w:tc>
      <w:tc>
        <w:tcPr>
          <w:tcW w:w="1131" w:type="pct"/>
        </w:tcPr>
        <w:p w:rsidR="0090290B" w:rsidRDefault="0090290B">
          <w:pPr>
            <w:pStyle w:val="itu"/>
          </w:pPr>
        </w:p>
      </w:tc>
    </w:tr>
  </w:tbl>
  <w:p w:rsidR="0090290B" w:rsidRPr="009E1957" w:rsidRDefault="0090290B">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90B" w:rsidRDefault="0090290B">
      <w:r>
        <w:t>____________________</w:t>
      </w:r>
    </w:p>
  </w:footnote>
  <w:footnote w:type="continuationSeparator" w:id="0">
    <w:p w:rsidR="0090290B" w:rsidRDefault="009029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90B" w:rsidRPr="001E15AA" w:rsidRDefault="0090290B" w:rsidP="00F81CC7">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396BA8">
      <w:rPr>
        <w:rStyle w:val="PageNumber"/>
        <w:noProof/>
      </w:rPr>
      <w:t>4</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B13"/>
    <w:rsid w:val="000958F1"/>
    <w:rsid w:val="00132AD5"/>
    <w:rsid w:val="00326B13"/>
    <w:rsid w:val="00396BA8"/>
    <w:rsid w:val="003A6CE7"/>
    <w:rsid w:val="003C10B0"/>
    <w:rsid w:val="004042BA"/>
    <w:rsid w:val="004345C1"/>
    <w:rsid w:val="004E2EDF"/>
    <w:rsid w:val="005C22F2"/>
    <w:rsid w:val="006233BF"/>
    <w:rsid w:val="006307D6"/>
    <w:rsid w:val="00692492"/>
    <w:rsid w:val="00696DF5"/>
    <w:rsid w:val="007901F5"/>
    <w:rsid w:val="00795888"/>
    <w:rsid w:val="007A2F0A"/>
    <w:rsid w:val="00807632"/>
    <w:rsid w:val="00841FD3"/>
    <w:rsid w:val="0090290B"/>
    <w:rsid w:val="00916524"/>
    <w:rsid w:val="00972659"/>
    <w:rsid w:val="009A55EC"/>
    <w:rsid w:val="009B181B"/>
    <w:rsid w:val="009F6D14"/>
    <w:rsid w:val="00A2254C"/>
    <w:rsid w:val="00A22FBB"/>
    <w:rsid w:val="00A524B4"/>
    <w:rsid w:val="00B0247B"/>
    <w:rsid w:val="00B14AB4"/>
    <w:rsid w:val="00B70D49"/>
    <w:rsid w:val="00BD3EE0"/>
    <w:rsid w:val="00C060AF"/>
    <w:rsid w:val="00C062A1"/>
    <w:rsid w:val="00C26824"/>
    <w:rsid w:val="00CD026C"/>
    <w:rsid w:val="00D55C80"/>
    <w:rsid w:val="00DD4D77"/>
    <w:rsid w:val="00E46670"/>
    <w:rsid w:val="00F019DF"/>
    <w:rsid w:val="00F81CC7"/>
    <w:rsid w:val="00F84D30"/>
    <w:rsid w:val="00F84DD5"/>
    <w:rsid w:val="00FB1824"/>
    <w:rsid w:val="00FE78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semiHidden/>
    <w:rPr>
      <w:position w:val="6"/>
      <w:sz w:val="18"/>
    </w:rPr>
  </w:style>
  <w:style w:type="paragraph" w:styleId="FootnoteText">
    <w:name w:val="footnote text"/>
    <w:aliases w:val="footnote text,ALTS FOOTNOTE"/>
    <w:basedOn w:val="Note"/>
    <w:link w:val="FootnoteTextChar"/>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Annex">
    <w:name w:val="Annex_#"/>
    <w:basedOn w:val="Normal"/>
    <w:next w:val="Normal"/>
    <w:pPr>
      <w:keepNext/>
      <w:keepLines/>
      <w:overflowPunct/>
      <w:autoSpaceDE/>
      <w:autoSpaceDN/>
      <w:adjustRightInd/>
      <w:spacing w:before="480" w:after="80"/>
      <w:jc w:val="center"/>
      <w:textAlignment w:val="auto"/>
    </w:pPr>
    <w:rPr>
      <w:caps/>
    </w:rPr>
  </w:style>
  <w:style w:type="character" w:styleId="Hyperlink">
    <w:name w:val="Hyperlink"/>
    <w:basedOn w:val="DefaultParagraphFont"/>
    <w:rPr>
      <w:color w:val="0000FF"/>
      <w:u w:val="single"/>
    </w:rPr>
  </w:style>
  <w:style w:type="paragraph" w:styleId="BodyTextIndent">
    <w:name w:val="Body Text Indent"/>
    <w:basedOn w:val="Normal"/>
    <w:pPr>
      <w:tabs>
        <w:tab w:val="left" w:pos="284"/>
      </w:tabs>
      <w:overflowPunct/>
      <w:autoSpaceDE/>
      <w:autoSpaceDN/>
      <w:adjustRightInd/>
      <w:spacing w:before="136" w:after="360"/>
      <w:ind w:left="284" w:hanging="284"/>
      <w:jc w:val="center"/>
      <w:textAlignment w:val="auto"/>
    </w:pPr>
    <w:rPr>
      <w:b/>
    </w:rPr>
  </w:style>
  <w:style w:type="character" w:customStyle="1" w:styleId="FootnoteTextChar">
    <w:name w:val="Footnote Text Char"/>
    <w:aliases w:val="footnote text Char,ALTS FOOTNOTE Char"/>
    <w:basedOn w:val="DefaultParagraphFont"/>
    <w:link w:val="FootnoteText"/>
    <w:rPr>
      <w:sz w:val="24"/>
      <w:lang w:val="en-GB" w:eastAsia="en-US" w:bidi="ar-SA"/>
    </w:rPr>
  </w:style>
  <w:style w:type="paragraph" w:styleId="BalloonText">
    <w:name w:val="Balloon Text"/>
    <w:basedOn w:val="Normal"/>
    <w:link w:val="BalloonTextChar"/>
    <w:rsid w:val="00841FD3"/>
    <w:pPr>
      <w:spacing w:before="0"/>
    </w:pPr>
    <w:rPr>
      <w:rFonts w:ascii="Tahoma" w:hAnsi="Tahoma" w:cs="Tahoma"/>
      <w:sz w:val="16"/>
      <w:szCs w:val="16"/>
    </w:rPr>
  </w:style>
  <w:style w:type="character" w:customStyle="1" w:styleId="BalloonTextChar">
    <w:name w:val="Balloon Text Char"/>
    <w:basedOn w:val="DefaultParagraphFont"/>
    <w:link w:val="BalloonText"/>
    <w:rsid w:val="00841FD3"/>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basedOn w:val="DefaultParagraphFont"/>
    <w:semiHidden/>
    <w:rPr>
      <w:position w:val="6"/>
      <w:sz w:val="18"/>
    </w:rPr>
  </w:style>
  <w:style w:type="paragraph" w:styleId="FootnoteText">
    <w:name w:val="footnote text"/>
    <w:aliases w:val="footnote text,ALTS FOOTNOTE"/>
    <w:basedOn w:val="Note"/>
    <w:link w:val="FootnoteTextChar"/>
    <w:semiHidden/>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Normal"/>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Annex">
    <w:name w:val="Annex_#"/>
    <w:basedOn w:val="Normal"/>
    <w:next w:val="Normal"/>
    <w:pPr>
      <w:keepNext/>
      <w:keepLines/>
      <w:overflowPunct/>
      <w:autoSpaceDE/>
      <w:autoSpaceDN/>
      <w:adjustRightInd/>
      <w:spacing w:before="480" w:after="80"/>
      <w:jc w:val="center"/>
      <w:textAlignment w:val="auto"/>
    </w:pPr>
    <w:rPr>
      <w:caps/>
    </w:rPr>
  </w:style>
  <w:style w:type="character" w:styleId="Hyperlink">
    <w:name w:val="Hyperlink"/>
    <w:basedOn w:val="DefaultParagraphFont"/>
    <w:rPr>
      <w:color w:val="0000FF"/>
      <w:u w:val="single"/>
    </w:rPr>
  </w:style>
  <w:style w:type="paragraph" w:styleId="BodyTextIndent">
    <w:name w:val="Body Text Indent"/>
    <w:basedOn w:val="Normal"/>
    <w:pPr>
      <w:tabs>
        <w:tab w:val="left" w:pos="284"/>
      </w:tabs>
      <w:overflowPunct/>
      <w:autoSpaceDE/>
      <w:autoSpaceDN/>
      <w:adjustRightInd/>
      <w:spacing w:before="136" w:after="360"/>
      <w:ind w:left="284" w:hanging="284"/>
      <w:jc w:val="center"/>
      <w:textAlignment w:val="auto"/>
    </w:pPr>
    <w:rPr>
      <w:b/>
    </w:rPr>
  </w:style>
  <w:style w:type="character" w:customStyle="1" w:styleId="FootnoteTextChar">
    <w:name w:val="Footnote Text Char"/>
    <w:aliases w:val="footnote text Char,ALTS FOOTNOTE Char"/>
    <w:basedOn w:val="DefaultParagraphFont"/>
    <w:link w:val="FootnoteText"/>
    <w:rPr>
      <w:sz w:val="24"/>
      <w:lang w:val="en-GB" w:eastAsia="en-US" w:bidi="ar-SA"/>
    </w:rPr>
  </w:style>
  <w:style w:type="paragraph" w:styleId="BalloonText">
    <w:name w:val="Balloon Text"/>
    <w:basedOn w:val="Normal"/>
    <w:link w:val="BalloonTextChar"/>
    <w:rsid w:val="00841FD3"/>
    <w:pPr>
      <w:spacing w:before="0"/>
    </w:pPr>
    <w:rPr>
      <w:rFonts w:ascii="Tahoma" w:hAnsi="Tahoma" w:cs="Tahoma"/>
      <w:sz w:val="16"/>
      <w:szCs w:val="16"/>
    </w:rPr>
  </w:style>
  <w:style w:type="character" w:customStyle="1" w:styleId="BalloonTextChar">
    <w:name w:val="Balloon Text Char"/>
    <w:basedOn w:val="DefaultParagraphFont"/>
    <w:link w:val="BalloonText"/>
    <w:rsid w:val="00841FD3"/>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tu.int/ITU-T/dbase/patent/patent-policy.html" TargetMode="External"/><Relationship Id="rId4" Type="http://schemas.openxmlformats.org/officeDocument/2006/relationships/settings" Target="settings.xml"/><Relationship Id="rId9" Type="http://schemas.openxmlformats.org/officeDocument/2006/relationships/hyperlink" Target="mailto:brsgd@itu.int"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PE_BRcirc</Template>
  <TotalTime>102</TotalTime>
  <Pages>4</Pages>
  <Words>835</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5910</CharactersWithSpaces>
  <SharedDoc>false</SharedDoc>
  <HLinks>
    <vt:vector size="18" baseType="variant">
      <vt:variant>
        <vt:i4>6160462</vt:i4>
      </vt:variant>
      <vt:variant>
        <vt:i4>3</vt:i4>
      </vt:variant>
      <vt:variant>
        <vt:i4>0</vt:i4>
      </vt:variant>
      <vt:variant>
        <vt:i4>5</vt:i4>
      </vt:variant>
      <vt:variant>
        <vt:lpwstr>http://www.itu.int/ITU-T/dbase/patent/patent-policy.html</vt:lpwstr>
      </vt:variant>
      <vt:variant>
        <vt:lpwstr/>
      </vt:variant>
      <vt:variant>
        <vt:i4>1441835</vt:i4>
      </vt:variant>
      <vt:variant>
        <vt:i4>0</vt:i4>
      </vt:variant>
      <vt:variant>
        <vt:i4>0</vt:i4>
      </vt:variant>
      <vt:variant>
        <vt:i4>5</vt:i4>
      </vt:variant>
      <vt:variant>
        <vt:lpwstr>mailto:brsgd@itu.int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fernandv</dc:creator>
  <cp:keywords/>
  <dc:description/>
  <cp:lastModifiedBy>detraz</cp:lastModifiedBy>
  <cp:revision>11</cp:revision>
  <cp:lastPrinted>2011-02-25T13:03:00Z</cp:lastPrinted>
  <dcterms:created xsi:type="dcterms:W3CDTF">2011-02-14T10:43:00Z</dcterms:created>
  <dcterms:modified xsi:type="dcterms:W3CDTF">2011-02-25T13:03:00Z</dcterms:modified>
</cp:coreProperties>
</file>