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544D23" w:rsidRPr="00D35752" w:rsidTr="00544D23">
        <w:tc>
          <w:tcPr>
            <w:tcW w:w="8188" w:type="dxa"/>
            <w:vAlign w:val="center"/>
          </w:tcPr>
          <w:p w:rsidR="00544D23" w:rsidRPr="000D1D2A" w:rsidRDefault="00544D23" w:rsidP="00544D23">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544D23" w:rsidRPr="00D35752" w:rsidRDefault="00544D23" w:rsidP="00544D23">
            <w:pPr>
              <w:spacing w:before="0"/>
              <w:jc w:val="right"/>
            </w:pPr>
            <w:r>
              <w:rPr>
                <w:noProof/>
                <w:lang w:val="en-US" w:eastAsia="zh-CN"/>
              </w:rPr>
              <w:drawing>
                <wp:inline distT="0" distB="0" distL="0" distR="0" wp14:anchorId="4C53DA3F" wp14:editId="47E87BC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r w:rsidR="00544D23" w:rsidRPr="00D35752" w:rsidTr="00544D23">
        <w:tc>
          <w:tcPr>
            <w:tcW w:w="8188" w:type="dxa"/>
            <w:vAlign w:val="center"/>
          </w:tcPr>
          <w:p w:rsidR="00544D23" w:rsidRPr="00544D23" w:rsidRDefault="00544D23" w:rsidP="00544D23">
            <w:pPr>
              <w:rPr>
                <w:b/>
                <w:smallCaps/>
                <w:sz w:val="20"/>
                <w:lang w:val="fr-CH"/>
              </w:rPr>
            </w:pPr>
            <w:r w:rsidRPr="00544D23">
              <w:rPr>
                <w:i/>
                <w:sz w:val="28"/>
                <w:lang w:val="fr-CH"/>
              </w:rPr>
              <w:t>Radiocommunication Bureau</w:t>
            </w:r>
          </w:p>
          <w:p w:rsidR="00544D23" w:rsidRPr="00544D23" w:rsidRDefault="00544D23" w:rsidP="00544D23">
            <w:pPr>
              <w:tabs>
                <w:tab w:val="clear" w:pos="794"/>
                <w:tab w:val="left" w:pos="426"/>
                <w:tab w:val="left" w:pos="7513"/>
              </w:tabs>
              <w:rPr>
                <w:i/>
                <w:sz w:val="18"/>
                <w:lang w:val="fr-CH"/>
              </w:rPr>
            </w:pPr>
            <w:r w:rsidRPr="00544D23">
              <w:rPr>
                <w:b/>
                <w:sz w:val="18"/>
                <w:lang w:val="fr-CH"/>
              </w:rPr>
              <w:tab/>
            </w:r>
            <w:r w:rsidRPr="00544D23">
              <w:rPr>
                <w:i/>
                <w:sz w:val="18"/>
                <w:lang w:val="fr-CH"/>
              </w:rPr>
              <w:t>(Direct Fax N°. +41 22 730 57 85)</w:t>
            </w:r>
          </w:p>
        </w:tc>
        <w:tc>
          <w:tcPr>
            <w:tcW w:w="1667" w:type="dxa"/>
          </w:tcPr>
          <w:p w:rsidR="00544D23" w:rsidRDefault="00544D23" w:rsidP="00544D23">
            <w:pPr>
              <w:spacing w:before="0"/>
              <w:jc w:val="right"/>
              <w:rPr>
                <w:noProof/>
                <w:lang w:val="en-US" w:eastAsia="zh-CN"/>
              </w:rPr>
            </w:pPr>
          </w:p>
        </w:tc>
      </w:tr>
    </w:tbl>
    <w:p w:rsidR="00544D23" w:rsidRPr="00544D23" w:rsidRDefault="00544D23" w:rsidP="00544D23">
      <w:pPr>
        <w:rPr>
          <w:lang w:val="fr-CH"/>
        </w:rPr>
      </w:pPr>
    </w:p>
    <w:p w:rsidR="00544D23" w:rsidRPr="00544D23" w:rsidRDefault="00544D23" w:rsidP="00544D23">
      <w:pPr>
        <w:tabs>
          <w:tab w:val="left" w:pos="7513"/>
        </w:tabs>
        <w:rPr>
          <w:lang w:val="fr-CH"/>
        </w:rPr>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2E1489">
            <w:pPr>
              <w:tabs>
                <w:tab w:val="clear" w:pos="794"/>
                <w:tab w:val="clear" w:pos="1191"/>
                <w:tab w:val="clear" w:pos="1588"/>
              </w:tabs>
              <w:spacing w:before="0"/>
              <w:jc w:val="center"/>
              <w:rPr>
                <w:b/>
                <w:bCs/>
              </w:rPr>
            </w:pPr>
            <w:bookmarkStart w:id="1" w:name="dnum"/>
            <w:bookmarkEnd w:id="1"/>
            <w:r>
              <w:rPr>
                <w:b/>
                <w:bCs/>
              </w:rPr>
              <w:t>CAR/</w:t>
            </w:r>
            <w:r w:rsidR="002E1489">
              <w:rPr>
                <w:b/>
                <w:bCs/>
              </w:rPr>
              <w:t>326</w:t>
            </w:r>
          </w:p>
        </w:tc>
        <w:tc>
          <w:tcPr>
            <w:tcW w:w="6368" w:type="dxa"/>
          </w:tcPr>
          <w:p w:rsidR="00847894" w:rsidRPr="00487BC6" w:rsidRDefault="00FC5A59" w:rsidP="00E43584">
            <w:pPr>
              <w:tabs>
                <w:tab w:val="left" w:pos="7513"/>
              </w:tabs>
              <w:jc w:val="right"/>
              <w:rPr>
                <w:bCs/>
              </w:rPr>
            </w:pPr>
            <w:bookmarkStart w:id="2" w:name="ddate"/>
            <w:bookmarkEnd w:id="2"/>
            <w:r>
              <w:rPr>
                <w:bCs/>
              </w:rPr>
              <w:t>27 October</w:t>
            </w:r>
            <w:r w:rsidR="00084D8E">
              <w:rPr>
                <w:bCs/>
              </w:rPr>
              <w:t xml:space="preserve"> 2011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2E1489">
      <w:pPr>
        <w:tabs>
          <w:tab w:val="clear" w:pos="794"/>
          <w:tab w:val="clear" w:pos="1191"/>
          <w:tab w:val="clear" w:pos="1588"/>
          <w:tab w:val="clear" w:pos="1985"/>
          <w:tab w:val="left" w:pos="1418"/>
        </w:tabs>
        <w:spacing w:before="720"/>
        <w:ind w:left="1418" w:hanging="1418"/>
        <w:rPr>
          <w:b/>
          <w:bCs/>
        </w:rPr>
      </w:pPr>
      <w:r>
        <w:rPr>
          <w:b/>
        </w:rPr>
        <w:t>Subject</w:t>
      </w:r>
      <w:r>
        <w:t>:</w:t>
      </w:r>
      <w:r>
        <w:tab/>
      </w:r>
      <w:r>
        <w:rPr>
          <w:b/>
          <w:bCs/>
        </w:rPr>
        <w:t xml:space="preserve">Radiocommunication Study Group </w:t>
      </w:r>
      <w:r w:rsidR="00933ACD">
        <w:rPr>
          <w:b/>
          <w:bCs/>
        </w:rPr>
        <w:t xml:space="preserve">6 </w:t>
      </w:r>
      <w:r w:rsidR="00084D8E">
        <w:rPr>
          <w:b/>
          <w:bCs/>
        </w:rPr>
        <w:t>(</w:t>
      </w:r>
      <w:r w:rsidR="00FC5A59">
        <w:rPr>
          <w:b/>
          <w:bCs/>
        </w:rPr>
        <w:t>Broadcasting service</w:t>
      </w:r>
      <w:r w:rsidR="00084D8E">
        <w:rPr>
          <w:b/>
          <w:bCs/>
        </w:rPr>
        <w:t>)</w:t>
      </w:r>
    </w:p>
    <w:p w:rsidR="00847894" w:rsidRPr="00986322" w:rsidRDefault="00986322">
      <w:pPr>
        <w:tabs>
          <w:tab w:val="clear" w:pos="794"/>
          <w:tab w:val="clear" w:pos="1191"/>
          <w:tab w:val="clear" w:pos="1588"/>
          <w:tab w:val="clear" w:pos="1985"/>
          <w:tab w:val="left" w:pos="1418"/>
        </w:tabs>
        <w:spacing w:before="240"/>
        <w:ind w:left="2160" w:hanging="2160"/>
        <w:rPr>
          <w:b/>
          <w:bCs/>
        </w:rPr>
      </w:pPr>
      <w:r>
        <w:rPr>
          <w:b/>
          <w:bCs/>
        </w:rPr>
        <w:tab/>
        <w:t>–</w:t>
      </w:r>
      <w:r>
        <w:rPr>
          <w:b/>
          <w:bCs/>
        </w:rPr>
        <w:tab/>
      </w:r>
      <w:r w:rsidR="00847894" w:rsidRPr="00986322">
        <w:rPr>
          <w:b/>
          <w:bCs/>
        </w:rPr>
        <w:t xml:space="preserve">Proposed adoption of </w:t>
      </w:r>
      <w:r w:rsidR="00FC5A59">
        <w:rPr>
          <w:b/>
          <w:bCs/>
        </w:rPr>
        <w:t>4 draft new Recommendations and 5</w:t>
      </w:r>
      <w:r w:rsidR="00FC5A59" w:rsidRPr="00986322">
        <w:rPr>
          <w:b/>
          <w:bCs/>
        </w:rPr>
        <w:t xml:space="preserve"> </w:t>
      </w:r>
      <w:r w:rsidR="00847894" w:rsidRPr="00986322">
        <w:rPr>
          <w:b/>
          <w:bCs/>
        </w:rPr>
        <w:t>draft revised Recommendations and their simultaneous approval by correspondence in accordance with § 10.3 of Resolution ITU</w:t>
      </w:r>
      <w:r w:rsidR="00847894" w:rsidRPr="00986322">
        <w:rPr>
          <w:b/>
          <w:bCs/>
        </w:rPr>
        <w:noBreakHyphen/>
        <w:t>R 1-5 (Procedure for the simultaneous adoption and approval by correspondence)</w:t>
      </w:r>
    </w:p>
    <w:p w:rsidR="00492C4D" w:rsidRPr="00986322" w:rsidRDefault="00986322" w:rsidP="00FA2DE8">
      <w:pPr>
        <w:tabs>
          <w:tab w:val="clear" w:pos="794"/>
          <w:tab w:val="clear" w:pos="1191"/>
          <w:tab w:val="clear" w:pos="1588"/>
          <w:tab w:val="clear" w:pos="1985"/>
          <w:tab w:val="left" w:pos="1418"/>
        </w:tabs>
        <w:spacing w:before="240"/>
        <w:rPr>
          <w:b/>
          <w:bCs/>
        </w:rPr>
      </w:pPr>
      <w:r>
        <w:rPr>
          <w:b/>
          <w:bCs/>
        </w:rPr>
        <w:tab/>
        <w:t>–</w:t>
      </w:r>
      <w:r>
        <w:rPr>
          <w:b/>
          <w:bCs/>
        </w:rPr>
        <w:tab/>
      </w:r>
      <w:r w:rsidR="00847894" w:rsidRPr="00986322">
        <w:rPr>
          <w:b/>
          <w:bCs/>
        </w:rPr>
        <w:t xml:space="preserve">Proposed suppression of </w:t>
      </w:r>
      <w:r w:rsidR="00FC5A59">
        <w:rPr>
          <w:b/>
          <w:bCs/>
        </w:rPr>
        <w:t>3</w:t>
      </w:r>
      <w:r w:rsidR="00FA2DE8">
        <w:rPr>
          <w:b/>
          <w:bCs/>
        </w:rPr>
        <w:t>4</w:t>
      </w:r>
      <w:r w:rsidR="00FC5A59" w:rsidRPr="00986322">
        <w:rPr>
          <w:b/>
          <w:bCs/>
        </w:rPr>
        <w:t xml:space="preserve"> </w:t>
      </w:r>
      <w:r w:rsidR="00847894" w:rsidRPr="00986322">
        <w:rPr>
          <w:b/>
          <w:bCs/>
        </w:rPr>
        <w:t>Recommendations</w:t>
      </w:r>
    </w:p>
    <w:p w:rsidR="00847894" w:rsidRDefault="00847894" w:rsidP="00487BC6"/>
    <w:p w:rsidR="00847894" w:rsidRDefault="00847894" w:rsidP="00FA2DE8">
      <w:pPr>
        <w:pStyle w:val="Normalaftertitle"/>
      </w:pPr>
      <w:r>
        <w:t xml:space="preserve">At the meeting of Radiocommunication Study Group </w:t>
      </w:r>
      <w:r w:rsidR="00A1591E">
        <w:t>6</w:t>
      </w:r>
      <w:r>
        <w:t xml:space="preserve">, held on </w:t>
      </w:r>
      <w:r w:rsidR="00A1591E">
        <w:t>7 October</w:t>
      </w:r>
      <w:r w:rsidR="00084D8E">
        <w:t xml:space="preserve"> 2011</w:t>
      </w:r>
      <w:r>
        <w:t xml:space="preserve">, the Study Group decided to seek adoption of </w:t>
      </w:r>
      <w:r w:rsidR="00A1591E">
        <w:t xml:space="preserve">4 draft new Recommendations and 5 </w:t>
      </w:r>
      <w:r>
        <w:t>draft revised Recommendations by correspondence (§ 10.2.3 of Resolution ITU-R 1-5) and further decided to apply the procedure for simultaneous adoption and approval by correspondence (PSAA), (§ 10.3 of Resolution ITU</w:t>
      </w:r>
      <w:r>
        <w:noBreakHyphen/>
        <w:t>R 1</w:t>
      </w:r>
      <w:r>
        <w:noBreakHyphen/>
        <w:t xml:space="preserve">5). The titles and summaries of the draft Recommendations are given in Annex 1. Furthermore, the Study Group proposed the suppression of </w:t>
      </w:r>
      <w:r w:rsidR="00A1591E">
        <w:t>3</w:t>
      </w:r>
      <w:r w:rsidR="00FA2DE8">
        <w:t>4</w:t>
      </w:r>
      <w:r w:rsidR="00A1591E">
        <w:t xml:space="preserve"> </w:t>
      </w:r>
      <w:r>
        <w:t>Recommendations</w:t>
      </w:r>
      <w:r w:rsidR="00D65B4C">
        <w:t xml:space="preserve"> </w:t>
      </w:r>
      <w:r>
        <w:t>listed in Annex 2.</w:t>
      </w:r>
    </w:p>
    <w:p w:rsidR="00847894" w:rsidRDefault="00847894" w:rsidP="000B62B1">
      <w:r>
        <w:t xml:space="preserve">The consideration period shall extend for </w:t>
      </w:r>
      <w:r w:rsidRPr="007D3CB6">
        <w:t>3 months ending on</w:t>
      </w:r>
      <w:r>
        <w:t xml:space="preserve"> </w:t>
      </w:r>
      <w:r w:rsidR="00A1591E">
        <w:rPr>
          <w:u w:val="single"/>
        </w:rPr>
        <w:t>27 January 2012</w:t>
      </w:r>
      <w:r w:rsidRPr="00AB7229">
        <w:t>.</w:t>
      </w:r>
      <w:r>
        <w:t xml:space="preserve"> If within this period no objections are received from Member States, the draft Recommendations shall be considered to be adopted by Study Group </w:t>
      </w:r>
      <w:r w:rsidR="000B62B1">
        <w:t>6</w:t>
      </w:r>
      <w:r>
        <w:t xml:space="preserve">. Furthermore, since the PSAA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Default="00084D8E" w:rsidP="00487BC6">
      <w:pPr>
        <w:pStyle w:val="BodyTextIndent"/>
        <w:spacing w:after="0"/>
        <w:ind w:left="5761"/>
      </w:pPr>
      <w:r>
        <w:t>François Rancy</w:t>
      </w:r>
      <w:r w:rsidR="00847894">
        <w:br/>
        <w:t>Director, Radiocommunication Bureau</w:t>
      </w: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Pr="00D321EA" w:rsidRDefault="00847894" w:rsidP="00487BC6">
      <w:pPr>
        <w:ind w:left="1191" w:hanging="1191"/>
        <w:rPr>
          <w:lang w:val="en-US"/>
        </w:rPr>
      </w:pPr>
      <w:r>
        <w:rPr>
          <w:b/>
          <w:bCs/>
          <w:lang w:val="en-US"/>
        </w:rPr>
        <w:t>Annex 2:</w:t>
      </w:r>
      <w:r>
        <w:rPr>
          <w:lang w:val="en-US"/>
        </w:rPr>
        <w:tab/>
        <w:t>Recommendation</w:t>
      </w:r>
      <w:r w:rsidR="00F738CA">
        <w:rPr>
          <w:lang w:val="en-US"/>
        </w:rPr>
        <w:t>s</w:t>
      </w:r>
      <w:r>
        <w:rPr>
          <w:lang w:val="en-US"/>
        </w:rPr>
        <w:t xml:space="preserve"> proposed for suppression</w:t>
      </w:r>
    </w:p>
    <w:p w:rsidR="00847894" w:rsidRDefault="00847894" w:rsidP="00487BC6">
      <w:pPr>
        <w:ind w:left="1191" w:hanging="1191"/>
        <w:rPr>
          <w:b/>
          <w:bCs/>
          <w:lang w:val="en-US"/>
        </w:rPr>
      </w:pPr>
    </w:p>
    <w:p w:rsidR="00847894" w:rsidRPr="00E543EB" w:rsidRDefault="00847894" w:rsidP="00F37A5D">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Pr="00E543EB">
        <w:rPr>
          <w:lang w:val="en-US"/>
        </w:rPr>
        <w:t>Document</w:t>
      </w:r>
      <w:r>
        <w:rPr>
          <w:lang w:val="en-US"/>
        </w:rPr>
        <w:t>s</w:t>
      </w:r>
      <w:r w:rsidRPr="00E543EB">
        <w:rPr>
          <w:lang w:val="en-US"/>
        </w:rPr>
        <w:t xml:space="preserve"> </w:t>
      </w:r>
      <w:r w:rsidR="00A1591E">
        <w:rPr>
          <w:lang w:val="en-US"/>
        </w:rPr>
        <w:t>6/385(Rev.1), 6/386(Rev.1), 6/388(Rev.1), 6/389(Rev.1), 6/390(Rev.1), 6/391(Rev.1), 6/408(Rev.1), 6/410(Rev.1), 6/416(Rev.1)</w:t>
      </w:r>
      <w:r>
        <w:rPr>
          <w:lang w:val="en-US"/>
        </w:rPr>
        <w:t xml:space="preserve"> </w:t>
      </w:r>
      <w:r w:rsidRPr="00E543EB">
        <w:rPr>
          <w:lang w:val="en-US"/>
        </w:rPr>
        <w:t>on</w:t>
      </w:r>
      <w:r w:rsidR="00F37A5D">
        <w:rPr>
          <w:lang w:val="en-US"/>
        </w:rPr>
        <w:t> </w:t>
      </w:r>
      <w:r w:rsidRPr="00E543EB">
        <w:rPr>
          <w:lang w:val="en-US"/>
        </w:rPr>
        <w:t>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B827D5" w:rsidRDefault="00B827D5"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A1591E">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 xml:space="preserve">Radiommunication Sector Members participating in the work of Radiocommunication Study Group </w:t>
      </w:r>
      <w:r w:rsidR="00A1591E">
        <w:rPr>
          <w:sz w:val="18"/>
          <w:szCs w:val="18"/>
        </w:rPr>
        <w:t>6</w:t>
      </w:r>
    </w:p>
    <w:p w:rsidR="00847894" w:rsidRDefault="00847894" w:rsidP="00A1591E">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Radiocommunication Study Group </w:t>
      </w:r>
      <w:r w:rsidR="00A1591E">
        <w:rPr>
          <w:sz w:val="18"/>
          <w:szCs w:val="18"/>
        </w:rPr>
        <w:t>6</w:t>
      </w:r>
    </w:p>
    <w:p w:rsidR="00B827D5" w:rsidRPr="008704AD" w:rsidRDefault="00B827D5" w:rsidP="004E3625">
      <w:pPr>
        <w:tabs>
          <w:tab w:val="left" w:pos="284"/>
          <w:tab w:val="left" w:pos="568"/>
        </w:tabs>
        <w:spacing w:before="0"/>
        <w:rPr>
          <w:sz w:val="18"/>
          <w:szCs w:val="18"/>
        </w:rPr>
      </w:pPr>
      <w:r>
        <w:rPr>
          <w:sz w:val="18"/>
          <w:szCs w:val="18"/>
        </w:rPr>
        <w:t>–</w:t>
      </w:r>
      <w:r>
        <w:rPr>
          <w:sz w:val="18"/>
          <w:szCs w:val="18"/>
        </w:rPr>
        <w:tab/>
        <w:t>ITU-R Academia</w:t>
      </w:r>
    </w:p>
    <w:p w:rsidR="00847894" w:rsidRDefault="00847894" w:rsidP="009C2F6F">
      <w:pPr>
        <w:pStyle w:val="AnnexNotitle"/>
        <w:spacing w:before="240"/>
      </w:pPr>
      <w:r>
        <w:br w:type="page"/>
      </w:r>
      <w:r>
        <w:lastRenderedPageBreak/>
        <w:t>Annex 1</w:t>
      </w:r>
      <w:r>
        <w:br/>
      </w:r>
      <w:r>
        <w:br/>
        <w:t>Titles and summaries of the draft Recommendations</w:t>
      </w:r>
    </w:p>
    <w:p w:rsidR="00847894" w:rsidRDefault="00847894" w:rsidP="00487BC6"/>
    <w:p w:rsidR="00B827D5" w:rsidRDefault="00A1591E" w:rsidP="0053659C">
      <w:pPr>
        <w:tabs>
          <w:tab w:val="right" w:pos="9639"/>
        </w:tabs>
        <w:spacing w:before="360"/>
      </w:pPr>
      <w:r>
        <w:rPr>
          <w:u w:val="single"/>
        </w:rPr>
        <w:t>Draft new Recommendation ITU-R BT</w:t>
      </w:r>
      <w:proofErr w:type="gramStart"/>
      <w:r>
        <w:rPr>
          <w:u w:val="single"/>
        </w:rPr>
        <w:t>.[</w:t>
      </w:r>
      <w:proofErr w:type="gramEnd"/>
      <w:r>
        <w:rPr>
          <w:u w:val="single"/>
        </w:rPr>
        <w:t>VQHDFR]</w:t>
      </w:r>
      <w:r>
        <w:tab/>
      </w:r>
      <w:r w:rsidR="0041303A">
        <w:t xml:space="preserve">Doc. </w:t>
      </w:r>
      <w:r>
        <w:t>6/385(Rev.1)</w:t>
      </w:r>
    </w:p>
    <w:p w:rsidR="00A1591E" w:rsidRDefault="0041303A" w:rsidP="002E1489">
      <w:pPr>
        <w:pStyle w:val="Rectitle"/>
      </w:pPr>
      <w:r w:rsidRPr="00140E5C">
        <w:t xml:space="preserve">Objective </w:t>
      </w:r>
      <w:r w:rsidRPr="00140E5C">
        <w:rPr>
          <w:lang w:eastAsia="ja-JP"/>
        </w:rPr>
        <w:t>p</w:t>
      </w:r>
      <w:r w:rsidRPr="00140E5C">
        <w:t xml:space="preserve">erceptual </w:t>
      </w:r>
      <w:r w:rsidRPr="00140E5C">
        <w:rPr>
          <w:lang w:eastAsia="ja-JP"/>
        </w:rPr>
        <w:t>v</w:t>
      </w:r>
      <w:r w:rsidRPr="00140E5C">
        <w:t xml:space="preserve">ideo </w:t>
      </w:r>
      <w:r w:rsidRPr="00140E5C">
        <w:rPr>
          <w:lang w:eastAsia="ja-JP"/>
        </w:rPr>
        <w:t>q</w:t>
      </w:r>
      <w:r w:rsidRPr="00140E5C">
        <w:t xml:space="preserve">uality </w:t>
      </w:r>
      <w:r w:rsidRPr="00140E5C">
        <w:rPr>
          <w:lang w:eastAsia="ja-JP"/>
        </w:rPr>
        <w:t>m</w:t>
      </w:r>
      <w:r w:rsidRPr="00140E5C">
        <w:t>easurement</w:t>
      </w:r>
      <w:r w:rsidRPr="00140E5C">
        <w:rPr>
          <w:lang w:eastAsia="ko-KR"/>
        </w:rPr>
        <w:t xml:space="preserve"> </w:t>
      </w:r>
      <w:r w:rsidRPr="00140E5C">
        <w:rPr>
          <w:lang w:eastAsia="ja-JP"/>
        </w:rPr>
        <w:t xml:space="preserve">techniques </w:t>
      </w:r>
      <w:r w:rsidRPr="00140E5C">
        <w:rPr>
          <w:lang w:eastAsia="ko-KR"/>
        </w:rPr>
        <w:t xml:space="preserve">for </w:t>
      </w:r>
      <w:r w:rsidRPr="00140E5C">
        <w:rPr>
          <w:lang w:eastAsia="ja-JP"/>
        </w:rPr>
        <w:t xml:space="preserve">broadcasting applications using HDTV </w:t>
      </w:r>
      <w:r w:rsidRPr="00140E5C">
        <w:t xml:space="preserve">in </w:t>
      </w:r>
      <w:r w:rsidRPr="00140E5C">
        <w:rPr>
          <w:lang w:eastAsia="ja-JP"/>
        </w:rPr>
        <w:t>t</w:t>
      </w:r>
      <w:r w:rsidRPr="00140E5C">
        <w:t xml:space="preserve">he </w:t>
      </w:r>
      <w:r w:rsidRPr="00140E5C">
        <w:rPr>
          <w:lang w:eastAsia="ja-JP"/>
        </w:rPr>
        <w:t>p</w:t>
      </w:r>
      <w:r w:rsidRPr="00140E5C">
        <w:t xml:space="preserve">resence of a </w:t>
      </w:r>
      <w:r w:rsidRPr="00140E5C">
        <w:rPr>
          <w:lang w:eastAsia="ja-JP"/>
        </w:rPr>
        <w:t>f</w:t>
      </w:r>
      <w:r w:rsidRPr="00140E5C">
        <w:t xml:space="preserve">ull </w:t>
      </w:r>
      <w:r w:rsidRPr="00140E5C">
        <w:rPr>
          <w:lang w:eastAsia="ja-JP"/>
        </w:rPr>
        <w:t>r</w:t>
      </w:r>
      <w:r w:rsidRPr="00140E5C">
        <w:t>eference signal</w:t>
      </w:r>
    </w:p>
    <w:p w:rsidR="0041303A" w:rsidRPr="0041303A" w:rsidRDefault="0041303A" w:rsidP="0041303A">
      <w:pPr>
        <w:pStyle w:val="Summary"/>
        <w:jc w:val="left"/>
        <w:rPr>
          <w:sz w:val="24"/>
          <w:szCs w:val="24"/>
          <w:lang w:val="en-GB"/>
        </w:rPr>
      </w:pPr>
      <w:r w:rsidRPr="0041303A">
        <w:rPr>
          <w:sz w:val="24"/>
          <w:szCs w:val="24"/>
          <w:lang w:val="en-GB"/>
        </w:rPr>
        <w:t xml:space="preserve">This Recommendation </w:t>
      </w:r>
      <w:r w:rsidRPr="0041303A">
        <w:rPr>
          <w:sz w:val="24"/>
          <w:szCs w:val="24"/>
          <w:lang w:val="en-GB" w:eastAsia="ja-JP"/>
        </w:rPr>
        <w:t>specifies methods for estimating the perceived video quality of broadcasting applications using HDTV</w:t>
      </w:r>
      <w:r w:rsidRPr="0041303A">
        <w:rPr>
          <w:sz w:val="24"/>
          <w:szCs w:val="24"/>
          <w:lang w:val="en-GB"/>
        </w:rPr>
        <w:t xml:space="preserve"> when a full reference signal is available.</w:t>
      </w:r>
    </w:p>
    <w:p w:rsidR="0041303A" w:rsidRPr="0041303A" w:rsidRDefault="0041303A" w:rsidP="0041303A">
      <w:pPr>
        <w:pStyle w:val="Normalaftertitle"/>
        <w:tabs>
          <w:tab w:val="right" w:pos="9639"/>
        </w:tabs>
      </w:pPr>
      <w:r>
        <w:rPr>
          <w:u w:val="single"/>
        </w:rPr>
        <w:t>Draft new Recommendation ITU-R BT</w:t>
      </w:r>
      <w:proofErr w:type="gramStart"/>
      <w:r>
        <w:rPr>
          <w:u w:val="single"/>
        </w:rPr>
        <w:t>.[</w:t>
      </w:r>
      <w:proofErr w:type="gramEnd"/>
      <w:r>
        <w:rPr>
          <w:u w:val="single"/>
        </w:rPr>
        <w:t>VQHDRR]</w:t>
      </w:r>
      <w:r>
        <w:tab/>
        <w:t>Doc. 6/386(Rev.1)</w:t>
      </w:r>
    </w:p>
    <w:p w:rsidR="0041303A" w:rsidRDefault="0041303A" w:rsidP="0041303A">
      <w:pPr>
        <w:pStyle w:val="Rectitle"/>
        <w:rPr>
          <w:lang w:eastAsia="zh-CN"/>
        </w:rPr>
      </w:pPr>
      <w:r w:rsidRPr="00520D61">
        <w:rPr>
          <w:lang w:eastAsia="zh-CN"/>
        </w:rPr>
        <w:t>Objective video quality measurement techniques for broadcasting applications using HDTV in the presence of a reduced reference signal</w:t>
      </w:r>
    </w:p>
    <w:p w:rsidR="0041303A" w:rsidRPr="0041303A" w:rsidRDefault="0041303A" w:rsidP="0053659C">
      <w:pPr>
        <w:spacing w:after="480"/>
        <w:rPr>
          <w:szCs w:val="24"/>
          <w:lang w:eastAsia="zh-CN"/>
        </w:rPr>
      </w:pPr>
      <w:r w:rsidRPr="0041303A">
        <w:rPr>
          <w:szCs w:val="24"/>
          <w:lang w:eastAsia="zh-CN"/>
        </w:rPr>
        <w:t>This Recommendation specifies methods for estimating the perceived video quality of broadcasting applications using HDTV when a reduced reference signal is available.</w:t>
      </w:r>
    </w:p>
    <w:p w:rsidR="0041303A" w:rsidRDefault="0041303A" w:rsidP="0041303A">
      <w:pPr>
        <w:pStyle w:val="Normalaftertitle"/>
        <w:tabs>
          <w:tab w:val="right" w:pos="9639"/>
        </w:tabs>
      </w:pPr>
      <w:r>
        <w:rPr>
          <w:u w:val="single"/>
        </w:rPr>
        <w:t>Draft new Recommendation ITU-R BS</w:t>
      </w:r>
      <w:proofErr w:type="gramStart"/>
      <w:r>
        <w:rPr>
          <w:u w:val="single"/>
        </w:rPr>
        <w:t>.[</w:t>
      </w:r>
      <w:proofErr w:type="gramEnd"/>
      <w:r>
        <w:rPr>
          <w:u w:val="single"/>
        </w:rPr>
        <w:t>ADVSOUND-REQ]</w:t>
      </w:r>
      <w:r>
        <w:tab/>
        <w:t>Doc. 6/390(Rev.1)</w:t>
      </w:r>
    </w:p>
    <w:p w:rsidR="0041303A" w:rsidRDefault="0041303A" w:rsidP="0041303A">
      <w:pPr>
        <w:pStyle w:val="Rectitle"/>
      </w:pPr>
      <w:r w:rsidRPr="00196D9D">
        <w:t>Performance requirements for an advanced multichannel stereophonic sound system for use with or without accompanying picture</w:t>
      </w:r>
    </w:p>
    <w:p w:rsidR="0041303A" w:rsidRPr="00196D9D" w:rsidRDefault="0041303A" w:rsidP="0041303A">
      <w:pPr>
        <w:spacing w:after="480"/>
        <w:rPr>
          <w:szCs w:val="24"/>
          <w:lang w:eastAsia="ja-JP"/>
        </w:rPr>
      </w:pPr>
      <w:r w:rsidRPr="00196D9D">
        <w:rPr>
          <w:szCs w:val="24"/>
          <w:lang w:eastAsia="ja-JP"/>
        </w:rPr>
        <w:t>This Recommendation specifies the requirements for an advanced multichannel sound system with or without accompanying picture. Such a system, or a system derived from it, may find application as the sound components of expanded-LSDI and UHDTV programmes.</w:t>
      </w:r>
    </w:p>
    <w:p w:rsidR="0041303A" w:rsidRDefault="0041303A" w:rsidP="0053659C">
      <w:pPr>
        <w:pStyle w:val="Normalaftertitle"/>
        <w:tabs>
          <w:tab w:val="right" w:pos="9639"/>
        </w:tabs>
        <w:spacing w:before="600"/>
        <w:rPr>
          <w:lang w:val="fr-CH"/>
        </w:rPr>
      </w:pPr>
      <w:r w:rsidRPr="0041303A">
        <w:rPr>
          <w:u w:val="single"/>
          <w:lang w:val="fr-CH"/>
        </w:rPr>
        <w:t>Draft new Recommendation ITU-R BT</w:t>
      </w:r>
      <w:proofErr w:type="gramStart"/>
      <w:r w:rsidRPr="0041303A">
        <w:rPr>
          <w:u w:val="single"/>
          <w:lang w:val="fr-CH"/>
        </w:rPr>
        <w:t>.[</w:t>
      </w:r>
      <w:proofErr w:type="gramEnd"/>
      <w:r w:rsidRPr="0041303A">
        <w:rPr>
          <w:u w:val="single"/>
          <w:lang w:val="fr-CH"/>
        </w:rPr>
        <w:t>LSDI-VIS]</w:t>
      </w:r>
      <w:r w:rsidRPr="0041303A">
        <w:rPr>
          <w:lang w:val="fr-CH"/>
        </w:rPr>
        <w:tab/>
        <w:t xml:space="preserve">Doc. </w:t>
      </w:r>
      <w:r>
        <w:rPr>
          <w:lang w:val="fr-CH"/>
        </w:rPr>
        <w:t>6/410(Rev.1)</w:t>
      </w:r>
    </w:p>
    <w:p w:rsidR="0041303A" w:rsidRDefault="0041303A" w:rsidP="00E0523B">
      <w:pPr>
        <w:pStyle w:val="Rectitle"/>
      </w:pPr>
      <w:r w:rsidRPr="00706717">
        <w:rPr>
          <w:rFonts w:hint="eastAsia"/>
        </w:rPr>
        <w:t xml:space="preserve">Use of </w:t>
      </w:r>
      <w:r w:rsidRPr="00706717">
        <w:t xml:space="preserve">LSDI </w:t>
      </w:r>
      <w:r w:rsidRPr="00706717">
        <w:rPr>
          <w:rFonts w:hint="eastAsia"/>
        </w:rPr>
        <w:t xml:space="preserve">Recommendations in </w:t>
      </w:r>
      <w:r w:rsidRPr="00706717">
        <w:t>video information systems applications</w:t>
      </w:r>
    </w:p>
    <w:p w:rsidR="0041303A" w:rsidRDefault="0041303A" w:rsidP="0041303A">
      <w:pPr>
        <w:spacing w:after="480"/>
        <w:rPr>
          <w:lang w:eastAsia="zh-CN"/>
        </w:rPr>
      </w:pPr>
      <w:r>
        <w:rPr>
          <w:lang w:eastAsia="zh-CN"/>
        </w:rPr>
        <w:t xml:space="preserve">This Recommendation identifies the subset of VIS (video information system) applications, for which current ITU-R Recommendations relevant to LSDI (large screen digital imagery) </w:t>
      </w:r>
      <w:proofErr w:type="gramStart"/>
      <w:r>
        <w:rPr>
          <w:lang w:eastAsia="zh-CN"/>
        </w:rPr>
        <w:t>applications,</w:t>
      </w:r>
      <w:proofErr w:type="gramEnd"/>
      <w:r>
        <w:rPr>
          <w:lang w:eastAsia="zh-CN"/>
        </w:rPr>
        <w:t xml:space="preserve"> can be applied.</w:t>
      </w:r>
    </w:p>
    <w:p w:rsidR="00F37A5D" w:rsidRDefault="00F37A5D" w:rsidP="005607C7">
      <w:pPr>
        <w:pStyle w:val="Normalaftertitle"/>
        <w:tabs>
          <w:tab w:val="right" w:pos="9639"/>
        </w:tabs>
        <w:rPr>
          <w:u w:val="single"/>
        </w:rPr>
      </w:pPr>
      <w:r>
        <w:rPr>
          <w:u w:val="single"/>
        </w:rPr>
        <w:br w:type="page"/>
      </w:r>
    </w:p>
    <w:p w:rsidR="0041303A" w:rsidRDefault="005607C7" w:rsidP="005607C7">
      <w:pPr>
        <w:pStyle w:val="Normalaftertitle"/>
        <w:tabs>
          <w:tab w:val="right" w:pos="9639"/>
        </w:tabs>
      </w:pPr>
      <w:r>
        <w:rPr>
          <w:u w:val="single"/>
        </w:rPr>
        <w:lastRenderedPageBreak/>
        <w:t>Draft revision of Recommendation ITU-R BT.500-12</w:t>
      </w:r>
      <w:r>
        <w:tab/>
        <w:t>Doc. 6/388(Rev.1)</w:t>
      </w:r>
    </w:p>
    <w:p w:rsidR="005607C7" w:rsidRDefault="005607C7" w:rsidP="005607C7">
      <w:pPr>
        <w:pStyle w:val="Rectitle"/>
      </w:pPr>
      <w:r w:rsidRPr="00594F8E">
        <w:t>Methodology for the subjective assessment of the</w:t>
      </w:r>
      <w:r>
        <w:t xml:space="preserve"> </w:t>
      </w:r>
      <w:r w:rsidRPr="00594F8E">
        <w:t>quality of television pictures</w:t>
      </w:r>
    </w:p>
    <w:p w:rsidR="005607C7" w:rsidRPr="00594F8E" w:rsidRDefault="005607C7" w:rsidP="005607C7">
      <w:pPr>
        <w:spacing w:after="480"/>
        <w:rPr>
          <w:lang w:eastAsia="ja-JP"/>
        </w:rPr>
      </w:pPr>
      <w:r w:rsidRPr="00594F8E">
        <w:rPr>
          <w:lang w:eastAsia="ja-JP"/>
        </w:rPr>
        <w:t>The proposed modifications are to distinguish between expert and non-expert observers for the subjective assessment of the quality of television pictures, and to allow use of expert observers.</w:t>
      </w:r>
    </w:p>
    <w:p w:rsidR="005607C7" w:rsidRDefault="005607C7" w:rsidP="005607C7">
      <w:pPr>
        <w:pStyle w:val="Normalaftertitle"/>
        <w:tabs>
          <w:tab w:val="right" w:pos="9639"/>
        </w:tabs>
      </w:pPr>
      <w:r>
        <w:rPr>
          <w:u w:val="single"/>
        </w:rPr>
        <w:t>Draft revision of Recommendation ITU-R BT.1210-3</w:t>
      </w:r>
      <w:r>
        <w:tab/>
        <w:t>Doc. 6/389(Rev.1)</w:t>
      </w:r>
    </w:p>
    <w:p w:rsidR="005607C7" w:rsidRPr="00D26768" w:rsidRDefault="005607C7" w:rsidP="007F5194">
      <w:pPr>
        <w:pStyle w:val="Rectitle"/>
      </w:pPr>
      <w:r w:rsidRPr="00D26768">
        <w:t>Test materials to be used in subjective assessment</w:t>
      </w:r>
    </w:p>
    <w:p w:rsidR="005607C7" w:rsidRPr="00D26768" w:rsidRDefault="005607C7" w:rsidP="007F5194">
      <w:pPr>
        <w:spacing w:after="480"/>
        <w:rPr>
          <w:lang w:eastAsia="ja-JP"/>
        </w:rPr>
      </w:pPr>
      <w:r w:rsidRPr="00D26768">
        <w:rPr>
          <w:lang w:eastAsia="ja-JP"/>
        </w:rPr>
        <w:t>This draft revision of Recommendation ITU-R BT.1210 no longer contains lists of test materials. Instead, updated lists of test materials and related information are now described in a new ITU-R Report BT</w:t>
      </w:r>
      <w:proofErr w:type="gramStart"/>
      <w:r w:rsidRPr="00D26768">
        <w:rPr>
          <w:lang w:eastAsia="ja-JP"/>
        </w:rPr>
        <w:t>.[</w:t>
      </w:r>
      <w:proofErr w:type="gramEnd"/>
      <w:r w:rsidRPr="00D26768">
        <w:rPr>
          <w:lang w:eastAsia="ja-JP"/>
        </w:rPr>
        <w:t>TESTMATERIAL] (</w:t>
      </w:r>
      <w:r w:rsidR="00E0523B">
        <w:rPr>
          <w:lang w:eastAsia="ja-JP"/>
        </w:rPr>
        <w:t xml:space="preserve">see </w:t>
      </w:r>
      <w:r w:rsidRPr="00D26768">
        <w:rPr>
          <w:lang w:eastAsia="ja-JP"/>
        </w:rPr>
        <w:t>Document 6/</w:t>
      </w:r>
      <w:r w:rsidR="007F5194">
        <w:rPr>
          <w:lang w:eastAsia="ja-JP"/>
        </w:rPr>
        <w:t>387</w:t>
      </w:r>
      <w:r w:rsidRPr="00D26768">
        <w:rPr>
          <w:lang w:eastAsia="ja-JP"/>
        </w:rPr>
        <w:t>). Obsolete descriptions in the considering and recommends parts have been updated.</w:t>
      </w:r>
      <w:r w:rsidRPr="00D26768">
        <w:t xml:space="preserve"> </w:t>
      </w:r>
      <w:r w:rsidRPr="00D26768">
        <w:rPr>
          <w:lang w:eastAsia="ja-JP"/>
        </w:rPr>
        <w:t>A new Annex, which is based on Annex 3 to Recommendation ITU-R BT.802-1, provides c</w:t>
      </w:r>
      <w:r w:rsidRPr="00D26768">
        <w:t xml:space="preserve">riteria governing choice of </w:t>
      </w:r>
      <w:r w:rsidRPr="00D26768">
        <w:rPr>
          <w:lang w:eastAsia="ja-JP"/>
        </w:rPr>
        <w:t>test materials.</w:t>
      </w:r>
    </w:p>
    <w:p w:rsidR="005607C7" w:rsidRDefault="007F5194" w:rsidP="0053659C">
      <w:pPr>
        <w:tabs>
          <w:tab w:val="right" w:pos="9639"/>
        </w:tabs>
        <w:spacing w:before="360"/>
      </w:pPr>
      <w:r>
        <w:rPr>
          <w:u w:val="single"/>
        </w:rPr>
        <w:t>Draft revision of Recommendation ITU-R BS.1771</w:t>
      </w:r>
      <w:r>
        <w:tab/>
        <w:t>Doc. 6/391(Rev.1)</w:t>
      </w:r>
    </w:p>
    <w:p w:rsidR="007F5194" w:rsidRDefault="007F5194" w:rsidP="007F5194">
      <w:pPr>
        <w:pStyle w:val="Reftext"/>
        <w:spacing w:before="360"/>
        <w:jc w:val="center"/>
        <w:rPr>
          <w:rStyle w:val="RectitleChar"/>
        </w:rPr>
      </w:pPr>
      <w:r w:rsidRPr="007F5194">
        <w:rPr>
          <w:rStyle w:val="RectitleChar"/>
        </w:rPr>
        <w:t>Requirements for loudness and true-peak indicating meters</w:t>
      </w:r>
    </w:p>
    <w:p w:rsidR="007F5194" w:rsidRDefault="007F5194" w:rsidP="0053659C">
      <w:pPr>
        <w:spacing w:after="480"/>
      </w:pPr>
      <w:r w:rsidRPr="003730FF">
        <w:t>This revision of Recommendation ITU-R BS.1771 adds additional specifications for momentary and</w:t>
      </w:r>
      <w:r w:rsidR="004226A0">
        <w:t xml:space="preserve"> short-term loudness metering.</w:t>
      </w:r>
    </w:p>
    <w:p w:rsidR="00AD5F03" w:rsidRDefault="00AD5F03" w:rsidP="00AD5F03">
      <w:pPr>
        <w:tabs>
          <w:tab w:val="right" w:pos="9639"/>
        </w:tabs>
        <w:spacing w:after="360"/>
      </w:pPr>
      <w:r>
        <w:rPr>
          <w:u w:val="single"/>
        </w:rPr>
        <w:t>Draft revision of Recommendation ITU-R BT.1614</w:t>
      </w:r>
      <w:r>
        <w:tab/>
        <w:t>Doc. 6/408(Rev.1)</w:t>
      </w:r>
    </w:p>
    <w:p w:rsidR="00AD5F03" w:rsidRDefault="00AD5F03" w:rsidP="00AD5F03">
      <w:pPr>
        <w:tabs>
          <w:tab w:val="right" w:pos="9639"/>
        </w:tabs>
        <w:spacing w:before="360"/>
        <w:jc w:val="center"/>
        <w:rPr>
          <w:b/>
          <w:bCs/>
          <w:sz w:val="28"/>
          <w:szCs w:val="28"/>
        </w:rPr>
      </w:pPr>
      <w:r w:rsidRPr="00AD5F03">
        <w:rPr>
          <w:b/>
          <w:bCs/>
          <w:sz w:val="28"/>
          <w:szCs w:val="28"/>
        </w:rPr>
        <w:t>Video payload identification for digital television interfaces</w:t>
      </w:r>
    </w:p>
    <w:p w:rsidR="00AD5F03" w:rsidRPr="004333EA" w:rsidRDefault="00AD5F03" w:rsidP="0053659C">
      <w:pPr>
        <w:spacing w:after="480"/>
      </w:pPr>
      <w:r w:rsidRPr="004333EA">
        <w:t>This Recommendation provides a means to identify the payload of serial digital interfaces. This proposed revision provides additional information carried within the label. This revision is required in order to bring ITU Recommendations into line with other SDOs.</w:t>
      </w:r>
    </w:p>
    <w:p w:rsidR="00AD5F03" w:rsidRDefault="00AD5F03" w:rsidP="00AD5F03">
      <w:pPr>
        <w:tabs>
          <w:tab w:val="right" w:pos="9639"/>
        </w:tabs>
        <w:rPr>
          <w:rStyle w:val="RectitleChar"/>
          <w:rFonts w:ascii="Times New Roman" w:hAnsi="Times New Roman"/>
          <w:b w:val="0"/>
          <w:bCs/>
          <w:sz w:val="24"/>
          <w:szCs w:val="24"/>
        </w:rPr>
      </w:pPr>
      <w:r>
        <w:rPr>
          <w:rStyle w:val="RectitleChar"/>
          <w:rFonts w:ascii="Times New Roman" w:hAnsi="Times New Roman"/>
          <w:b w:val="0"/>
          <w:bCs/>
          <w:sz w:val="24"/>
          <w:szCs w:val="24"/>
          <w:u w:val="single"/>
        </w:rPr>
        <w:t>Draft revision of Recommendation ITU-R BT.1120-7</w:t>
      </w:r>
      <w:r>
        <w:rPr>
          <w:rStyle w:val="RectitleChar"/>
          <w:rFonts w:ascii="Times New Roman" w:hAnsi="Times New Roman"/>
          <w:b w:val="0"/>
          <w:bCs/>
          <w:sz w:val="24"/>
          <w:szCs w:val="24"/>
        </w:rPr>
        <w:tab/>
        <w:t>Doc. 6/416(Rev.1)</w:t>
      </w:r>
    </w:p>
    <w:p w:rsidR="00AD5F03" w:rsidRDefault="00AD5F03" w:rsidP="00AD5F03">
      <w:pPr>
        <w:tabs>
          <w:tab w:val="right" w:pos="9639"/>
        </w:tabs>
        <w:spacing w:before="360"/>
        <w:jc w:val="center"/>
        <w:rPr>
          <w:b/>
          <w:bCs/>
          <w:sz w:val="28"/>
          <w:szCs w:val="28"/>
        </w:rPr>
      </w:pPr>
      <w:r w:rsidRPr="00AD5F03">
        <w:rPr>
          <w:b/>
          <w:bCs/>
          <w:sz w:val="28"/>
          <w:szCs w:val="28"/>
        </w:rPr>
        <w:t>Digital interfaces for HDTV studio signals</w:t>
      </w:r>
    </w:p>
    <w:p w:rsidR="00AD5F03" w:rsidRPr="00F27D0B" w:rsidRDefault="00AD5F03" w:rsidP="00AD5F03">
      <w:r w:rsidRPr="00F27D0B">
        <w:t xml:space="preserve">Following the recent editorial revision of Recommendation ITU-R BT.709 to </w:t>
      </w:r>
      <w:r w:rsidRPr="00F27D0B">
        <w:rPr>
          <w:lang w:eastAsia="ja-JP"/>
        </w:rPr>
        <w:t xml:space="preserve">recommend the use of its </w:t>
      </w:r>
      <w:r w:rsidRPr="00F27D0B">
        <w:t xml:space="preserve">Part </w:t>
      </w:r>
      <w:r w:rsidRPr="00F27D0B">
        <w:rPr>
          <w:lang w:eastAsia="ja-JP"/>
        </w:rPr>
        <w:t>2 only</w:t>
      </w:r>
      <w:r w:rsidRPr="00F27D0B">
        <w:t>, it has become apparent that Recommendation ITU-R BT.1120 requires a complete revision. In addition, clarification was made to the definitions of the 3 Gbit/s mappings, along with constraints applied to the payload identifiers.</w:t>
      </w:r>
    </w:p>
    <w:p w:rsidR="00AD5F03" w:rsidRPr="00F27D0B" w:rsidRDefault="00AD5F03" w:rsidP="00E0523B">
      <w:r w:rsidRPr="00F27D0B">
        <w:t>These changes will not cause any interoperabili</w:t>
      </w:r>
      <w:bookmarkStart w:id="3" w:name="_GoBack"/>
      <w:bookmarkEnd w:id="3"/>
      <w:r w:rsidRPr="00F27D0B">
        <w:t xml:space="preserve">ty issues with current implementations of 1 920 × 1 080 systems and </w:t>
      </w:r>
      <w:r w:rsidR="00E0523B">
        <w:t xml:space="preserve">they </w:t>
      </w:r>
      <w:r w:rsidRPr="00F27D0B">
        <w:t xml:space="preserve">correct many minor errors. </w:t>
      </w:r>
    </w:p>
    <w:p w:rsidR="00A1591E" w:rsidRPr="0041303A" w:rsidRDefault="00A1591E">
      <w:pPr>
        <w:tabs>
          <w:tab w:val="clear" w:pos="794"/>
          <w:tab w:val="clear" w:pos="1191"/>
          <w:tab w:val="clear" w:pos="1588"/>
          <w:tab w:val="clear" w:pos="1985"/>
        </w:tabs>
        <w:overflowPunct/>
        <w:autoSpaceDE/>
        <w:autoSpaceDN/>
        <w:adjustRightInd/>
        <w:spacing w:before="0"/>
        <w:textAlignment w:val="auto"/>
        <w:rPr>
          <w:u w:val="single"/>
          <w:lang w:val="en-US"/>
        </w:rPr>
      </w:pPr>
    </w:p>
    <w:p w:rsidR="00EE5123" w:rsidRPr="0041303A" w:rsidRDefault="00EE5123">
      <w:pPr>
        <w:tabs>
          <w:tab w:val="clear" w:pos="794"/>
          <w:tab w:val="clear" w:pos="1191"/>
          <w:tab w:val="clear" w:pos="1588"/>
          <w:tab w:val="clear" w:pos="1985"/>
        </w:tabs>
        <w:overflowPunct/>
        <w:autoSpaceDE/>
        <w:autoSpaceDN/>
        <w:adjustRightInd/>
        <w:spacing w:before="0"/>
        <w:textAlignment w:val="auto"/>
        <w:rPr>
          <w:b/>
          <w:bCs/>
          <w:sz w:val="28"/>
          <w:szCs w:val="28"/>
          <w:lang w:val="en-US"/>
        </w:rPr>
      </w:pPr>
      <w:r w:rsidRPr="0041303A">
        <w:rPr>
          <w:b/>
          <w:bCs/>
          <w:sz w:val="28"/>
          <w:szCs w:val="28"/>
          <w:lang w:val="en-US"/>
        </w:rPr>
        <w:br w:type="page"/>
      </w:r>
    </w:p>
    <w:p w:rsidR="00FD198E" w:rsidRDefault="002065EA">
      <w:pPr>
        <w:jc w:val="center"/>
        <w:rPr>
          <w:b/>
          <w:bCs/>
          <w:sz w:val="28"/>
          <w:szCs w:val="28"/>
        </w:rPr>
      </w:pPr>
      <w:r w:rsidRPr="002065EA">
        <w:rPr>
          <w:b/>
          <w:bCs/>
          <w:sz w:val="28"/>
          <w:szCs w:val="28"/>
        </w:rPr>
        <w:lastRenderedPageBreak/>
        <w:t>Annex 2</w:t>
      </w:r>
    </w:p>
    <w:p w:rsidR="00FD198E" w:rsidRDefault="00847894" w:rsidP="00AD5F03">
      <w:pPr>
        <w:spacing w:before="360"/>
        <w:jc w:val="center"/>
      </w:pPr>
      <w:r>
        <w:t>(Source:</w:t>
      </w:r>
      <w:r w:rsidR="002E1489">
        <w:t xml:space="preserve"> </w:t>
      </w:r>
      <w:r w:rsidR="00AD5F03">
        <w:t>Documents 6/399 and 6/401)</w:t>
      </w:r>
    </w:p>
    <w:p w:rsidR="002D5B3D" w:rsidRDefault="00847894" w:rsidP="005B0811">
      <w:pPr>
        <w:spacing w:before="360"/>
        <w:jc w:val="center"/>
        <w:rPr>
          <w:b/>
          <w:bCs/>
          <w:sz w:val="28"/>
          <w:szCs w:val="28"/>
        </w:rPr>
      </w:pPr>
      <w:r>
        <w:rPr>
          <w:b/>
          <w:bCs/>
          <w:sz w:val="28"/>
          <w:szCs w:val="28"/>
        </w:rPr>
        <w:t>Recommendations proposed for suppression</w:t>
      </w:r>
    </w:p>
    <w:p w:rsidR="005B0811" w:rsidRDefault="005B0811" w:rsidP="0011452C"/>
    <w:tbl>
      <w:tblPr>
        <w:tblW w:w="9463"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789"/>
        <w:gridCol w:w="9"/>
        <w:gridCol w:w="6653"/>
      </w:tblGrid>
      <w:tr w:rsidR="002E1489" w:rsidRPr="002E1489" w:rsidTr="00C87DDE">
        <w:trPr>
          <w:gridBefore w:val="1"/>
          <w:wBefore w:w="12" w:type="dxa"/>
          <w:jc w:val="center"/>
        </w:trPr>
        <w:tc>
          <w:tcPr>
            <w:tcW w:w="2798" w:type="dxa"/>
            <w:gridSpan w:val="2"/>
          </w:tcPr>
          <w:p w:rsidR="002E1489" w:rsidRPr="002E1489" w:rsidRDefault="002E1489" w:rsidP="002E1489">
            <w:pPr>
              <w:pStyle w:val="Tablehead"/>
              <w:rPr>
                <w:sz w:val="20"/>
              </w:rPr>
            </w:pPr>
            <w:r w:rsidRPr="002E1489">
              <w:rPr>
                <w:sz w:val="20"/>
              </w:rPr>
              <w:t>Recommendation</w:t>
            </w:r>
            <w:r w:rsidRPr="002E1489">
              <w:rPr>
                <w:sz w:val="20"/>
              </w:rPr>
              <w:br/>
              <w:t>ITU-R</w:t>
            </w:r>
          </w:p>
        </w:tc>
        <w:tc>
          <w:tcPr>
            <w:tcW w:w="6653" w:type="dxa"/>
          </w:tcPr>
          <w:p w:rsidR="002E1489" w:rsidRPr="002E1489" w:rsidRDefault="002E1489" w:rsidP="002E1489">
            <w:pPr>
              <w:pStyle w:val="Tablehead"/>
              <w:rPr>
                <w:sz w:val="20"/>
              </w:rPr>
            </w:pPr>
            <w:r w:rsidRPr="002E1489">
              <w:rPr>
                <w:bCs/>
                <w:sz w:val="20"/>
              </w:rPr>
              <w:t>Title</w:t>
            </w:r>
          </w:p>
        </w:tc>
      </w:tr>
      <w:tr w:rsidR="00801027" w:rsidRPr="00C87DDE" w:rsidTr="00C87DDE">
        <w:trPr>
          <w:gridBefore w:val="1"/>
          <w:wBefore w:w="12" w:type="dxa"/>
          <w:jc w:val="center"/>
        </w:trPr>
        <w:tc>
          <w:tcPr>
            <w:tcW w:w="2798" w:type="dxa"/>
            <w:gridSpan w:val="2"/>
          </w:tcPr>
          <w:p w:rsidR="00801027" w:rsidRPr="00B3730E" w:rsidRDefault="00801027" w:rsidP="00801027">
            <w:pPr>
              <w:pStyle w:val="Tabletext"/>
              <w:jc w:val="center"/>
              <w:rPr>
                <w:sz w:val="20"/>
              </w:rPr>
            </w:pPr>
            <w:r w:rsidRPr="00B3730E">
              <w:rPr>
                <w:sz w:val="20"/>
              </w:rPr>
              <w:t>BR.408</w:t>
            </w:r>
          </w:p>
        </w:tc>
        <w:tc>
          <w:tcPr>
            <w:tcW w:w="6653" w:type="dxa"/>
          </w:tcPr>
          <w:p w:rsidR="00801027" w:rsidRPr="00C87DDE" w:rsidRDefault="00801027" w:rsidP="00801027">
            <w:pPr>
              <w:pStyle w:val="Tabletext"/>
              <w:rPr>
                <w:sz w:val="20"/>
              </w:rPr>
            </w:pPr>
            <w:r w:rsidRPr="00C87DDE">
              <w:rPr>
                <w:sz w:val="20"/>
              </w:rPr>
              <w:t>International exchange of sound programmes recorded in analogue form </w:t>
            </w:r>
          </w:p>
        </w:tc>
      </w:tr>
      <w:tr w:rsidR="00801027" w:rsidRPr="00C87DDE" w:rsidTr="00C87DDE">
        <w:trPr>
          <w:gridBefore w:val="1"/>
          <w:wBefore w:w="12" w:type="dxa"/>
          <w:jc w:val="center"/>
        </w:trPr>
        <w:tc>
          <w:tcPr>
            <w:tcW w:w="2798" w:type="dxa"/>
            <w:gridSpan w:val="2"/>
          </w:tcPr>
          <w:p w:rsidR="00801027" w:rsidRPr="00B3730E" w:rsidRDefault="00801027" w:rsidP="00801027">
            <w:pPr>
              <w:pStyle w:val="Tabletext"/>
              <w:jc w:val="center"/>
              <w:rPr>
                <w:sz w:val="20"/>
              </w:rPr>
            </w:pPr>
            <w:r w:rsidRPr="00B3730E">
              <w:rPr>
                <w:sz w:val="20"/>
              </w:rPr>
              <w:t>BR.469</w:t>
            </w:r>
          </w:p>
        </w:tc>
        <w:tc>
          <w:tcPr>
            <w:tcW w:w="6653" w:type="dxa"/>
          </w:tcPr>
          <w:p w:rsidR="00801027" w:rsidRPr="00C87DDE" w:rsidRDefault="00801027" w:rsidP="00801027">
            <w:pPr>
              <w:pStyle w:val="Tabletext"/>
              <w:rPr>
                <w:sz w:val="20"/>
              </w:rPr>
            </w:pPr>
            <w:r w:rsidRPr="00C87DDE">
              <w:rPr>
                <w:sz w:val="20"/>
              </w:rPr>
              <w:t xml:space="preserve">Analogue composite television tape recording   </w:t>
            </w:r>
          </w:p>
        </w:tc>
      </w:tr>
      <w:tr w:rsidR="00801027" w:rsidRPr="00C87DDE" w:rsidTr="00C87DDE">
        <w:trPr>
          <w:gridBefore w:val="1"/>
          <w:wBefore w:w="12" w:type="dxa"/>
          <w:jc w:val="center"/>
        </w:trPr>
        <w:tc>
          <w:tcPr>
            <w:tcW w:w="2798" w:type="dxa"/>
            <w:gridSpan w:val="2"/>
          </w:tcPr>
          <w:p w:rsidR="00801027" w:rsidRPr="00B3730E" w:rsidRDefault="00801027" w:rsidP="00801027">
            <w:pPr>
              <w:pStyle w:val="Tabletext"/>
              <w:jc w:val="center"/>
              <w:rPr>
                <w:sz w:val="20"/>
              </w:rPr>
            </w:pPr>
            <w:r w:rsidRPr="00B3730E">
              <w:rPr>
                <w:sz w:val="20"/>
              </w:rPr>
              <w:t>BR.602</w:t>
            </w:r>
          </w:p>
        </w:tc>
        <w:tc>
          <w:tcPr>
            <w:tcW w:w="6653" w:type="dxa"/>
          </w:tcPr>
          <w:p w:rsidR="00801027" w:rsidRPr="00C87DDE" w:rsidRDefault="00801027" w:rsidP="00801027">
            <w:pPr>
              <w:pStyle w:val="Tabletext"/>
              <w:rPr>
                <w:sz w:val="20"/>
              </w:rPr>
            </w:pPr>
            <w:r w:rsidRPr="00C87DDE">
              <w:rPr>
                <w:sz w:val="20"/>
              </w:rPr>
              <w:t xml:space="preserve">Exchange of standard definition television recordings for programme content evaluation   </w:t>
            </w:r>
          </w:p>
        </w:tc>
      </w:tr>
      <w:tr w:rsidR="00801027" w:rsidRPr="00C87DDE" w:rsidTr="00C87DDE">
        <w:trPr>
          <w:gridBefore w:val="1"/>
          <w:wBefore w:w="12" w:type="dxa"/>
          <w:jc w:val="center"/>
        </w:trPr>
        <w:tc>
          <w:tcPr>
            <w:tcW w:w="2798" w:type="dxa"/>
            <w:gridSpan w:val="2"/>
          </w:tcPr>
          <w:p w:rsidR="00801027" w:rsidRPr="00B3730E" w:rsidRDefault="00801027" w:rsidP="00801027">
            <w:pPr>
              <w:pStyle w:val="Tabletext"/>
              <w:jc w:val="center"/>
              <w:rPr>
                <w:sz w:val="20"/>
              </w:rPr>
            </w:pPr>
            <w:r w:rsidRPr="00B3730E">
              <w:rPr>
                <w:sz w:val="20"/>
              </w:rPr>
              <w:t>BR.649</w:t>
            </w:r>
          </w:p>
        </w:tc>
        <w:tc>
          <w:tcPr>
            <w:tcW w:w="6653" w:type="dxa"/>
          </w:tcPr>
          <w:p w:rsidR="00801027" w:rsidRPr="00C87DDE" w:rsidRDefault="00801027" w:rsidP="00801027">
            <w:pPr>
              <w:pStyle w:val="Tabletext"/>
              <w:rPr>
                <w:sz w:val="20"/>
              </w:rPr>
            </w:pPr>
            <w:r w:rsidRPr="00C87DDE">
              <w:rPr>
                <w:sz w:val="20"/>
              </w:rPr>
              <w:t>Measuring methods for analogue audio tape recordings</w:t>
            </w:r>
          </w:p>
        </w:tc>
      </w:tr>
      <w:tr w:rsidR="00801027" w:rsidRPr="00C87DDE" w:rsidTr="00C87DDE">
        <w:trPr>
          <w:gridBefore w:val="1"/>
          <w:wBefore w:w="12" w:type="dxa"/>
          <w:jc w:val="center"/>
        </w:trPr>
        <w:tc>
          <w:tcPr>
            <w:tcW w:w="2798" w:type="dxa"/>
            <w:gridSpan w:val="2"/>
          </w:tcPr>
          <w:p w:rsidR="00801027" w:rsidRPr="00B3730E" w:rsidRDefault="00801027" w:rsidP="00801027">
            <w:pPr>
              <w:pStyle w:val="Tabletext"/>
              <w:jc w:val="center"/>
              <w:rPr>
                <w:sz w:val="20"/>
              </w:rPr>
            </w:pPr>
            <w:r w:rsidRPr="00B3730E">
              <w:rPr>
                <w:sz w:val="20"/>
              </w:rPr>
              <w:t>BR.715</w:t>
            </w:r>
          </w:p>
        </w:tc>
        <w:tc>
          <w:tcPr>
            <w:tcW w:w="6653" w:type="dxa"/>
          </w:tcPr>
          <w:p w:rsidR="00801027" w:rsidRPr="00C87DDE" w:rsidRDefault="00801027" w:rsidP="00801027">
            <w:pPr>
              <w:pStyle w:val="Tabletext"/>
              <w:rPr>
                <w:sz w:val="20"/>
              </w:rPr>
            </w:pPr>
            <w:r w:rsidRPr="00C87DDE">
              <w:rPr>
                <w:sz w:val="20"/>
              </w:rPr>
              <w:t xml:space="preserve">International exchange of analogue electronic news gathering recordings </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BR.777</w:t>
            </w:r>
          </w:p>
        </w:tc>
        <w:tc>
          <w:tcPr>
            <w:tcW w:w="6653" w:type="dxa"/>
          </w:tcPr>
          <w:p w:rsidR="00801027" w:rsidRPr="00C87DDE" w:rsidRDefault="00801027" w:rsidP="00801027">
            <w:pPr>
              <w:pStyle w:val="Tabletext"/>
              <w:rPr>
                <w:sz w:val="20"/>
              </w:rPr>
            </w:pPr>
            <w:r w:rsidRPr="00C87DDE">
              <w:rPr>
                <w:sz w:val="20"/>
              </w:rPr>
              <w:t>International exchange of two-channel digital audio recordings</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BR.778</w:t>
            </w:r>
          </w:p>
        </w:tc>
        <w:tc>
          <w:tcPr>
            <w:tcW w:w="6653" w:type="dxa"/>
          </w:tcPr>
          <w:p w:rsidR="00801027" w:rsidRPr="00C87DDE" w:rsidRDefault="00801027" w:rsidP="00801027">
            <w:pPr>
              <w:pStyle w:val="Tabletext"/>
              <w:rPr>
                <w:sz w:val="20"/>
              </w:rPr>
            </w:pPr>
            <w:r w:rsidRPr="00C87DDE">
              <w:rPr>
                <w:sz w:val="20"/>
              </w:rPr>
              <w:t xml:space="preserve">Analogue component television tape recording. Standards for the international exchange of television programmes on magnetic tapes   </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BR.1215</w:t>
            </w:r>
          </w:p>
        </w:tc>
        <w:tc>
          <w:tcPr>
            <w:tcW w:w="6653" w:type="dxa"/>
          </w:tcPr>
          <w:p w:rsidR="00801027" w:rsidRPr="00C87DDE" w:rsidRDefault="00801027" w:rsidP="00801027">
            <w:pPr>
              <w:pStyle w:val="Tabletext"/>
              <w:rPr>
                <w:sz w:val="20"/>
              </w:rPr>
            </w:pPr>
            <w:r w:rsidRPr="00C87DDE">
              <w:rPr>
                <w:sz w:val="20"/>
              </w:rPr>
              <w:t>Handling and storage of television and sound recordings on magnetic tape  </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BR.1216</w:t>
            </w:r>
          </w:p>
        </w:tc>
        <w:tc>
          <w:tcPr>
            <w:tcW w:w="6653" w:type="dxa"/>
          </w:tcPr>
          <w:p w:rsidR="00801027" w:rsidRPr="00C87DDE" w:rsidRDefault="00801027" w:rsidP="00801027">
            <w:pPr>
              <w:pStyle w:val="Tabletext"/>
              <w:rPr>
                <w:sz w:val="20"/>
              </w:rPr>
            </w:pPr>
            <w:r w:rsidRPr="00C87DDE">
              <w:rPr>
                <w:sz w:val="20"/>
              </w:rPr>
              <w:t>Recording of television or sound programmes on magnetic tape in the case when several programmes are intended for broadcasting in the same digital multiplex-</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BR.1218</w:t>
            </w:r>
          </w:p>
        </w:tc>
        <w:tc>
          <w:tcPr>
            <w:tcW w:w="6653" w:type="dxa"/>
          </w:tcPr>
          <w:p w:rsidR="00801027" w:rsidRPr="00C87DDE" w:rsidRDefault="00801027" w:rsidP="00801027">
            <w:pPr>
              <w:pStyle w:val="Tabletext"/>
              <w:rPr>
                <w:sz w:val="20"/>
              </w:rPr>
            </w:pPr>
            <w:r w:rsidRPr="00C87DDE">
              <w:rPr>
                <w:sz w:val="20"/>
              </w:rPr>
              <w:t>Recording of ancillary data on digital recorders for consumer use  </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BR.1219</w:t>
            </w:r>
          </w:p>
        </w:tc>
        <w:tc>
          <w:tcPr>
            <w:tcW w:w="6653" w:type="dxa"/>
          </w:tcPr>
          <w:p w:rsidR="00801027" w:rsidRPr="00C87DDE" w:rsidRDefault="00801027" w:rsidP="00801027">
            <w:pPr>
              <w:pStyle w:val="Tabletext"/>
              <w:rPr>
                <w:sz w:val="20"/>
              </w:rPr>
            </w:pPr>
            <w:r w:rsidRPr="00C87DDE">
              <w:rPr>
                <w:sz w:val="20"/>
              </w:rPr>
              <w:t>Handling and storage of cinematographic film recording</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BR.1220</w:t>
            </w:r>
          </w:p>
        </w:tc>
        <w:tc>
          <w:tcPr>
            <w:tcW w:w="6653" w:type="dxa"/>
          </w:tcPr>
          <w:p w:rsidR="00801027" w:rsidRPr="00C87DDE" w:rsidRDefault="00801027" w:rsidP="00801027">
            <w:pPr>
              <w:pStyle w:val="Tabletext"/>
              <w:rPr>
                <w:sz w:val="20"/>
              </w:rPr>
            </w:pPr>
            <w:r w:rsidRPr="00C87DDE">
              <w:rPr>
                <w:sz w:val="20"/>
              </w:rPr>
              <w:t>Requirements for the generation, recording and presentation of high definition television programmes intended for release in the "electronic cinema"</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BR.1287</w:t>
            </w:r>
          </w:p>
        </w:tc>
        <w:tc>
          <w:tcPr>
            <w:tcW w:w="6653" w:type="dxa"/>
          </w:tcPr>
          <w:p w:rsidR="00801027" w:rsidRPr="00C87DDE" w:rsidRDefault="00801027" w:rsidP="00801027">
            <w:pPr>
              <w:pStyle w:val="Tabletext"/>
              <w:rPr>
                <w:sz w:val="20"/>
              </w:rPr>
            </w:pPr>
            <w:r w:rsidRPr="00C87DDE">
              <w:rPr>
                <w:sz w:val="20"/>
              </w:rPr>
              <w:t>Broadcasting of programmes on film with multichannel sound</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BR.1290</w:t>
            </w:r>
          </w:p>
        </w:tc>
        <w:tc>
          <w:tcPr>
            <w:tcW w:w="6653" w:type="dxa"/>
          </w:tcPr>
          <w:p w:rsidR="00801027" w:rsidRPr="00C87DDE" w:rsidDel="008C6CA4" w:rsidRDefault="00801027" w:rsidP="00801027">
            <w:pPr>
              <w:pStyle w:val="Tabletext"/>
              <w:rPr>
                <w:sz w:val="20"/>
              </w:rPr>
            </w:pPr>
            <w:r w:rsidRPr="00C87DDE">
              <w:rPr>
                <w:sz w:val="20"/>
              </w:rPr>
              <w:t>Use of television disk recording in broadcasters' operations</w:t>
            </w:r>
          </w:p>
        </w:tc>
      </w:tr>
      <w:tr w:rsidR="00801027" w:rsidRPr="00C87DDE" w:rsidTr="00C87DDE">
        <w:trPr>
          <w:jc w:val="center"/>
        </w:trPr>
        <w:tc>
          <w:tcPr>
            <w:tcW w:w="2810" w:type="dxa"/>
            <w:gridSpan w:val="3"/>
          </w:tcPr>
          <w:p w:rsidR="00801027" w:rsidRPr="00B3730E" w:rsidDel="008C6CA4" w:rsidRDefault="00801027" w:rsidP="00801027">
            <w:pPr>
              <w:pStyle w:val="Tabletext"/>
              <w:jc w:val="center"/>
              <w:rPr>
                <w:sz w:val="20"/>
              </w:rPr>
            </w:pPr>
            <w:r w:rsidRPr="00B3730E">
              <w:rPr>
                <w:sz w:val="20"/>
              </w:rPr>
              <w:t>BR.1292</w:t>
            </w:r>
          </w:p>
        </w:tc>
        <w:tc>
          <w:tcPr>
            <w:tcW w:w="6653" w:type="dxa"/>
          </w:tcPr>
          <w:p w:rsidR="00801027" w:rsidRPr="00C87DDE" w:rsidDel="008C6CA4" w:rsidRDefault="00801027" w:rsidP="00241FE7">
            <w:pPr>
              <w:pStyle w:val="Tabletext"/>
              <w:rPr>
                <w:sz w:val="20"/>
                <w:u w:val="single"/>
              </w:rPr>
            </w:pPr>
            <w:r w:rsidRPr="00241FE7">
              <w:rPr>
                <w:sz w:val="20"/>
              </w:rPr>
              <w:t>Engineering guidelines for video recording in standard definition television production and post-production chains</w:t>
            </w:r>
          </w:p>
        </w:tc>
      </w:tr>
      <w:tr w:rsidR="00801027" w:rsidRPr="00C87DDE" w:rsidTr="00C87DDE">
        <w:trPr>
          <w:jc w:val="center"/>
        </w:trPr>
        <w:tc>
          <w:tcPr>
            <w:tcW w:w="2810" w:type="dxa"/>
            <w:gridSpan w:val="3"/>
          </w:tcPr>
          <w:p w:rsidR="00801027" w:rsidRPr="00B3730E" w:rsidRDefault="00801027" w:rsidP="00801027">
            <w:pPr>
              <w:pStyle w:val="Tabletext"/>
              <w:jc w:val="center"/>
              <w:rPr>
                <w:sz w:val="20"/>
              </w:rPr>
            </w:pPr>
            <w:r w:rsidRPr="00B3730E">
              <w:rPr>
                <w:sz w:val="20"/>
              </w:rPr>
              <w:t>BR.1355</w:t>
            </w:r>
          </w:p>
        </w:tc>
        <w:tc>
          <w:tcPr>
            <w:tcW w:w="6653" w:type="dxa"/>
          </w:tcPr>
          <w:p w:rsidR="00801027" w:rsidRPr="00C87DDE" w:rsidRDefault="00801027" w:rsidP="00801027">
            <w:pPr>
              <w:pStyle w:val="Tabletext"/>
              <w:rPr>
                <w:sz w:val="20"/>
              </w:rPr>
            </w:pPr>
            <w:r w:rsidRPr="00C87DDE">
              <w:rPr>
                <w:sz w:val="20"/>
              </w:rPr>
              <w:t xml:space="preserve">Viewing conditions for the assessment of telecine transfers of film images on a television display   </w:t>
            </w:r>
          </w:p>
        </w:tc>
      </w:tr>
      <w:tr w:rsidR="00C87DDE" w:rsidRPr="00C87DDE" w:rsidTr="00C87DDE">
        <w:trPr>
          <w:jc w:val="center"/>
        </w:trPr>
        <w:tc>
          <w:tcPr>
            <w:tcW w:w="2801" w:type="dxa"/>
            <w:gridSpan w:val="2"/>
          </w:tcPr>
          <w:p w:rsidR="00C87DDE" w:rsidRPr="00B3730E" w:rsidRDefault="00C87DDE" w:rsidP="00801027">
            <w:pPr>
              <w:pStyle w:val="Tabletext"/>
              <w:jc w:val="center"/>
              <w:rPr>
                <w:sz w:val="20"/>
              </w:rPr>
            </w:pPr>
            <w:r w:rsidRPr="00B3730E">
              <w:rPr>
                <w:sz w:val="20"/>
              </w:rPr>
              <w:t>BR.1376</w:t>
            </w:r>
          </w:p>
        </w:tc>
        <w:tc>
          <w:tcPr>
            <w:tcW w:w="6662" w:type="dxa"/>
            <w:gridSpan w:val="2"/>
          </w:tcPr>
          <w:p w:rsidR="00C87DDE" w:rsidRPr="00B3730E" w:rsidRDefault="00C87DDE" w:rsidP="00801027">
            <w:pPr>
              <w:pStyle w:val="Tabletext"/>
              <w:rPr>
                <w:sz w:val="20"/>
              </w:rPr>
            </w:pPr>
            <w:r w:rsidRPr="00B3730E">
              <w:rPr>
                <w:sz w:val="20"/>
              </w:rPr>
              <w:t>Compression families for use in recording and networked standard definition television production  </w:t>
            </w:r>
          </w:p>
        </w:tc>
      </w:tr>
      <w:tr w:rsidR="00C87DDE" w:rsidRPr="00C87DDE" w:rsidTr="00C87DDE">
        <w:trPr>
          <w:jc w:val="center"/>
        </w:trPr>
        <w:tc>
          <w:tcPr>
            <w:tcW w:w="2801" w:type="dxa"/>
            <w:gridSpan w:val="2"/>
          </w:tcPr>
          <w:p w:rsidR="00C87DDE" w:rsidRPr="00B3730E" w:rsidRDefault="00C87DDE" w:rsidP="00801027">
            <w:pPr>
              <w:pStyle w:val="Tabletext"/>
              <w:jc w:val="center"/>
              <w:rPr>
                <w:sz w:val="20"/>
              </w:rPr>
            </w:pPr>
            <w:r w:rsidRPr="00B3730E">
              <w:rPr>
                <w:sz w:val="20"/>
              </w:rPr>
              <w:t>BR.1422</w:t>
            </w:r>
          </w:p>
        </w:tc>
        <w:tc>
          <w:tcPr>
            <w:tcW w:w="6662" w:type="dxa"/>
            <w:gridSpan w:val="2"/>
          </w:tcPr>
          <w:p w:rsidR="00C87DDE" w:rsidRPr="00B3730E" w:rsidRDefault="00C87DDE" w:rsidP="00801027">
            <w:pPr>
              <w:pStyle w:val="Tabletext"/>
              <w:rPr>
                <w:sz w:val="20"/>
              </w:rPr>
            </w:pPr>
            <w:r w:rsidRPr="00B3730E">
              <w:rPr>
                <w:sz w:val="20"/>
              </w:rPr>
              <w:t>Operational practices for television use of film soundtracks encoded with noise reduction and matrix surround</w:t>
            </w:r>
          </w:p>
        </w:tc>
      </w:tr>
      <w:tr w:rsidR="00C87DDE" w:rsidRPr="002B1EC9" w:rsidTr="002E1489">
        <w:trPr>
          <w:jc w:val="center"/>
        </w:trPr>
        <w:tc>
          <w:tcPr>
            <w:tcW w:w="2801" w:type="dxa"/>
            <w:gridSpan w:val="2"/>
          </w:tcPr>
          <w:p w:rsidR="00C87DDE" w:rsidRPr="00B3730E" w:rsidRDefault="00C87DDE" w:rsidP="00801027">
            <w:pPr>
              <w:pStyle w:val="Tabletext"/>
              <w:jc w:val="center"/>
              <w:rPr>
                <w:sz w:val="20"/>
              </w:rPr>
            </w:pPr>
            <w:r w:rsidRPr="00B3730E">
              <w:rPr>
                <w:sz w:val="20"/>
              </w:rPr>
              <w:t>BR.1440</w:t>
            </w:r>
          </w:p>
        </w:tc>
        <w:tc>
          <w:tcPr>
            <w:tcW w:w="6662" w:type="dxa"/>
            <w:gridSpan w:val="2"/>
          </w:tcPr>
          <w:p w:rsidR="00C87DDE" w:rsidRPr="00B3730E" w:rsidRDefault="00C87DDE" w:rsidP="00801027">
            <w:pPr>
              <w:pStyle w:val="Tabletext"/>
              <w:rPr>
                <w:sz w:val="20"/>
              </w:rPr>
            </w:pPr>
            <w:r w:rsidRPr="00B3730E">
              <w:rPr>
                <w:sz w:val="20"/>
              </w:rPr>
              <w:t>16:9 video images transferred to 35 mm film for optical projection</w:t>
            </w:r>
          </w:p>
        </w:tc>
      </w:tr>
      <w:tr w:rsidR="00C87DDE" w:rsidRPr="002B1EC9" w:rsidTr="002E1489">
        <w:trPr>
          <w:jc w:val="center"/>
        </w:trPr>
        <w:tc>
          <w:tcPr>
            <w:tcW w:w="2801" w:type="dxa"/>
            <w:gridSpan w:val="2"/>
          </w:tcPr>
          <w:p w:rsidR="00C87DDE" w:rsidRPr="00B3730E" w:rsidRDefault="00C87DDE" w:rsidP="00801027">
            <w:pPr>
              <w:pStyle w:val="Tabletext"/>
              <w:jc w:val="center"/>
              <w:rPr>
                <w:sz w:val="20"/>
              </w:rPr>
            </w:pPr>
            <w:r w:rsidRPr="00B3730E">
              <w:rPr>
                <w:sz w:val="20"/>
              </w:rPr>
              <w:t>BR.1442</w:t>
            </w:r>
          </w:p>
        </w:tc>
        <w:tc>
          <w:tcPr>
            <w:tcW w:w="6662" w:type="dxa"/>
            <w:gridSpan w:val="2"/>
          </w:tcPr>
          <w:p w:rsidR="00C87DDE" w:rsidRPr="00B3730E" w:rsidRDefault="00C87DDE" w:rsidP="00801027">
            <w:pPr>
              <w:pStyle w:val="Tabletext"/>
              <w:rPr>
                <w:sz w:val="20"/>
              </w:rPr>
            </w:pPr>
            <w:r w:rsidRPr="00B3730E">
              <w:rPr>
                <w:sz w:val="20"/>
              </w:rPr>
              <w:t>User's requirements for digital hdtv tape cassette recorders</w:t>
            </w:r>
          </w:p>
        </w:tc>
      </w:tr>
      <w:tr w:rsidR="00C87DDE" w:rsidRPr="002B1EC9" w:rsidTr="002E1489">
        <w:tblPrEx>
          <w:tblLook w:val="04A0" w:firstRow="1" w:lastRow="0" w:firstColumn="1" w:lastColumn="0" w:noHBand="0" w:noVBand="1"/>
        </w:tblPrEx>
        <w:trPr>
          <w:jc w:val="center"/>
        </w:trPr>
        <w:tc>
          <w:tcPr>
            <w:tcW w:w="2801" w:type="dxa"/>
            <w:gridSpan w:val="2"/>
          </w:tcPr>
          <w:p w:rsidR="00C87DDE" w:rsidRPr="00B3730E" w:rsidRDefault="00C87DDE" w:rsidP="00801027">
            <w:pPr>
              <w:pStyle w:val="Tabletext"/>
              <w:jc w:val="center"/>
              <w:rPr>
                <w:sz w:val="20"/>
              </w:rPr>
            </w:pPr>
            <w:r w:rsidRPr="00B3730E">
              <w:rPr>
                <w:sz w:val="20"/>
              </w:rPr>
              <w:t>BR.1575</w:t>
            </w:r>
          </w:p>
        </w:tc>
        <w:tc>
          <w:tcPr>
            <w:tcW w:w="6662" w:type="dxa"/>
            <w:gridSpan w:val="2"/>
          </w:tcPr>
          <w:p w:rsidR="00C87DDE" w:rsidRPr="00B3730E" w:rsidRDefault="00C87DDE" w:rsidP="00801027">
            <w:pPr>
              <w:pStyle w:val="Tabletext"/>
              <w:rPr>
                <w:sz w:val="20"/>
              </w:rPr>
            </w:pPr>
            <w:r w:rsidRPr="00B3730E">
              <w:rPr>
                <w:sz w:val="20"/>
              </w:rPr>
              <w:t>Guide to the selection of digital video tape recording formats for studio production in the standard definition television (sdtv) environment based on production requirements</w:t>
            </w:r>
          </w:p>
        </w:tc>
      </w:tr>
    </w:tbl>
    <w:p w:rsidR="002E1489" w:rsidRDefault="002E1489" w:rsidP="00801027">
      <w:pPr>
        <w:pStyle w:val="Heading2"/>
      </w:pPr>
      <w:r>
        <w:br w:type="page"/>
      </w:r>
    </w:p>
    <w:p w:rsidR="00801027" w:rsidRPr="002B1EC9" w:rsidRDefault="00801027" w:rsidP="00801027">
      <w:pPr>
        <w:pStyle w:val="Heading2"/>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663"/>
      </w:tblGrid>
      <w:tr w:rsidR="00C87DDE" w:rsidRPr="00C87DDE" w:rsidTr="00B3730E">
        <w:trPr>
          <w:jc w:val="center"/>
        </w:trPr>
        <w:tc>
          <w:tcPr>
            <w:tcW w:w="2800" w:type="dxa"/>
            <w:tcBorders>
              <w:top w:val="single" w:sz="4" w:space="0" w:color="000000"/>
            </w:tcBorders>
          </w:tcPr>
          <w:p w:rsidR="00C87DDE" w:rsidRPr="00C87DDE" w:rsidRDefault="00156397" w:rsidP="00801027">
            <w:pPr>
              <w:pStyle w:val="Tablehead"/>
              <w:rPr>
                <w:color w:val="000000" w:themeColor="text1"/>
                <w:sz w:val="20"/>
              </w:rPr>
            </w:pPr>
            <w:r w:rsidRPr="002E1489">
              <w:rPr>
                <w:sz w:val="20"/>
              </w:rPr>
              <w:t>Recommendation</w:t>
            </w:r>
            <w:r w:rsidRPr="002E1489">
              <w:rPr>
                <w:sz w:val="20"/>
              </w:rPr>
              <w:br/>
              <w:t>ITU-R</w:t>
            </w:r>
          </w:p>
        </w:tc>
        <w:tc>
          <w:tcPr>
            <w:tcW w:w="6663" w:type="dxa"/>
            <w:tcBorders>
              <w:top w:val="single" w:sz="4" w:space="0" w:color="000000"/>
            </w:tcBorders>
          </w:tcPr>
          <w:p w:rsidR="00C87DDE" w:rsidRPr="00C87DDE" w:rsidRDefault="00C87DDE" w:rsidP="00801027">
            <w:pPr>
              <w:pStyle w:val="Tablehead"/>
              <w:rPr>
                <w:sz w:val="20"/>
              </w:rPr>
            </w:pPr>
            <w:r w:rsidRPr="00C87DDE">
              <w:rPr>
                <w:sz w:val="20"/>
              </w:rPr>
              <w:t>Title</w:t>
            </w:r>
          </w:p>
        </w:tc>
      </w:tr>
      <w:tr w:rsidR="00B3730E" w:rsidRPr="00C87DDE" w:rsidTr="00B3730E">
        <w:tblPrEx>
          <w:tblLook w:val="0000" w:firstRow="0" w:lastRow="0" w:firstColumn="0" w:lastColumn="0" w:noHBand="0" w:noVBand="0"/>
        </w:tblPrEx>
        <w:trPr>
          <w:jc w:val="center"/>
        </w:trPr>
        <w:tc>
          <w:tcPr>
            <w:tcW w:w="2800" w:type="dxa"/>
          </w:tcPr>
          <w:p w:rsidR="00B3730E" w:rsidRPr="00B3730E" w:rsidRDefault="00B3730E" w:rsidP="0053659C">
            <w:pPr>
              <w:pStyle w:val="Tabletext"/>
              <w:jc w:val="center"/>
              <w:rPr>
                <w:sz w:val="20"/>
              </w:rPr>
            </w:pPr>
            <w:r w:rsidRPr="00B3730E">
              <w:rPr>
                <w:sz w:val="20"/>
              </w:rPr>
              <w:t>BS.640</w:t>
            </w:r>
          </w:p>
        </w:tc>
        <w:tc>
          <w:tcPr>
            <w:tcW w:w="6663" w:type="dxa"/>
          </w:tcPr>
          <w:p w:rsidR="00B3730E" w:rsidRPr="00C87DDE" w:rsidRDefault="00B3730E" w:rsidP="0053659C">
            <w:pPr>
              <w:pStyle w:val="Tabletext"/>
              <w:rPr>
                <w:sz w:val="20"/>
              </w:rPr>
            </w:pPr>
            <w:r w:rsidRPr="00C87DDE">
              <w:rPr>
                <w:sz w:val="20"/>
              </w:rPr>
              <w:t>Single sideband (SSB) system for HF broadcasting</w:t>
            </w:r>
          </w:p>
        </w:tc>
      </w:tr>
      <w:tr w:rsidR="00B3730E" w:rsidRPr="00C87DDE" w:rsidTr="00B3730E">
        <w:tblPrEx>
          <w:tblLook w:val="0000" w:firstRow="0" w:lastRow="0" w:firstColumn="0" w:lastColumn="0" w:noHBand="0" w:noVBand="0"/>
        </w:tblPrEx>
        <w:trPr>
          <w:jc w:val="center"/>
        </w:trPr>
        <w:tc>
          <w:tcPr>
            <w:tcW w:w="2800" w:type="dxa"/>
          </w:tcPr>
          <w:p w:rsidR="00B3730E" w:rsidRPr="00B3730E" w:rsidRDefault="00B3730E" w:rsidP="0053659C">
            <w:pPr>
              <w:pStyle w:val="Tabletext"/>
              <w:jc w:val="center"/>
              <w:rPr>
                <w:sz w:val="20"/>
              </w:rPr>
            </w:pPr>
            <w:r w:rsidRPr="00B3730E">
              <w:rPr>
                <w:sz w:val="20"/>
              </w:rPr>
              <w:t>BS.773</w:t>
            </w:r>
          </w:p>
        </w:tc>
        <w:tc>
          <w:tcPr>
            <w:tcW w:w="6663" w:type="dxa"/>
          </w:tcPr>
          <w:p w:rsidR="00B3730E" w:rsidRPr="00C87DDE" w:rsidRDefault="00B3730E" w:rsidP="0053659C">
            <w:pPr>
              <w:pStyle w:val="Tabletext"/>
              <w:rPr>
                <w:sz w:val="20"/>
              </w:rPr>
            </w:pPr>
            <w:r w:rsidRPr="00C87DDE">
              <w:rPr>
                <w:sz w:val="20"/>
              </w:rPr>
              <w:t>Radio-frequency protection ratios required by FM sound broadcasting in the band between 87.5 MHz and 108 MHz against interference from D/SECAM television transmissions</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53659C">
            <w:pPr>
              <w:pStyle w:val="Tabletext"/>
              <w:jc w:val="center"/>
              <w:rPr>
                <w:sz w:val="20"/>
              </w:rPr>
            </w:pPr>
            <w:r w:rsidRPr="00B3730E">
              <w:rPr>
                <w:sz w:val="20"/>
              </w:rPr>
              <w:t>BT.266</w:t>
            </w:r>
          </w:p>
        </w:tc>
        <w:tc>
          <w:tcPr>
            <w:tcW w:w="6663" w:type="dxa"/>
          </w:tcPr>
          <w:p w:rsidR="00241FE7" w:rsidRPr="00C87DDE" w:rsidRDefault="00241FE7" w:rsidP="0053659C">
            <w:pPr>
              <w:pStyle w:val="Tabletext"/>
              <w:rPr>
                <w:sz w:val="20"/>
              </w:rPr>
            </w:pPr>
            <w:r w:rsidRPr="00C87DDE">
              <w:rPr>
                <w:sz w:val="20"/>
              </w:rPr>
              <w:t>Phase pre-correction of television transmitters</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53659C">
            <w:pPr>
              <w:pStyle w:val="Tabletext"/>
              <w:jc w:val="center"/>
              <w:rPr>
                <w:sz w:val="20"/>
              </w:rPr>
            </w:pPr>
            <w:r w:rsidRPr="00B3730E">
              <w:rPr>
                <w:sz w:val="20"/>
              </w:rPr>
              <w:t>BT.565</w:t>
            </w:r>
          </w:p>
        </w:tc>
        <w:tc>
          <w:tcPr>
            <w:tcW w:w="6663" w:type="dxa"/>
          </w:tcPr>
          <w:p w:rsidR="00241FE7" w:rsidRPr="00C87DDE" w:rsidRDefault="00241FE7" w:rsidP="0053659C">
            <w:pPr>
              <w:pStyle w:val="Tabletext"/>
              <w:rPr>
                <w:sz w:val="20"/>
              </w:rPr>
            </w:pPr>
            <w:r w:rsidRPr="00C87DDE">
              <w:rPr>
                <w:sz w:val="20"/>
              </w:rPr>
              <w:t>Protection ratios for 625-line television against radionavigation transmitters operating in the shared bands between 582 and 606 MHz</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801027">
            <w:pPr>
              <w:pStyle w:val="Tabletext"/>
              <w:jc w:val="center"/>
              <w:rPr>
                <w:color w:val="0000FF"/>
                <w:sz w:val="20"/>
              </w:rPr>
            </w:pPr>
            <w:r w:rsidRPr="00B3730E">
              <w:rPr>
                <w:sz w:val="20"/>
              </w:rPr>
              <w:t>BT.796</w:t>
            </w:r>
          </w:p>
        </w:tc>
        <w:tc>
          <w:tcPr>
            <w:tcW w:w="6663" w:type="dxa"/>
          </w:tcPr>
          <w:p w:rsidR="00241FE7" w:rsidRPr="00C87DDE" w:rsidRDefault="00241FE7" w:rsidP="00801027">
            <w:pPr>
              <w:pStyle w:val="Tabletext"/>
              <w:rPr>
                <w:sz w:val="20"/>
              </w:rPr>
            </w:pPr>
            <w:r w:rsidRPr="00C87DDE">
              <w:rPr>
                <w:sz w:val="20"/>
              </w:rPr>
              <w:t>Parameters for enhanced compatible coding systems based on 625-line PAL and SECAM television systems</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801027">
            <w:pPr>
              <w:pStyle w:val="Tabletext"/>
              <w:jc w:val="center"/>
              <w:rPr>
                <w:color w:val="0000FF"/>
                <w:sz w:val="20"/>
              </w:rPr>
            </w:pPr>
            <w:r w:rsidRPr="00B3730E">
              <w:rPr>
                <w:sz w:val="20"/>
              </w:rPr>
              <w:t>BT.797</w:t>
            </w:r>
          </w:p>
        </w:tc>
        <w:tc>
          <w:tcPr>
            <w:tcW w:w="6663" w:type="dxa"/>
          </w:tcPr>
          <w:p w:rsidR="00241FE7" w:rsidRPr="00C87DDE" w:rsidRDefault="00241FE7" w:rsidP="00801027">
            <w:pPr>
              <w:pStyle w:val="Tabletext"/>
              <w:rPr>
                <w:sz w:val="20"/>
              </w:rPr>
            </w:pPr>
            <w:r w:rsidRPr="00C87DDE">
              <w:rPr>
                <w:sz w:val="20"/>
              </w:rPr>
              <w:t>Parameters for 4:3 enhanced television systems that are NTSC</w:t>
            </w:r>
            <w:r w:rsidRPr="00C87DDE">
              <w:rPr>
                <w:sz w:val="20"/>
              </w:rPr>
              <w:noBreakHyphen/>
              <w:t xml:space="preserve">compatible   </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53659C">
            <w:pPr>
              <w:pStyle w:val="Tabletext"/>
              <w:jc w:val="center"/>
              <w:rPr>
                <w:sz w:val="20"/>
              </w:rPr>
            </w:pPr>
            <w:r w:rsidRPr="00C87DDE">
              <w:rPr>
                <w:sz w:val="20"/>
              </w:rPr>
              <w:t>BT.804</w:t>
            </w:r>
          </w:p>
        </w:tc>
        <w:tc>
          <w:tcPr>
            <w:tcW w:w="6663" w:type="dxa"/>
          </w:tcPr>
          <w:p w:rsidR="00241FE7" w:rsidRPr="00C87DDE" w:rsidRDefault="00241FE7" w:rsidP="0053659C">
            <w:pPr>
              <w:pStyle w:val="Tabletext"/>
              <w:rPr>
                <w:sz w:val="20"/>
              </w:rPr>
            </w:pPr>
            <w:r w:rsidRPr="00C87DDE">
              <w:rPr>
                <w:sz w:val="20"/>
              </w:rPr>
              <w:t>Characteristics of TV receivers essential for frequency planning with PAL/SECAM/NTSC television systems</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53659C">
            <w:pPr>
              <w:pStyle w:val="Tabletext"/>
              <w:jc w:val="center"/>
              <w:rPr>
                <w:sz w:val="20"/>
              </w:rPr>
            </w:pPr>
            <w:r w:rsidRPr="00B3730E">
              <w:rPr>
                <w:sz w:val="20"/>
              </w:rPr>
              <w:t>BT.806</w:t>
            </w:r>
          </w:p>
        </w:tc>
        <w:tc>
          <w:tcPr>
            <w:tcW w:w="6663" w:type="dxa"/>
          </w:tcPr>
          <w:p w:rsidR="00241FE7" w:rsidRPr="00C87DDE" w:rsidRDefault="00241FE7" w:rsidP="0053659C">
            <w:pPr>
              <w:pStyle w:val="Tabletext"/>
              <w:rPr>
                <w:sz w:val="20"/>
              </w:rPr>
            </w:pPr>
            <w:r w:rsidRPr="00C87DDE">
              <w:rPr>
                <w:sz w:val="20"/>
              </w:rPr>
              <w:t>Common channel raster for the distribution of D</w:t>
            </w:r>
            <w:r w:rsidRPr="00C87DDE">
              <w:rPr>
                <w:sz w:val="20"/>
              </w:rPr>
              <w:noBreakHyphen/>
              <w:t>MAC, D2-MAC and HD-MAC signals in collective antenna and cable distribution systems</w:t>
            </w:r>
          </w:p>
        </w:tc>
      </w:tr>
      <w:tr w:rsidR="00241FE7" w:rsidRPr="00C87DDE" w:rsidTr="00B3730E">
        <w:tblPrEx>
          <w:tblLook w:val="0000" w:firstRow="0" w:lastRow="0" w:firstColumn="0" w:lastColumn="0" w:noHBand="0" w:noVBand="0"/>
        </w:tblPrEx>
        <w:trPr>
          <w:jc w:val="center"/>
        </w:trPr>
        <w:tc>
          <w:tcPr>
            <w:tcW w:w="2800" w:type="dxa"/>
          </w:tcPr>
          <w:p w:rsidR="00241FE7" w:rsidRPr="00C87DDE" w:rsidRDefault="00241FE7" w:rsidP="00801027">
            <w:pPr>
              <w:pStyle w:val="Tabletext"/>
              <w:jc w:val="center"/>
              <w:rPr>
                <w:color w:val="0000FF"/>
                <w:sz w:val="20"/>
              </w:rPr>
            </w:pPr>
            <w:r w:rsidRPr="00B3730E">
              <w:rPr>
                <w:sz w:val="20"/>
              </w:rPr>
              <w:t>BT.1202</w:t>
            </w:r>
          </w:p>
        </w:tc>
        <w:tc>
          <w:tcPr>
            <w:tcW w:w="6663" w:type="dxa"/>
          </w:tcPr>
          <w:p w:rsidR="00241FE7" w:rsidRPr="00241FE7" w:rsidRDefault="00241FE7" w:rsidP="00801027">
            <w:pPr>
              <w:pStyle w:val="Tabletext"/>
              <w:rPr>
                <w:sz w:val="20"/>
              </w:rPr>
            </w:pPr>
            <w:r w:rsidRPr="00241FE7">
              <w:rPr>
                <w:sz w:val="20"/>
              </w:rPr>
              <w:t xml:space="preserve">Displays for future television systems   </w:t>
            </w:r>
          </w:p>
        </w:tc>
      </w:tr>
      <w:tr w:rsidR="00241FE7" w:rsidRPr="00C87DDE" w:rsidTr="00B3730E">
        <w:tblPrEx>
          <w:tblLook w:val="0000" w:firstRow="0" w:lastRow="0" w:firstColumn="0" w:lastColumn="0" w:noHBand="0" w:noVBand="0"/>
        </w:tblPrEx>
        <w:trPr>
          <w:jc w:val="center"/>
        </w:trPr>
        <w:tc>
          <w:tcPr>
            <w:tcW w:w="2800" w:type="dxa"/>
          </w:tcPr>
          <w:p w:rsidR="00241FE7" w:rsidRPr="00B3730E" w:rsidRDefault="00241FE7" w:rsidP="00801027">
            <w:pPr>
              <w:pStyle w:val="Tabletext"/>
              <w:jc w:val="center"/>
              <w:rPr>
                <w:sz w:val="20"/>
              </w:rPr>
            </w:pPr>
            <w:r w:rsidRPr="00B3730E">
              <w:rPr>
                <w:sz w:val="20"/>
              </w:rPr>
              <w:t>BT.1204</w:t>
            </w:r>
          </w:p>
        </w:tc>
        <w:tc>
          <w:tcPr>
            <w:tcW w:w="6663" w:type="dxa"/>
          </w:tcPr>
          <w:p w:rsidR="00241FE7" w:rsidRPr="00B3730E" w:rsidRDefault="00241FE7" w:rsidP="00801027">
            <w:pPr>
              <w:pStyle w:val="Tabletext"/>
              <w:rPr>
                <w:sz w:val="20"/>
              </w:rPr>
            </w:pPr>
            <w:r w:rsidRPr="00B3730E">
              <w:rPr>
                <w:sz w:val="20"/>
              </w:rPr>
              <w:t xml:space="preserve">Measuring methods for digital video equipment with analogue input/output </w:t>
            </w:r>
          </w:p>
        </w:tc>
      </w:tr>
      <w:tr w:rsidR="00241FE7" w:rsidRPr="00C87DDE" w:rsidTr="00B3730E">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241FE7" w:rsidRPr="00C87DDE" w:rsidRDefault="00241FE7" w:rsidP="00C87DDE">
            <w:pPr>
              <w:pStyle w:val="Tabletext"/>
              <w:jc w:val="center"/>
              <w:rPr>
                <w:sz w:val="20"/>
              </w:rPr>
            </w:pPr>
            <w:r w:rsidRPr="00B3730E">
              <w:rPr>
                <w:sz w:val="20"/>
              </w:rPr>
              <w:t>BT.1118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41FE7" w:rsidRPr="00C87DDE" w:rsidRDefault="00241FE7" w:rsidP="00C87DDE">
            <w:pPr>
              <w:pStyle w:val="Tabletext"/>
              <w:rPr>
                <w:sz w:val="20"/>
              </w:rPr>
            </w:pPr>
            <w:r w:rsidRPr="00C87DDE">
              <w:rPr>
                <w:sz w:val="20"/>
              </w:rPr>
              <w:t>Enhanced compatible widescreen television based on conventional television systems</w:t>
            </w:r>
          </w:p>
        </w:tc>
      </w:tr>
      <w:tr w:rsidR="00241FE7" w:rsidRPr="00C87DDE" w:rsidTr="00B3730E">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241FE7" w:rsidRPr="00C87DDE" w:rsidRDefault="00241FE7" w:rsidP="00C87DDE">
            <w:pPr>
              <w:pStyle w:val="Tabletext"/>
              <w:jc w:val="center"/>
              <w:rPr>
                <w:sz w:val="20"/>
              </w:rPr>
            </w:pPr>
            <w:r w:rsidRPr="00B3730E">
              <w:rPr>
                <w:sz w:val="20"/>
              </w:rPr>
              <w:t>BT.1123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41FE7" w:rsidRPr="00C87DDE" w:rsidRDefault="00241FE7" w:rsidP="00C87DDE">
            <w:pPr>
              <w:pStyle w:val="Tabletext"/>
              <w:rPr>
                <w:sz w:val="20"/>
              </w:rPr>
            </w:pPr>
            <w:r w:rsidRPr="00C87DDE">
              <w:rPr>
                <w:sz w:val="20"/>
              </w:rPr>
              <w:t>Planning methods for 625-line terrestrial television in VHF/UHF bands</w:t>
            </w:r>
          </w:p>
        </w:tc>
      </w:tr>
      <w:tr w:rsidR="00241FE7" w:rsidRPr="00C87DDE" w:rsidTr="00B3730E">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241FE7" w:rsidRPr="00C87DDE" w:rsidRDefault="00241FE7" w:rsidP="00C87DDE">
            <w:pPr>
              <w:pStyle w:val="Tabletext"/>
              <w:jc w:val="center"/>
              <w:rPr>
                <w:sz w:val="20"/>
              </w:rPr>
            </w:pPr>
            <w:r w:rsidRPr="00B3730E">
              <w:rPr>
                <w:sz w:val="20"/>
              </w:rPr>
              <w:t>BT.1298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241FE7" w:rsidRPr="00C87DDE" w:rsidRDefault="00241FE7" w:rsidP="00C87DDE">
            <w:pPr>
              <w:pStyle w:val="Tabletext"/>
              <w:rPr>
                <w:sz w:val="20"/>
              </w:rPr>
            </w:pPr>
            <w:r w:rsidRPr="00C87DDE">
              <w:rPr>
                <w:sz w:val="20"/>
              </w:rPr>
              <w:t>Enhanced wide-screen NTSC TV transmission system</w:t>
            </w:r>
          </w:p>
        </w:tc>
      </w:tr>
    </w:tbl>
    <w:p w:rsidR="002E1489" w:rsidRDefault="002E1489" w:rsidP="002E1489">
      <w:bookmarkStart w:id="4" w:name="ddistribution"/>
      <w:bookmarkEnd w:id="4"/>
    </w:p>
    <w:p w:rsidR="002E1489" w:rsidRDefault="002E1489" w:rsidP="002E1489"/>
    <w:p w:rsidR="002E1489" w:rsidRDefault="002E1489" w:rsidP="002E1489"/>
    <w:p w:rsidR="00847894" w:rsidRDefault="00B3730E" w:rsidP="00B3730E">
      <w:pPr>
        <w:pStyle w:val="Headingb"/>
        <w:spacing w:before="360" w:after="120"/>
        <w:jc w:val="center"/>
      </w:pPr>
      <w:r>
        <w:t>_________</w:t>
      </w:r>
      <w:r w:rsidR="002E1489">
        <w:t>______</w:t>
      </w:r>
      <w:r>
        <w:t>_</w:t>
      </w:r>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9C" w:rsidRDefault="0053659C">
      <w:r>
        <w:separator/>
      </w:r>
    </w:p>
  </w:endnote>
  <w:endnote w:type="continuationSeparator" w:id="0">
    <w:p w:rsidR="0053659C" w:rsidRDefault="0053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9C" w:rsidRPr="00B827D5" w:rsidRDefault="0053659C" w:rsidP="00B827D5">
    <w:pPr>
      <w:pStyle w:val="Footer"/>
    </w:pPr>
    <w:fldSimple w:instr=" FILENAME  \p  \* MERGEFORMAT ">
      <w:r w:rsidR="007E565C">
        <w:t>Y:\APP\BR\CIRCS_DMS\CAR\300\326\326e.docx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53659C">
      <w:trPr>
        <w:cantSplit/>
      </w:trPr>
      <w:tc>
        <w:tcPr>
          <w:tcW w:w="1062" w:type="pct"/>
          <w:tcBorders>
            <w:top w:val="single" w:sz="6" w:space="0" w:color="auto"/>
          </w:tcBorders>
          <w:tcMar>
            <w:top w:w="57" w:type="dxa"/>
          </w:tcMar>
        </w:tcPr>
        <w:p w:rsidR="0053659C" w:rsidRDefault="0053659C">
          <w:pPr>
            <w:pStyle w:val="itu"/>
          </w:pPr>
          <w:r>
            <w:t>Place des Nations</w:t>
          </w:r>
        </w:p>
      </w:tc>
      <w:tc>
        <w:tcPr>
          <w:tcW w:w="1583" w:type="pct"/>
          <w:tcBorders>
            <w:top w:val="single" w:sz="6" w:space="0" w:color="auto"/>
          </w:tcBorders>
          <w:tcMar>
            <w:top w:w="57" w:type="dxa"/>
          </w:tcMar>
        </w:tcPr>
        <w:p w:rsidR="0053659C" w:rsidRDefault="0053659C">
          <w:pPr>
            <w:pStyle w:val="itu"/>
          </w:pPr>
          <w:r>
            <w:t>Telephone</w:t>
          </w:r>
          <w:r>
            <w:tab/>
            <w:t>+41 22 730 51 11</w:t>
          </w:r>
        </w:p>
      </w:tc>
      <w:tc>
        <w:tcPr>
          <w:tcW w:w="1224" w:type="pct"/>
          <w:tcBorders>
            <w:top w:val="single" w:sz="6" w:space="0" w:color="auto"/>
          </w:tcBorders>
          <w:tcMar>
            <w:top w:w="57" w:type="dxa"/>
          </w:tcMar>
        </w:tcPr>
        <w:p w:rsidR="0053659C" w:rsidRDefault="0053659C">
          <w:pPr>
            <w:pStyle w:val="itu"/>
          </w:pPr>
          <w:r>
            <w:t>Telex 421 000 uit ch</w:t>
          </w:r>
        </w:p>
      </w:tc>
      <w:tc>
        <w:tcPr>
          <w:tcW w:w="1131" w:type="pct"/>
          <w:tcBorders>
            <w:top w:val="single" w:sz="6" w:space="0" w:color="auto"/>
          </w:tcBorders>
          <w:tcMar>
            <w:top w:w="57" w:type="dxa"/>
          </w:tcMar>
        </w:tcPr>
        <w:p w:rsidR="0053659C" w:rsidRDefault="0053659C">
          <w:pPr>
            <w:pStyle w:val="itu"/>
          </w:pPr>
          <w:r>
            <w:t>E-mail:</w:t>
          </w:r>
          <w:r>
            <w:tab/>
            <w:t>itumail@itu.int</w:t>
          </w:r>
        </w:p>
      </w:tc>
    </w:tr>
    <w:tr w:rsidR="0053659C">
      <w:trPr>
        <w:cantSplit/>
      </w:trPr>
      <w:tc>
        <w:tcPr>
          <w:tcW w:w="1062" w:type="pct"/>
        </w:tcPr>
        <w:p w:rsidR="0053659C" w:rsidRDefault="0053659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53659C" w:rsidRDefault="0053659C">
          <w:pPr>
            <w:pStyle w:val="itu"/>
          </w:pPr>
          <w:r>
            <w:t>Telefax</w:t>
          </w:r>
          <w:r>
            <w:tab/>
            <w:t>Gr3:</w:t>
          </w:r>
          <w:r>
            <w:tab/>
            <w:t>+41 22 733 72 56</w:t>
          </w:r>
        </w:p>
      </w:tc>
      <w:tc>
        <w:tcPr>
          <w:tcW w:w="1224" w:type="pct"/>
        </w:tcPr>
        <w:p w:rsidR="0053659C" w:rsidRDefault="0053659C">
          <w:pPr>
            <w:pStyle w:val="itu"/>
          </w:pPr>
          <w:r>
            <w:t>Telegram ITU GENEVE</w:t>
          </w:r>
        </w:p>
      </w:tc>
      <w:tc>
        <w:tcPr>
          <w:tcW w:w="1131" w:type="pct"/>
        </w:tcPr>
        <w:p w:rsidR="0053659C" w:rsidRDefault="0053659C">
          <w:pPr>
            <w:pStyle w:val="itu"/>
          </w:pPr>
          <w:r>
            <w:tab/>
          </w:r>
          <w:hyperlink r:id="rId1" w:history="1">
            <w:r>
              <w:t>http://www.itu.int/</w:t>
            </w:r>
          </w:hyperlink>
        </w:p>
      </w:tc>
    </w:tr>
    <w:tr w:rsidR="0053659C">
      <w:trPr>
        <w:cantSplit/>
      </w:trPr>
      <w:tc>
        <w:tcPr>
          <w:tcW w:w="1062" w:type="pct"/>
        </w:tcPr>
        <w:p w:rsidR="0053659C" w:rsidRDefault="0053659C">
          <w:pPr>
            <w:pStyle w:val="itu"/>
          </w:pPr>
          <w:smartTag w:uri="urn:schemas-microsoft-com:office:smarttags" w:element="country-region">
            <w:smartTag w:uri="urn:schemas-microsoft-com:office:smarttags" w:element="place">
              <w:r>
                <w:t>Switzerland</w:t>
              </w:r>
            </w:smartTag>
          </w:smartTag>
        </w:p>
      </w:tc>
      <w:tc>
        <w:tcPr>
          <w:tcW w:w="1583" w:type="pct"/>
        </w:tcPr>
        <w:p w:rsidR="0053659C" w:rsidRDefault="0053659C">
          <w:pPr>
            <w:pStyle w:val="itu"/>
          </w:pPr>
          <w:r>
            <w:tab/>
            <w:t>Gr4:</w:t>
          </w:r>
          <w:r>
            <w:tab/>
            <w:t>+41 22 730 65 00</w:t>
          </w:r>
        </w:p>
      </w:tc>
      <w:tc>
        <w:tcPr>
          <w:tcW w:w="1224" w:type="pct"/>
        </w:tcPr>
        <w:p w:rsidR="0053659C" w:rsidRDefault="0053659C">
          <w:pPr>
            <w:pStyle w:val="itu"/>
          </w:pPr>
        </w:p>
      </w:tc>
      <w:tc>
        <w:tcPr>
          <w:tcW w:w="1131" w:type="pct"/>
        </w:tcPr>
        <w:p w:rsidR="0053659C" w:rsidRDefault="0053659C">
          <w:pPr>
            <w:pStyle w:val="itu"/>
          </w:pPr>
        </w:p>
      </w:tc>
    </w:tr>
  </w:tbl>
  <w:p w:rsidR="0053659C" w:rsidRPr="009E1957" w:rsidRDefault="0053659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9C" w:rsidRDefault="0053659C">
      <w:r>
        <w:t>____________________</w:t>
      </w:r>
    </w:p>
  </w:footnote>
  <w:footnote w:type="continuationSeparator" w:id="0">
    <w:p w:rsidR="0053659C" w:rsidRDefault="0053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9C" w:rsidRDefault="0053659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E565C">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4FB9"/>
    <w:multiLevelType w:val="hybridMultilevel"/>
    <w:tmpl w:val="E02A66BC"/>
    <w:lvl w:ilvl="0" w:tplc="AE9ADC08">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B78E5284"/>
    <w:lvl w:ilvl="0" w:tplc="2528BAAC">
      <w:start w:val="27"/>
      <w:numFmt w:val="bullet"/>
      <w:lvlText w:val="–"/>
      <w:lvlJc w:val="left"/>
      <w:pPr>
        <w:tabs>
          <w:tab w:val="num" w:pos="1785"/>
        </w:tabs>
        <w:ind w:left="1785" w:hanging="360"/>
      </w:pPr>
      <w:rPr>
        <w:rFonts w:ascii="Times New Roman" w:eastAsia="Times New Roman" w:hAnsi="Times New Roman" w:hint="default"/>
        <w:b/>
        <w:bCs/>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33821"/>
    <w:rsid w:val="000405D9"/>
    <w:rsid w:val="00044939"/>
    <w:rsid w:val="000756BD"/>
    <w:rsid w:val="00084D8E"/>
    <w:rsid w:val="000A6DA1"/>
    <w:rsid w:val="000B4B35"/>
    <w:rsid w:val="000B62B1"/>
    <w:rsid w:val="000E15C1"/>
    <w:rsid w:val="000E64DA"/>
    <w:rsid w:val="000E68AB"/>
    <w:rsid w:val="000F2DDF"/>
    <w:rsid w:val="000F527D"/>
    <w:rsid w:val="001011A8"/>
    <w:rsid w:val="0011452C"/>
    <w:rsid w:val="00122E36"/>
    <w:rsid w:val="00156397"/>
    <w:rsid w:val="00172697"/>
    <w:rsid w:val="001E15AA"/>
    <w:rsid w:val="002065EA"/>
    <w:rsid w:val="00210B45"/>
    <w:rsid w:val="002143DD"/>
    <w:rsid w:val="00214D82"/>
    <w:rsid w:val="00217566"/>
    <w:rsid w:val="00227F65"/>
    <w:rsid w:val="00240332"/>
    <w:rsid w:val="00241FE7"/>
    <w:rsid w:val="00263DC2"/>
    <w:rsid w:val="00274515"/>
    <w:rsid w:val="00276534"/>
    <w:rsid w:val="00280EFE"/>
    <w:rsid w:val="002917D5"/>
    <w:rsid w:val="00292226"/>
    <w:rsid w:val="002A289D"/>
    <w:rsid w:val="002B68D0"/>
    <w:rsid w:val="002D5B3D"/>
    <w:rsid w:val="002E1489"/>
    <w:rsid w:val="002F3630"/>
    <w:rsid w:val="003259CA"/>
    <w:rsid w:val="00377095"/>
    <w:rsid w:val="003B681F"/>
    <w:rsid w:val="003C14F0"/>
    <w:rsid w:val="003C5FFF"/>
    <w:rsid w:val="003D3993"/>
    <w:rsid w:val="0041303A"/>
    <w:rsid w:val="004226A0"/>
    <w:rsid w:val="0044634B"/>
    <w:rsid w:val="004552BA"/>
    <w:rsid w:val="00487BC6"/>
    <w:rsid w:val="00492C4D"/>
    <w:rsid w:val="004A5AB1"/>
    <w:rsid w:val="004A5ECE"/>
    <w:rsid w:val="004C1881"/>
    <w:rsid w:val="004C569A"/>
    <w:rsid w:val="004E3625"/>
    <w:rsid w:val="004F1056"/>
    <w:rsid w:val="004F26AE"/>
    <w:rsid w:val="0050011A"/>
    <w:rsid w:val="00502B6F"/>
    <w:rsid w:val="0050552C"/>
    <w:rsid w:val="0053659C"/>
    <w:rsid w:val="005369BA"/>
    <w:rsid w:val="00544D23"/>
    <w:rsid w:val="00551C72"/>
    <w:rsid w:val="0055431B"/>
    <w:rsid w:val="005607C7"/>
    <w:rsid w:val="00571169"/>
    <w:rsid w:val="00575F05"/>
    <w:rsid w:val="0058755D"/>
    <w:rsid w:val="00595800"/>
    <w:rsid w:val="005B0811"/>
    <w:rsid w:val="005B451E"/>
    <w:rsid w:val="005E2476"/>
    <w:rsid w:val="005E24BD"/>
    <w:rsid w:val="005F0D8E"/>
    <w:rsid w:val="005F130D"/>
    <w:rsid w:val="005F33F7"/>
    <w:rsid w:val="005F7F4C"/>
    <w:rsid w:val="006136BC"/>
    <w:rsid w:val="00675065"/>
    <w:rsid w:val="00685BC1"/>
    <w:rsid w:val="006B218D"/>
    <w:rsid w:val="006B3F95"/>
    <w:rsid w:val="006C53FF"/>
    <w:rsid w:val="006F3039"/>
    <w:rsid w:val="00706118"/>
    <w:rsid w:val="0071106C"/>
    <w:rsid w:val="0071649E"/>
    <w:rsid w:val="007200C2"/>
    <w:rsid w:val="00746900"/>
    <w:rsid w:val="007820B4"/>
    <w:rsid w:val="007D3CB6"/>
    <w:rsid w:val="007D6DC7"/>
    <w:rsid w:val="007E565C"/>
    <w:rsid w:val="007F5194"/>
    <w:rsid w:val="00801027"/>
    <w:rsid w:val="00811467"/>
    <w:rsid w:val="00824D6F"/>
    <w:rsid w:val="00831776"/>
    <w:rsid w:val="00833BEA"/>
    <w:rsid w:val="00847894"/>
    <w:rsid w:val="00863902"/>
    <w:rsid w:val="008704AD"/>
    <w:rsid w:val="00881D43"/>
    <w:rsid w:val="008B5ED4"/>
    <w:rsid w:val="008C0CBA"/>
    <w:rsid w:val="008D4874"/>
    <w:rsid w:val="008D5C5B"/>
    <w:rsid w:val="008F3A39"/>
    <w:rsid w:val="009003C3"/>
    <w:rsid w:val="0093382A"/>
    <w:rsid w:val="00933ACD"/>
    <w:rsid w:val="0093717D"/>
    <w:rsid w:val="0093776F"/>
    <w:rsid w:val="00960812"/>
    <w:rsid w:val="009676DC"/>
    <w:rsid w:val="009746CA"/>
    <w:rsid w:val="009846D5"/>
    <w:rsid w:val="00986322"/>
    <w:rsid w:val="009B6861"/>
    <w:rsid w:val="009C2F6F"/>
    <w:rsid w:val="009D4009"/>
    <w:rsid w:val="009D7217"/>
    <w:rsid w:val="009E14F3"/>
    <w:rsid w:val="009E1957"/>
    <w:rsid w:val="009E4A04"/>
    <w:rsid w:val="009F6713"/>
    <w:rsid w:val="00A029C7"/>
    <w:rsid w:val="00A06093"/>
    <w:rsid w:val="00A115DF"/>
    <w:rsid w:val="00A1591E"/>
    <w:rsid w:val="00A704F1"/>
    <w:rsid w:val="00AB07C5"/>
    <w:rsid w:val="00AB1815"/>
    <w:rsid w:val="00AB7229"/>
    <w:rsid w:val="00AC50B7"/>
    <w:rsid w:val="00AD0930"/>
    <w:rsid w:val="00AD5F03"/>
    <w:rsid w:val="00B33B76"/>
    <w:rsid w:val="00B3730E"/>
    <w:rsid w:val="00B470FC"/>
    <w:rsid w:val="00B57344"/>
    <w:rsid w:val="00B82628"/>
    <w:rsid w:val="00B827D5"/>
    <w:rsid w:val="00B87E04"/>
    <w:rsid w:val="00B9707B"/>
    <w:rsid w:val="00BA63E8"/>
    <w:rsid w:val="00BB215B"/>
    <w:rsid w:val="00BB50A7"/>
    <w:rsid w:val="00BC118A"/>
    <w:rsid w:val="00BC231B"/>
    <w:rsid w:val="00C17B60"/>
    <w:rsid w:val="00C36C69"/>
    <w:rsid w:val="00C60EC9"/>
    <w:rsid w:val="00C87DDE"/>
    <w:rsid w:val="00C950AA"/>
    <w:rsid w:val="00CB2215"/>
    <w:rsid w:val="00CB24F3"/>
    <w:rsid w:val="00CB3F8D"/>
    <w:rsid w:val="00CE0390"/>
    <w:rsid w:val="00D13B36"/>
    <w:rsid w:val="00D14E85"/>
    <w:rsid w:val="00D321EA"/>
    <w:rsid w:val="00D35752"/>
    <w:rsid w:val="00D463D0"/>
    <w:rsid w:val="00D61395"/>
    <w:rsid w:val="00D65B4C"/>
    <w:rsid w:val="00D744B4"/>
    <w:rsid w:val="00DB2ECA"/>
    <w:rsid w:val="00DE04F5"/>
    <w:rsid w:val="00DF2174"/>
    <w:rsid w:val="00E0523B"/>
    <w:rsid w:val="00E30F45"/>
    <w:rsid w:val="00E43584"/>
    <w:rsid w:val="00E543EB"/>
    <w:rsid w:val="00E578B5"/>
    <w:rsid w:val="00E6096F"/>
    <w:rsid w:val="00E60D3B"/>
    <w:rsid w:val="00E637AB"/>
    <w:rsid w:val="00EA11F8"/>
    <w:rsid w:val="00EB1130"/>
    <w:rsid w:val="00EB52A2"/>
    <w:rsid w:val="00EB7112"/>
    <w:rsid w:val="00EC28DA"/>
    <w:rsid w:val="00EC710F"/>
    <w:rsid w:val="00EE5123"/>
    <w:rsid w:val="00F03842"/>
    <w:rsid w:val="00F220F0"/>
    <w:rsid w:val="00F331FB"/>
    <w:rsid w:val="00F334A2"/>
    <w:rsid w:val="00F37A5D"/>
    <w:rsid w:val="00F60193"/>
    <w:rsid w:val="00F62B5F"/>
    <w:rsid w:val="00F63341"/>
    <w:rsid w:val="00F738CA"/>
    <w:rsid w:val="00F74933"/>
    <w:rsid w:val="00F91E0D"/>
    <w:rsid w:val="00FA2DE8"/>
    <w:rsid w:val="00FC0541"/>
    <w:rsid w:val="00FC4E8F"/>
    <w:rsid w:val="00FC5A59"/>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uiPriority w:val="99"/>
    <w:semiHidden/>
    <w:unhideWhenUsed/>
    <w:rsid w:val="00D14E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85"/>
    <w:rPr>
      <w:rFonts w:ascii="Tahoma" w:hAnsi="Tahoma" w:cs="Tahoma"/>
      <w:sz w:val="16"/>
      <w:szCs w:val="16"/>
      <w:lang w:val="en-GB" w:eastAsia="en-US"/>
    </w:rPr>
  </w:style>
  <w:style w:type="paragraph" w:customStyle="1" w:styleId="Normalaftertitle0">
    <w:name w:val="Normal after title"/>
    <w:basedOn w:val="Normal"/>
    <w:next w:val="Normal"/>
    <w:uiPriority w:val="99"/>
    <w:rsid w:val="005F0D8E"/>
    <w:pPr>
      <w:tabs>
        <w:tab w:val="clear" w:pos="794"/>
        <w:tab w:val="clear" w:pos="1191"/>
        <w:tab w:val="clear" w:pos="1588"/>
        <w:tab w:val="clear" w:pos="1985"/>
        <w:tab w:val="left" w:pos="1134"/>
        <w:tab w:val="left" w:pos="1871"/>
        <w:tab w:val="left" w:pos="2268"/>
      </w:tabs>
      <w:spacing w:before="280"/>
    </w:pPr>
  </w:style>
  <w:style w:type="paragraph" w:styleId="ListParagraph">
    <w:name w:val="List Paragraph"/>
    <w:basedOn w:val="Normal"/>
    <w:uiPriority w:val="34"/>
    <w:qFormat/>
    <w:rsid w:val="00B827D5"/>
    <w:pPr>
      <w:ind w:left="720"/>
      <w:contextualSpacing/>
    </w:pPr>
  </w:style>
  <w:style w:type="paragraph" w:customStyle="1" w:styleId="Summary">
    <w:name w:val="Summary"/>
    <w:basedOn w:val="Normal"/>
    <w:next w:val="Normalaftertitle"/>
    <w:uiPriority w:val="99"/>
    <w:rsid w:val="0041303A"/>
    <w:pPr>
      <w:spacing w:after="480"/>
      <w:jc w:val="both"/>
      <w:textAlignment w:val="auto"/>
    </w:pPr>
    <w:rPr>
      <w:rFonts w:eastAsia="Batang"/>
      <w:sz w:val="22"/>
      <w:szCs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uiPriority w:val="99"/>
    <w:semiHidden/>
    <w:unhideWhenUsed/>
    <w:rsid w:val="00D14E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85"/>
    <w:rPr>
      <w:rFonts w:ascii="Tahoma" w:hAnsi="Tahoma" w:cs="Tahoma"/>
      <w:sz w:val="16"/>
      <w:szCs w:val="16"/>
      <w:lang w:val="en-GB" w:eastAsia="en-US"/>
    </w:rPr>
  </w:style>
  <w:style w:type="paragraph" w:customStyle="1" w:styleId="Normalaftertitle0">
    <w:name w:val="Normal after title"/>
    <w:basedOn w:val="Normal"/>
    <w:next w:val="Normal"/>
    <w:uiPriority w:val="99"/>
    <w:rsid w:val="005F0D8E"/>
    <w:pPr>
      <w:tabs>
        <w:tab w:val="clear" w:pos="794"/>
        <w:tab w:val="clear" w:pos="1191"/>
        <w:tab w:val="clear" w:pos="1588"/>
        <w:tab w:val="clear" w:pos="1985"/>
        <w:tab w:val="left" w:pos="1134"/>
        <w:tab w:val="left" w:pos="1871"/>
        <w:tab w:val="left" w:pos="2268"/>
      </w:tabs>
      <w:spacing w:before="280"/>
    </w:pPr>
  </w:style>
  <w:style w:type="paragraph" w:styleId="ListParagraph">
    <w:name w:val="List Paragraph"/>
    <w:basedOn w:val="Normal"/>
    <w:uiPriority w:val="34"/>
    <w:qFormat/>
    <w:rsid w:val="00B827D5"/>
    <w:pPr>
      <w:ind w:left="720"/>
      <w:contextualSpacing/>
    </w:pPr>
  </w:style>
  <w:style w:type="paragraph" w:customStyle="1" w:styleId="Summary">
    <w:name w:val="Summary"/>
    <w:basedOn w:val="Normal"/>
    <w:next w:val="Normalaftertitle"/>
    <w:uiPriority w:val="99"/>
    <w:rsid w:val="0041303A"/>
    <w:pPr>
      <w:spacing w:after="480"/>
      <w:jc w:val="both"/>
      <w:textAlignment w:val="auto"/>
    </w:pPr>
    <w:rPr>
      <w:rFonts w:eastAsia="Batang"/>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1E9F-C8A7-4AE0-B261-3D5190E2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82</TotalTime>
  <Pages>6</Pages>
  <Words>1338</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unknown</cp:lastModifiedBy>
  <cp:revision>11</cp:revision>
  <cp:lastPrinted>2011-10-26T09:23:00Z</cp:lastPrinted>
  <dcterms:created xsi:type="dcterms:W3CDTF">2011-10-12T09:17:00Z</dcterms:created>
  <dcterms:modified xsi:type="dcterms:W3CDTF">2011-10-26T09:24:00Z</dcterms:modified>
</cp:coreProperties>
</file>