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BB" w:rsidRPr="008C3ECA" w:rsidRDefault="009E6EBB" w:rsidP="009E6EBB">
      <w:pPr>
        <w:spacing w:before="0"/>
        <w:jc w:val="left"/>
        <w:rPr>
          <w:rFonts w:cstheme="minorHAnsi"/>
          <w:b/>
          <w:bCs/>
          <w:color w:val="808080"/>
          <w:sz w:val="28"/>
          <w:szCs w:val="28"/>
          <w:lang w:val="en-GB"/>
        </w:rPr>
      </w:pPr>
      <w:bookmarkStart w:id="0" w:name="_GoBack"/>
      <w:bookmarkEnd w:id="0"/>
      <w:r w:rsidRPr="008C3ECA">
        <w:rPr>
          <w:rFonts w:cstheme="minorHAnsi"/>
          <w:b/>
          <w:bCs/>
          <w:color w:val="808080"/>
          <w:sz w:val="28"/>
          <w:szCs w:val="28"/>
          <w:lang w:val="en-GB"/>
        </w:rPr>
        <w:t>Radiocommunication Bureau (BR)</w:t>
      </w:r>
    </w:p>
    <w:p w:rsidR="009E6EBB" w:rsidRDefault="009E6EBB"/>
    <w:tbl>
      <w:tblPr>
        <w:tblW w:w="9889" w:type="dxa"/>
        <w:tblLayout w:type="fixed"/>
        <w:tblLook w:val="04A0" w:firstRow="1" w:lastRow="0" w:firstColumn="1" w:lastColumn="0" w:noHBand="0" w:noVBand="1"/>
      </w:tblPr>
      <w:tblGrid>
        <w:gridCol w:w="1526"/>
        <w:gridCol w:w="5386"/>
        <w:gridCol w:w="2977"/>
      </w:tblGrid>
      <w:tr w:rsidR="00295CF8" w:rsidRPr="00295CF8" w:rsidTr="00AC05B1">
        <w:tc>
          <w:tcPr>
            <w:tcW w:w="6912" w:type="dxa"/>
            <w:gridSpan w:val="2"/>
            <w:shd w:val="clear" w:color="auto" w:fill="auto"/>
          </w:tcPr>
          <w:p w:rsidR="009E6EBB" w:rsidRPr="008C3ECA" w:rsidRDefault="009E6EBB" w:rsidP="00DE6E1E">
            <w:pPr>
              <w:spacing w:before="0"/>
              <w:ind w:left="-109"/>
              <w:jc w:val="left"/>
              <w:rPr>
                <w:szCs w:val="24"/>
                <w:lang w:val="en-GB"/>
              </w:rPr>
            </w:pPr>
            <w:r w:rsidRPr="008C3ECA">
              <w:rPr>
                <w:szCs w:val="24"/>
                <w:lang w:val="en-GB"/>
              </w:rPr>
              <w:t>Circular Letter</w:t>
            </w:r>
          </w:p>
          <w:p w:rsidR="009E6EBB" w:rsidRPr="00295CF8" w:rsidRDefault="009E6EBB" w:rsidP="00A508B1">
            <w:pPr>
              <w:spacing w:before="0"/>
              <w:ind w:left="-109"/>
              <w:jc w:val="left"/>
              <w:rPr>
                <w:b/>
                <w:bCs/>
                <w:szCs w:val="24"/>
                <w:lang w:val="en-GB"/>
              </w:rPr>
            </w:pPr>
            <w:r w:rsidRPr="008C3ECA">
              <w:rPr>
                <w:b/>
                <w:bCs/>
                <w:szCs w:val="24"/>
                <w:lang w:val="en-GB"/>
              </w:rPr>
              <w:t>C</w:t>
            </w:r>
            <w:r w:rsidR="00A508B1">
              <w:rPr>
                <w:b/>
                <w:bCs/>
                <w:szCs w:val="24"/>
                <w:lang w:val="en-GB"/>
              </w:rPr>
              <w:t>CR</w:t>
            </w:r>
            <w:r w:rsidRPr="008C3ECA">
              <w:rPr>
                <w:b/>
                <w:bCs/>
                <w:szCs w:val="24"/>
                <w:lang w:val="en-GB"/>
              </w:rPr>
              <w:t>R/</w:t>
            </w:r>
            <w:r w:rsidR="00A508B1">
              <w:rPr>
                <w:b/>
                <w:bCs/>
                <w:szCs w:val="24"/>
                <w:lang w:val="en-GB"/>
              </w:rPr>
              <w:t>61</w:t>
            </w:r>
          </w:p>
        </w:tc>
        <w:tc>
          <w:tcPr>
            <w:tcW w:w="2977" w:type="dxa"/>
            <w:shd w:val="clear" w:color="auto" w:fill="auto"/>
          </w:tcPr>
          <w:p w:rsidR="009E6EBB" w:rsidRPr="00295CF8" w:rsidRDefault="001F403F">
            <w:pPr>
              <w:spacing w:before="0"/>
              <w:jc w:val="right"/>
              <w:rPr>
                <w:szCs w:val="24"/>
                <w:lang w:val="en-GB"/>
              </w:rPr>
            </w:pPr>
            <w:r w:rsidRPr="00295CF8">
              <w:rPr>
                <w:szCs w:val="24"/>
                <w:lang w:val="en-GB"/>
              </w:rPr>
              <w:t xml:space="preserve">Geneva, </w:t>
            </w:r>
            <w:r w:rsidR="00DF56B8">
              <w:rPr>
                <w:szCs w:val="24"/>
                <w:lang w:val="en-GB"/>
              </w:rPr>
              <w:t>15 January 2019</w:t>
            </w:r>
          </w:p>
        </w:tc>
      </w:tr>
      <w:tr w:rsidR="009E6EBB" w:rsidRPr="000D79FA" w:rsidTr="00AC05B1">
        <w:tc>
          <w:tcPr>
            <w:tcW w:w="9889" w:type="dxa"/>
            <w:gridSpan w:val="3"/>
            <w:shd w:val="clear" w:color="auto" w:fill="auto"/>
          </w:tcPr>
          <w:p w:rsidR="009E6EBB" w:rsidRPr="000D79FA" w:rsidRDefault="009E6EBB" w:rsidP="00DE6E1E">
            <w:pPr>
              <w:tabs>
                <w:tab w:val="left" w:pos="4428"/>
              </w:tabs>
              <w:spacing w:before="0"/>
              <w:ind w:left="-109"/>
              <w:jc w:val="left"/>
              <w:rPr>
                <w:rFonts w:cs="Arial"/>
                <w:sz w:val="24"/>
                <w:szCs w:val="24"/>
                <w:lang w:val="en-GB"/>
              </w:rPr>
            </w:pP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sz w:val="24"/>
                <w:szCs w:val="24"/>
                <w:lang w:val="en-GB"/>
              </w:rPr>
            </w:pP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b/>
                <w:bCs/>
                <w:sz w:val="24"/>
                <w:szCs w:val="24"/>
                <w:lang w:val="en-GB"/>
              </w:rPr>
            </w:pPr>
            <w:r w:rsidRPr="000D79FA">
              <w:rPr>
                <w:b/>
                <w:bCs/>
                <w:sz w:val="24"/>
                <w:szCs w:val="24"/>
                <w:lang w:val="en-GB"/>
              </w:rPr>
              <w:t>To Administrations of Member States of the ITU</w:t>
            </w: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sz w:val="24"/>
                <w:szCs w:val="24"/>
                <w:lang w:val="en-GB"/>
              </w:rPr>
            </w:pP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sz w:val="24"/>
                <w:szCs w:val="24"/>
                <w:lang w:val="en-GB"/>
              </w:rPr>
            </w:pPr>
          </w:p>
        </w:tc>
      </w:tr>
      <w:tr w:rsidR="009E6EBB" w:rsidRPr="000D79FA" w:rsidTr="00AC05B1">
        <w:tc>
          <w:tcPr>
            <w:tcW w:w="1526" w:type="dxa"/>
            <w:shd w:val="clear" w:color="auto" w:fill="auto"/>
          </w:tcPr>
          <w:p w:rsidR="009E6EBB" w:rsidRPr="000D79FA" w:rsidRDefault="009E6EBB" w:rsidP="00DE6E1E">
            <w:pPr>
              <w:spacing w:before="0"/>
              <w:ind w:left="-109"/>
              <w:jc w:val="left"/>
              <w:rPr>
                <w:sz w:val="24"/>
                <w:szCs w:val="24"/>
                <w:lang w:val="en-GB"/>
              </w:rPr>
            </w:pPr>
            <w:r w:rsidRPr="000D79FA">
              <w:rPr>
                <w:sz w:val="24"/>
                <w:szCs w:val="24"/>
                <w:lang w:val="en-GB"/>
              </w:rPr>
              <w:t>Subject:</w:t>
            </w:r>
          </w:p>
        </w:tc>
        <w:tc>
          <w:tcPr>
            <w:tcW w:w="8363" w:type="dxa"/>
            <w:gridSpan w:val="2"/>
            <w:vMerge w:val="restart"/>
            <w:shd w:val="clear" w:color="auto" w:fill="auto"/>
          </w:tcPr>
          <w:p w:rsidR="009E6EBB" w:rsidRPr="00EE1264" w:rsidRDefault="009F2FCD" w:rsidP="00DE6E1E">
            <w:pPr>
              <w:spacing w:before="0"/>
              <w:ind w:left="-109"/>
              <w:rPr>
                <w:b/>
                <w:bCs/>
                <w:sz w:val="24"/>
                <w:szCs w:val="24"/>
                <w:lang w:val="en-GB"/>
              </w:rPr>
            </w:pPr>
            <w:r>
              <w:rPr>
                <w:b/>
                <w:bCs/>
                <w:sz w:val="24"/>
                <w:szCs w:val="24"/>
                <w:lang w:val="en-GB"/>
              </w:rPr>
              <w:t xml:space="preserve">Draft </w:t>
            </w:r>
            <w:r w:rsidR="00B75EA5">
              <w:rPr>
                <w:b/>
                <w:bCs/>
                <w:sz w:val="24"/>
                <w:szCs w:val="24"/>
                <w:lang w:val="en-GB"/>
              </w:rPr>
              <w:t>Rules of Procedure</w:t>
            </w:r>
            <w:r w:rsidR="004A3BD5">
              <w:rPr>
                <w:b/>
                <w:bCs/>
                <w:sz w:val="24"/>
                <w:szCs w:val="24"/>
                <w:lang w:val="en-GB"/>
              </w:rPr>
              <w:t xml:space="preserve"> </w:t>
            </w:r>
            <w:r w:rsidR="004A3BD5" w:rsidRPr="00ED68D5">
              <w:rPr>
                <w:rFonts w:asciiTheme="minorHAnsi" w:hAnsiTheme="minorHAnsi"/>
                <w:b/>
                <w:bCs/>
                <w:sz w:val="24"/>
                <w:szCs w:val="24"/>
              </w:rPr>
              <w:t>concerning the Regional Agreement GE</w:t>
            </w:r>
            <w:r w:rsidR="007D57BE">
              <w:rPr>
                <w:rFonts w:asciiTheme="minorHAnsi" w:hAnsiTheme="minorHAnsi"/>
                <w:b/>
                <w:bCs/>
                <w:sz w:val="24"/>
                <w:szCs w:val="24"/>
              </w:rPr>
              <w:t>75</w:t>
            </w:r>
          </w:p>
        </w:tc>
      </w:tr>
      <w:tr w:rsidR="009E6EBB" w:rsidRPr="000D79FA" w:rsidTr="00AC05B1">
        <w:tc>
          <w:tcPr>
            <w:tcW w:w="1526" w:type="dxa"/>
            <w:shd w:val="clear" w:color="auto" w:fill="auto"/>
          </w:tcPr>
          <w:p w:rsidR="009E6EBB" w:rsidRPr="000D79FA" w:rsidRDefault="009E6EBB" w:rsidP="00DE6E1E">
            <w:pPr>
              <w:spacing w:before="0"/>
              <w:ind w:left="-109"/>
              <w:jc w:val="left"/>
              <w:rPr>
                <w:b/>
                <w:bCs/>
                <w:sz w:val="24"/>
                <w:szCs w:val="24"/>
                <w:lang w:val="en-GB"/>
              </w:rPr>
            </w:pPr>
          </w:p>
        </w:tc>
        <w:tc>
          <w:tcPr>
            <w:tcW w:w="8363" w:type="dxa"/>
            <w:gridSpan w:val="2"/>
            <w:vMerge/>
            <w:shd w:val="clear" w:color="auto" w:fill="auto"/>
          </w:tcPr>
          <w:p w:rsidR="009E6EBB" w:rsidRPr="000D79FA" w:rsidRDefault="009E6EBB" w:rsidP="00DE6E1E">
            <w:pPr>
              <w:spacing w:before="0"/>
              <w:ind w:left="-109"/>
              <w:rPr>
                <w:b/>
                <w:bCs/>
                <w:sz w:val="24"/>
                <w:szCs w:val="24"/>
                <w:lang w:val="en-GB"/>
              </w:rPr>
            </w:pPr>
          </w:p>
        </w:tc>
      </w:tr>
      <w:tr w:rsidR="009E6EBB" w:rsidRPr="000D79FA" w:rsidTr="00AC05B1">
        <w:tc>
          <w:tcPr>
            <w:tcW w:w="1526" w:type="dxa"/>
            <w:shd w:val="clear" w:color="auto" w:fill="auto"/>
          </w:tcPr>
          <w:p w:rsidR="009E6EBB" w:rsidRPr="000D79FA" w:rsidRDefault="009E6EBB" w:rsidP="00DE6E1E">
            <w:pPr>
              <w:spacing w:before="0"/>
              <w:ind w:left="-109"/>
              <w:jc w:val="left"/>
              <w:rPr>
                <w:b/>
                <w:bCs/>
                <w:sz w:val="24"/>
                <w:szCs w:val="24"/>
                <w:lang w:val="en-GB"/>
              </w:rPr>
            </w:pPr>
          </w:p>
        </w:tc>
        <w:tc>
          <w:tcPr>
            <w:tcW w:w="8363" w:type="dxa"/>
            <w:gridSpan w:val="2"/>
            <w:vMerge/>
            <w:shd w:val="clear" w:color="auto" w:fill="auto"/>
          </w:tcPr>
          <w:p w:rsidR="009E6EBB" w:rsidRPr="000D79FA" w:rsidRDefault="009E6EBB" w:rsidP="00DE6E1E">
            <w:pPr>
              <w:spacing w:before="0"/>
              <w:ind w:left="-109"/>
              <w:rPr>
                <w:b/>
                <w:bCs/>
                <w:sz w:val="24"/>
                <w:szCs w:val="24"/>
                <w:lang w:val="en-GB"/>
              </w:rPr>
            </w:pPr>
          </w:p>
        </w:tc>
      </w:tr>
    </w:tbl>
    <w:p w:rsidR="004A3BD5" w:rsidRDefault="004A3BD5" w:rsidP="00DE6E1E">
      <w:pPr>
        <w:tabs>
          <w:tab w:val="clear" w:pos="794"/>
          <w:tab w:val="clear" w:pos="1191"/>
          <w:tab w:val="clear" w:pos="1588"/>
          <w:tab w:val="clear" w:pos="1985"/>
        </w:tabs>
        <w:spacing w:before="120" w:after="120"/>
        <w:ind w:right="-142"/>
        <w:rPr>
          <w:rFonts w:eastAsia="Times New Roman"/>
          <w:sz w:val="24"/>
          <w:szCs w:val="24"/>
          <w:lang w:val="en-GB"/>
        </w:rPr>
      </w:pPr>
      <w:r w:rsidRPr="005864A7">
        <w:rPr>
          <w:sz w:val="24"/>
          <w:szCs w:val="24"/>
        </w:rPr>
        <w:t xml:space="preserve">Please find enclosed </w:t>
      </w:r>
      <w:r>
        <w:rPr>
          <w:sz w:val="24"/>
          <w:szCs w:val="24"/>
        </w:rPr>
        <w:t xml:space="preserve">a </w:t>
      </w:r>
      <w:r w:rsidRPr="005864A7">
        <w:rPr>
          <w:sz w:val="24"/>
          <w:szCs w:val="24"/>
        </w:rPr>
        <w:t xml:space="preserve">draft Rule of Procedure </w:t>
      </w:r>
      <w:r>
        <w:rPr>
          <w:sz w:val="24"/>
          <w:szCs w:val="24"/>
        </w:rPr>
        <w:t xml:space="preserve">intended to </w:t>
      </w:r>
      <w:r w:rsidRPr="004A3BD5">
        <w:rPr>
          <w:rFonts w:eastAsia="Times New Roman"/>
          <w:sz w:val="24"/>
          <w:szCs w:val="24"/>
          <w:lang w:val="en-GB"/>
        </w:rPr>
        <w:t xml:space="preserve">facilitate the application of </w:t>
      </w:r>
      <w:r>
        <w:rPr>
          <w:rFonts w:eastAsia="Times New Roman"/>
          <w:sz w:val="24"/>
          <w:szCs w:val="24"/>
          <w:lang w:val="en-GB"/>
        </w:rPr>
        <w:t>the plan modification procedure</w:t>
      </w:r>
      <w:r w:rsidRPr="004A3BD5">
        <w:rPr>
          <w:rFonts w:eastAsia="Times New Roman"/>
          <w:sz w:val="24"/>
          <w:szCs w:val="24"/>
          <w:lang w:val="en-GB"/>
        </w:rPr>
        <w:t xml:space="preserve"> </w:t>
      </w:r>
      <w:r>
        <w:rPr>
          <w:rFonts w:eastAsia="Times New Roman"/>
          <w:sz w:val="24"/>
          <w:szCs w:val="24"/>
          <w:lang w:val="en-GB"/>
        </w:rPr>
        <w:t xml:space="preserve">of </w:t>
      </w:r>
      <w:r w:rsidRPr="004A3BD5">
        <w:rPr>
          <w:sz w:val="24"/>
          <w:szCs w:val="24"/>
        </w:rPr>
        <w:t>the Regional Agreement</w:t>
      </w:r>
      <w:r>
        <w:rPr>
          <w:sz w:val="24"/>
          <w:szCs w:val="24"/>
        </w:rPr>
        <w:t>,</w:t>
      </w:r>
      <w:r w:rsidRPr="004A3BD5">
        <w:rPr>
          <w:sz w:val="24"/>
          <w:szCs w:val="24"/>
        </w:rPr>
        <w:t xml:space="preserve"> Geneva 1975</w:t>
      </w:r>
      <w:r>
        <w:rPr>
          <w:sz w:val="24"/>
          <w:szCs w:val="24"/>
        </w:rPr>
        <w:t xml:space="preserve"> </w:t>
      </w:r>
      <w:r w:rsidRPr="004A3BD5">
        <w:rPr>
          <w:rFonts w:eastAsia="Times New Roman"/>
          <w:sz w:val="24"/>
          <w:szCs w:val="24"/>
          <w:lang w:val="en-GB"/>
        </w:rPr>
        <w:t>for digital broadcasting assignments</w:t>
      </w:r>
      <w:r w:rsidR="00C76E83" w:rsidRPr="004A3BD5">
        <w:rPr>
          <w:rFonts w:eastAsia="Times New Roman"/>
          <w:sz w:val="24"/>
          <w:szCs w:val="24"/>
          <w:lang w:val="en-GB"/>
        </w:rPr>
        <w:t xml:space="preserve">. </w:t>
      </w:r>
    </w:p>
    <w:p w:rsidR="00B75EA5" w:rsidRPr="009C6769" w:rsidRDefault="004A3BD5" w:rsidP="00DE6E1E">
      <w:pPr>
        <w:tabs>
          <w:tab w:val="clear" w:pos="794"/>
          <w:tab w:val="clear" w:pos="1191"/>
          <w:tab w:val="clear" w:pos="1588"/>
          <w:tab w:val="clear" w:pos="1985"/>
        </w:tabs>
        <w:spacing w:before="120" w:after="120"/>
        <w:ind w:right="-142"/>
        <w:rPr>
          <w:sz w:val="24"/>
          <w:szCs w:val="24"/>
        </w:rPr>
      </w:pPr>
      <w:r w:rsidRPr="00A018A7">
        <w:rPr>
          <w:sz w:val="24"/>
          <w:szCs w:val="24"/>
        </w:rPr>
        <w:t xml:space="preserve">This draft Rule of Procedure has been developed </w:t>
      </w:r>
      <w:r>
        <w:rPr>
          <w:sz w:val="24"/>
          <w:szCs w:val="24"/>
        </w:rPr>
        <w:t>in</w:t>
      </w:r>
      <w:r w:rsidR="007D57BE">
        <w:rPr>
          <w:sz w:val="24"/>
          <w:szCs w:val="24"/>
        </w:rPr>
        <w:t xml:space="preserve"> accordance with the relevant</w:t>
      </w:r>
      <w:r>
        <w:rPr>
          <w:sz w:val="24"/>
          <w:szCs w:val="24"/>
        </w:rPr>
        <w:t xml:space="preserve"> decision </w:t>
      </w:r>
      <w:r w:rsidRPr="00A018A7">
        <w:rPr>
          <w:sz w:val="24"/>
          <w:szCs w:val="24"/>
        </w:rPr>
        <w:t xml:space="preserve">of the Radio Regulations </w:t>
      </w:r>
      <w:r>
        <w:rPr>
          <w:sz w:val="24"/>
          <w:szCs w:val="24"/>
        </w:rPr>
        <w:t>Board at its 79</w:t>
      </w:r>
      <w:r w:rsidRPr="004A3BD5">
        <w:rPr>
          <w:sz w:val="24"/>
          <w:szCs w:val="24"/>
          <w:vertAlign w:val="superscript"/>
        </w:rPr>
        <w:t>th</w:t>
      </w:r>
      <w:r>
        <w:rPr>
          <w:sz w:val="24"/>
          <w:szCs w:val="24"/>
        </w:rPr>
        <w:t xml:space="preserve"> </w:t>
      </w:r>
      <w:r w:rsidRPr="00A018A7">
        <w:rPr>
          <w:sz w:val="24"/>
          <w:szCs w:val="24"/>
        </w:rPr>
        <w:t>meeting</w:t>
      </w:r>
      <w:r>
        <w:rPr>
          <w:rFonts w:eastAsia="Times New Roman"/>
          <w:sz w:val="24"/>
          <w:szCs w:val="24"/>
          <w:lang w:val="en-GB"/>
        </w:rPr>
        <w:t>.</w:t>
      </w:r>
    </w:p>
    <w:p w:rsidR="00597E71" w:rsidRDefault="009F2FCD" w:rsidP="00DE6E1E">
      <w:pPr>
        <w:tabs>
          <w:tab w:val="clear" w:pos="794"/>
          <w:tab w:val="clear" w:pos="1191"/>
          <w:tab w:val="clear" w:pos="1588"/>
          <w:tab w:val="clear" w:pos="1985"/>
        </w:tabs>
        <w:spacing w:before="120" w:after="120"/>
        <w:ind w:right="-142"/>
        <w:rPr>
          <w:sz w:val="24"/>
          <w:szCs w:val="24"/>
          <w:lang w:val="en-GB"/>
        </w:rPr>
      </w:pPr>
      <w:r w:rsidRPr="00CE7562">
        <w:rPr>
          <w:sz w:val="24"/>
          <w:szCs w:val="24"/>
          <w:lang w:val="en-GB"/>
        </w:rPr>
        <w:t xml:space="preserve">In accordance with No. </w:t>
      </w:r>
      <w:r w:rsidRPr="00CE7562">
        <w:rPr>
          <w:b/>
          <w:bCs/>
          <w:sz w:val="24"/>
          <w:szCs w:val="24"/>
          <w:lang w:val="en-GB"/>
        </w:rPr>
        <w:t>13.17</w:t>
      </w:r>
      <w:r w:rsidRPr="00CE7562">
        <w:rPr>
          <w:sz w:val="24"/>
          <w:szCs w:val="24"/>
          <w:lang w:val="en-GB"/>
        </w:rPr>
        <w:t xml:space="preserve"> of the Radio Regulations, these draft Rules of Procedure are made available to administrations for comments before being submitted to the RRB pursuant to No. </w:t>
      </w:r>
      <w:r w:rsidRPr="00CE7562">
        <w:rPr>
          <w:b/>
          <w:bCs/>
          <w:sz w:val="24"/>
          <w:szCs w:val="24"/>
          <w:lang w:val="en-GB"/>
        </w:rPr>
        <w:t>13.14</w:t>
      </w:r>
      <w:r w:rsidRPr="00CE7562">
        <w:rPr>
          <w:sz w:val="24"/>
          <w:szCs w:val="24"/>
          <w:lang w:val="en-GB"/>
        </w:rPr>
        <w:t xml:space="preserve">. As indicated in No. </w:t>
      </w:r>
      <w:r w:rsidRPr="00CE7562">
        <w:rPr>
          <w:b/>
          <w:bCs/>
          <w:sz w:val="24"/>
          <w:szCs w:val="24"/>
          <w:lang w:val="en-GB"/>
        </w:rPr>
        <w:t>13.12A</w:t>
      </w:r>
      <w:r w:rsidRPr="00CE7562">
        <w:rPr>
          <w:sz w:val="24"/>
          <w:szCs w:val="24"/>
          <w:lang w:val="en-GB"/>
        </w:rPr>
        <w:t xml:space="preserve"> </w:t>
      </w:r>
      <w:r w:rsidRPr="00CE7562">
        <w:rPr>
          <w:i/>
          <w:iCs/>
          <w:sz w:val="24"/>
          <w:szCs w:val="24"/>
          <w:lang w:val="en-GB"/>
        </w:rPr>
        <w:t>d)</w:t>
      </w:r>
      <w:r w:rsidRPr="00CE7562">
        <w:rPr>
          <w:sz w:val="24"/>
          <w:szCs w:val="24"/>
          <w:lang w:val="en-GB"/>
        </w:rPr>
        <w:t xml:space="preserve"> of the Radio Regulations, any comments that you may wish to submit should reach the Bureau not later than </w:t>
      </w:r>
      <w:r w:rsidRPr="00F44D96">
        <w:rPr>
          <w:b/>
          <w:bCs/>
          <w:sz w:val="24"/>
          <w:szCs w:val="24"/>
          <w:lang w:val="en-GB"/>
        </w:rPr>
        <w:t xml:space="preserve">18 </w:t>
      </w:r>
      <w:r w:rsidR="00F44D96" w:rsidRPr="00610387">
        <w:rPr>
          <w:b/>
          <w:bCs/>
          <w:sz w:val="24"/>
          <w:szCs w:val="24"/>
          <w:lang w:val="en-GB"/>
        </w:rPr>
        <w:t>February</w:t>
      </w:r>
      <w:r w:rsidRPr="00F44D96">
        <w:rPr>
          <w:b/>
          <w:bCs/>
          <w:sz w:val="24"/>
          <w:szCs w:val="24"/>
          <w:lang w:val="en-GB"/>
        </w:rPr>
        <w:t xml:space="preserve"> 201</w:t>
      </w:r>
      <w:r w:rsidR="00F44D96" w:rsidRPr="00610387">
        <w:rPr>
          <w:b/>
          <w:bCs/>
          <w:sz w:val="24"/>
          <w:szCs w:val="24"/>
          <w:lang w:val="en-GB"/>
        </w:rPr>
        <w:t>9</w:t>
      </w:r>
      <w:r w:rsidRPr="00CE7562">
        <w:rPr>
          <w:sz w:val="24"/>
          <w:szCs w:val="24"/>
          <w:lang w:val="en-GB"/>
        </w:rPr>
        <w:t xml:space="preserve">, in order to be considered at the </w:t>
      </w:r>
      <w:r w:rsidR="00087864">
        <w:rPr>
          <w:sz w:val="24"/>
          <w:szCs w:val="24"/>
          <w:lang w:val="en-GB"/>
        </w:rPr>
        <w:t xml:space="preserve">                      </w:t>
      </w:r>
      <w:r>
        <w:rPr>
          <w:sz w:val="24"/>
          <w:szCs w:val="24"/>
          <w:lang w:val="en-GB"/>
        </w:rPr>
        <w:t>80</w:t>
      </w:r>
      <w:r w:rsidRPr="00CE7562">
        <w:rPr>
          <w:sz w:val="24"/>
          <w:szCs w:val="24"/>
          <w:vertAlign w:val="superscript"/>
          <w:lang w:val="en-GB"/>
        </w:rPr>
        <w:t>th</w:t>
      </w:r>
      <w:r w:rsidRPr="00CE7562">
        <w:rPr>
          <w:sz w:val="24"/>
          <w:szCs w:val="24"/>
          <w:lang w:val="en-GB"/>
        </w:rPr>
        <w:t xml:space="preserve"> meeting of the RRB, scheduled for </w:t>
      </w:r>
      <w:r>
        <w:rPr>
          <w:sz w:val="24"/>
          <w:szCs w:val="24"/>
          <w:lang w:val="en-GB"/>
        </w:rPr>
        <w:t>18</w:t>
      </w:r>
      <w:r w:rsidRPr="00CE7562">
        <w:rPr>
          <w:sz w:val="24"/>
          <w:szCs w:val="24"/>
          <w:lang w:val="en-GB"/>
        </w:rPr>
        <w:t xml:space="preserve"> – 2</w:t>
      </w:r>
      <w:r>
        <w:rPr>
          <w:sz w:val="24"/>
          <w:szCs w:val="24"/>
          <w:lang w:val="en-GB"/>
        </w:rPr>
        <w:t>2</w:t>
      </w:r>
      <w:r w:rsidRPr="00CE7562">
        <w:rPr>
          <w:sz w:val="24"/>
          <w:szCs w:val="24"/>
          <w:lang w:val="en-GB"/>
        </w:rPr>
        <w:t xml:space="preserve"> </w:t>
      </w:r>
      <w:r>
        <w:rPr>
          <w:sz w:val="24"/>
          <w:szCs w:val="24"/>
          <w:lang w:val="en-GB"/>
        </w:rPr>
        <w:t>March</w:t>
      </w:r>
      <w:r w:rsidRPr="00CE7562">
        <w:rPr>
          <w:sz w:val="24"/>
          <w:szCs w:val="24"/>
          <w:lang w:val="en-GB"/>
        </w:rPr>
        <w:t xml:space="preserve"> 201</w:t>
      </w:r>
      <w:r>
        <w:rPr>
          <w:sz w:val="24"/>
          <w:szCs w:val="24"/>
          <w:lang w:val="en-GB"/>
        </w:rPr>
        <w:t>9</w:t>
      </w:r>
      <w:r w:rsidRPr="00CE7562">
        <w:rPr>
          <w:sz w:val="24"/>
          <w:szCs w:val="24"/>
          <w:lang w:val="en-GB"/>
        </w:rPr>
        <w:t xml:space="preserve">. Comments should be sent either by telefax to +41 22 730 5785 or by email to </w:t>
      </w:r>
      <w:hyperlink r:id="rId8" w:history="1">
        <w:r w:rsidRPr="00CE7562">
          <w:rPr>
            <w:color w:val="0000FF"/>
            <w:sz w:val="24"/>
            <w:szCs w:val="24"/>
            <w:u w:val="single"/>
            <w:lang w:val="en-GB"/>
          </w:rPr>
          <w:t>brmail@itu.int</w:t>
        </w:r>
      </w:hyperlink>
      <w:r w:rsidRPr="00CE7562">
        <w:rPr>
          <w:sz w:val="24"/>
          <w:szCs w:val="24"/>
          <w:lang w:val="en-GB"/>
        </w:rPr>
        <w:t>.</w:t>
      </w:r>
    </w:p>
    <w:p w:rsidR="00D627AD" w:rsidRPr="00597E71" w:rsidRDefault="00D627AD" w:rsidP="00560569">
      <w:pPr>
        <w:tabs>
          <w:tab w:val="clear" w:pos="794"/>
          <w:tab w:val="clear" w:pos="1191"/>
          <w:tab w:val="clear" w:pos="1588"/>
          <w:tab w:val="clear" w:pos="1985"/>
        </w:tabs>
        <w:spacing w:before="120" w:after="120"/>
        <w:ind w:right="-142"/>
        <w:rPr>
          <w:rFonts w:eastAsia="Times New Roman"/>
          <w:sz w:val="24"/>
          <w:szCs w:val="24"/>
          <w:lang w:val="en-GB" w:eastAsia="zh-CN"/>
        </w:rPr>
      </w:pPr>
      <w:r>
        <w:rPr>
          <w:sz w:val="24"/>
          <w:szCs w:val="24"/>
          <w:lang w:val="en-GB"/>
        </w:rPr>
        <w:t xml:space="preserve">Your attention is drawn to the fact that this Circular cancels and replaces </w:t>
      </w:r>
      <w:r w:rsidR="002C0FFC">
        <w:rPr>
          <w:sz w:val="24"/>
          <w:szCs w:val="24"/>
          <w:lang w:val="en-GB"/>
        </w:rPr>
        <w:t>Circular Letter CR/439 dated 18 December 2019.</w:t>
      </w:r>
    </w:p>
    <w:p w:rsidR="006A5B9A" w:rsidRDefault="006A5B9A" w:rsidP="00DE6E1E">
      <w:pPr>
        <w:spacing w:before="120" w:after="120"/>
        <w:ind w:right="-284"/>
        <w:rPr>
          <w:rFonts w:eastAsia="Times New Roman"/>
          <w:sz w:val="24"/>
          <w:szCs w:val="24"/>
          <w:lang w:val="en-GB"/>
        </w:rPr>
      </w:pPr>
    </w:p>
    <w:p w:rsidR="009C6769" w:rsidRPr="006A5B9A" w:rsidRDefault="009C6769" w:rsidP="00DE6E1E">
      <w:pPr>
        <w:spacing w:before="0" w:line="240" w:lineRule="auto"/>
        <w:jc w:val="left"/>
        <w:rPr>
          <w:rFonts w:asciiTheme="minorHAnsi" w:hAnsiTheme="minorHAnsi" w:cstheme="minorHAnsi"/>
          <w:sz w:val="24"/>
          <w:szCs w:val="24"/>
          <w:lang w:val="en-GB"/>
        </w:rPr>
      </w:pPr>
    </w:p>
    <w:p w:rsidR="009C6769" w:rsidRDefault="009C6769" w:rsidP="00DE6E1E">
      <w:pPr>
        <w:spacing w:before="0" w:line="240" w:lineRule="auto"/>
        <w:jc w:val="left"/>
        <w:rPr>
          <w:rFonts w:asciiTheme="minorHAnsi" w:hAnsiTheme="minorHAnsi" w:cstheme="minorHAnsi"/>
          <w:sz w:val="24"/>
          <w:szCs w:val="24"/>
        </w:rPr>
      </w:pPr>
    </w:p>
    <w:p w:rsidR="009E6EBB" w:rsidRPr="00814544" w:rsidRDefault="00DF56B8" w:rsidP="00DE6E1E">
      <w:pPr>
        <w:spacing w:before="0" w:line="240" w:lineRule="auto"/>
        <w:jc w:val="left"/>
        <w:rPr>
          <w:rFonts w:asciiTheme="minorHAnsi" w:hAnsiTheme="minorHAnsi" w:cstheme="minorHAnsi"/>
          <w:sz w:val="24"/>
          <w:szCs w:val="24"/>
          <w:lang w:val="en-GB"/>
        </w:rPr>
      </w:pPr>
      <w:r w:rsidRPr="00814544">
        <w:rPr>
          <w:rFonts w:asciiTheme="minorHAnsi" w:hAnsiTheme="minorHAnsi" w:cstheme="minorHAnsi"/>
          <w:sz w:val="24"/>
          <w:szCs w:val="24"/>
          <w:lang w:val="en-GB"/>
        </w:rPr>
        <w:t>M</w:t>
      </w:r>
      <w:r>
        <w:rPr>
          <w:rFonts w:asciiTheme="minorHAnsi" w:hAnsiTheme="minorHAnsi" w:cstheme="minorHAnsi"/>
          <w:sz w:val="24"/>
          <w:szCs w:val="24"/>
          <w:lang w:val="en-GB"/>
        </w:rPr>
        <w:t xml:space="preserve">ario </w:t>
      </w:r>
      <w:proofErr w:type="spellStart"/>
      <w:r>
        <w:rPr>
          <w:rFonts w:asciiTheme="minorHAnsi" w:hAnsiTheme="minorHAnsi" w:cstheme="minorHAnsi"/>
          <w:sz w:val="24"/>
          <w:szCs w:val="24"/>
          <w:lang w:val="en-GB"/>
        </w:rPr>
        <w:t>Maniewicz</w:t>
      </w:r>
      <w:proofErr w:type="spellEnd"/>
    </w:p>
    <w:p w:rsidR="009E6EBB" w:rsidRPr="00814544" w:rsidRDefault="009E6EBB" w:rsidP="00DE6E1E">
      <w:pPr>
        <w:spacing w:before="0" w:line="240" w:lineRule="auto"/>
        <w:jc w:val="left"/>
        <w:rPr>
          <w:rFonts w:asciiTheme="minorHAnsi" w:hAnsiTheme="minorHAnsi" w:cstheme="minorHAnsi"/>
          <w:sz w:val="24"/>
          <w:szCs w:val="24"/>
          <w:lang w:val="en-GB"/>
        </w:rPr>
      </w:pPr>
      <w:r w:rsidRPr="00814544">
        <w:rPr>
          <w:rFonts w:asciiTheme="minorHAnsi" w:hAnsiTheme="minorHAnsi" w:cstheme="minorHAnsi"/>
          <w:sz w:val="24"/>
          <w:szCs w:val="24"/>
          <w:lang w:val="en-GB"/>
        </w:rPr>
        <w:t>Director</w:t>
      </w:r>
    </w:p>
    <w:p w:rsidR="009E6EBB" w:rsidRPr="00814544" w:rsidRDefault="009E6EBB" w:rsidP="00DE6E1E">
      <w:pPr>
        <w:spacing w:before="0" w:line="240" w:lineRule="auto"/>
        <w:jc w:val="left"/>
        <w:rPr>
          <w:rFonts w:asciiTheme="minorHAnsi" w:hAnsiTheme="minorHAnsi" w:cstheme="minorHAnsi"/>
          <w:sz w:val="24"/>
          <w:szCs w:val="24"/>
          <w:lang w:val="en-GB"/>
        </w:rPr>
      </w:pPr>
    </w:p>
    <w:p w:rsidR="00EE3CDE" w:rsidRPr="00814544" w:rsidRDefault="00EE3CDE" w:rsidP="00DE6E1E">
      <w:pPr>
        <w:pStyle w:val="ListParagraph"/>
        <w:tabs>
          <w:tab w:val="clear" w:pos="794"/>
          <w:tab w:val="clear" w:pos="1191"/>
          <w:tab w:val="clear" w:pos="1588"/>
          <w:tab w:val="clear" w:pos="1985"/>
        </w:tabs>
        <w:spacing w:line="276" w:lineRule="auto"/>
        <w:ind w:left="0"/>
        <w:rPr>
          <w:lang w:val="en-GB"/>
        </w:rPr>
      </w:pPr>
      <w:r w:rsidRPr="00814544">
        <w:rPr>
          <w:b/>
          <w:bCs/>
          <w:sz w:val="24"/>
          <w:szCs w:val="24"/>
          <w:lang w:val="en-GB"/>
        </w:rPr>
        <w:t>Annex</w:t>
      </w:r>
      <w:r w:rsidR="007D57BE" w:rsidRPr="00814544">
        <w:rPr>
          <w:b/>
          <w:bCs/>
          <w:sz w:val="24"/>
          <w:szCs w:val="24"/>
          <w:lang w:val="en-GB"/>
        </w:rPr>
        <w:t>e</w:t>
      </w:r>
      <w:r w:rsidR="003B4354" w:rsidRPr="00814544">
        <w:rPr>
          <w:b/>
          <w:bCs/>
          <w:sz w:val="24"/>
          <w:szCs w:val="24"/>
          <w:lang w:val="en-GB"/>
        </w:rPr>
        <w:t>:</w:t>
      </w:r>
      <w:r w:rsidR="004969F2" w:rsidRPr="00814544">
        <w:rPr>
          <w:b/>
          <w:bCs/>
          <w:sz w:val="24"/>
          <w:szCs w:val="24"/>
          <w:lang w:val="en-GB"/>
        </w:rPr>
        <w:t xml:space="preserve"> </w:t>
      </w:r>
      <w:r w:rsidR="004969F2" w:rsidRPr="00814544">
        <w:rPr>
          <w:sz w:val="24"/>
          <w:szCs w:val="24"/>
          <w:lang w:val="en-GB"/>
        </w:rPr>
        <w:t xml:space="preserve">1 </w:t>
      </w:r>
    </w:p>
    <w:p w:rsidR="00EE3CDE" w:rsidRPr="00814544" w:rsidRDefault="00EE3CDE" w:rsidP="00DE6E1E">
      <w:pPr>
        <w:pStyle w:val="toc0"/>
        <w:tabs>
          <w:tab w:val="left" w:pos="794"/>
          <w:tab w:val="left" w:pos="1191"/>
          <w:tab w:val="left" w:pos="1588"/>
          <w:tab w:val="left" w:pos="1985"/>
        </w:tabs>
        <w:spacing w:before="480"/>
        <w:jc w:val="both"/>
        <w:rPr>
          <w:bCs/>
          <w:sz w:val="18"/>
          <w:szCs w:val="18"/>
          <w:u w:val="single"/>
          <w:lang w:val="en-GB"/>
        </w:rPr>
      </w:pPr>
      <w:bookmarkStart w:id="1" w:name="ddistribution"/>
      <w:bookmarkEnd w:id="1"/>
      <w:r w:rsidRPr="00814544">
        <w:rPr>
          <w:bCs/>
          <w:sz w:val="18"/>
          <w:szCs w:val="18"/>
          <w:u w:val="single"/>
          <w:lang w:val="en-GB"/>
        </w:rPr>
        <w:t>Distribution:</w:t>
      </w:r>
    </w:p>
    <w:p w:rsidR="00EE3CDE" w:rsidRPr="00AB4694" w:rsidRDefault="00EE3CDE" w:rsidP="00DE6E1E">
      <w:pPr>
        <w:pStyle w:val="enumlev1"/>
        <w:tabs>
          <w:tab w:val="clear" w:pos="794"/>
          <w:tab w:val="left" w:pos="284"/>
        </w:tabs>
        <w:ind w:firstLine="0"/>
        <w:rPr>
          <w:sz w:val="16"/>
          <w:szCs w:val="16"/>
        </w:rPr>
      </w:pPr>
      <w:r w:rsidRPr="00AB4694">
        <w:rPr>
          <w:sz w:val="16"/>
          <w:szCs w:val="16"/>
        </w:rPr>
        <w:t>–</w:t>
      </w:r>
      <w:r w:rsidRPr="00AB4694">
        <w:rPr>
          <w:sz w:val="16"/>
          <w:szCs w:val="16"/>
        </w:rPr>
        <w:tab/>
        <w:t>Administrations of Member States of ITU</w:t>
      </w:r>
    </w:p>
    <w:p w:rsidR="00EE3CDE" w:rsidRPr="00AB4694" w:rsidRDefault="00EE3CDE" w:rsidP="00DE6E1E">
      <w:pPr>
        <w:pStyle w:val="enumlev1"/>
        <w:tabs>
          <w:tab w:val="clear" w:pos="794"/>
          <w:tab w:val="left" w:pos="284"/>
        </w:tabs>
        <w:spacing w:before="0"/>
        <w:ind w:firstLine="0"/>
        <w:rPr>
          <w:sz w:val="16"/>
          <w:szCs w:val="16"/>
        </w:rPr>
      </w:pPr>
      <w:r w:rsidRPr="00AB4694">
        <w:rPr>
          <w:sz w:val="16"/>
          <w:szCs w:val="16"/>
        </w:rPr>
        <w:t>–</w:t>
      </w:r>
      <w:r w:rsidRPr="00AB4694">
        <w:rPr>
          <w:sz w:val="16"/>
          <w:szCs w:val="16"/>
        </w:rPr>
        <w:tab/>
        <w:t>Members of the Radio Regulations Board</w:t>
      </w:r>
    </w:p>
    <w:p w:rsidR="00EE3CDE" w:rsidRDefault="00EE3CDE" w:rsidP="00DE6E1E">
      <w:pPr>
        <w:spacing w:before="0" w:line="240" w:lineRule="auto"/>
        <w:jc w:val="left"/>
        <w:rPr>
          <w:rFonts w:asciiTheme="minorHAnsi" w:hAnsiTheme="minorHAnsi" w:cstheme="minorHAnsi"/>
          <w:sz w:val="16"/>
          <w:szCs w:val="16"/>
        </w:rPr>
      </w:pPr>
    </w:p>
    <w:p w:rsidR="004A1F3A" w:rsidRDefault="004A1F3A" w:rsidP="00DE6E1E">
      <w:pPr>
        <w:tabs>
          <w:tab w:val="clear" w:pos="794"/>
          <w:tab w:val="clear" w:pos="1191"/>
          <w:tab w:val="clear" w:pos="1588"/>
          <w:tab w:val="clear" w:pos="1985"/>
        </w:tabs>
        <w:overflowPunct/>
        <w:autoSpaceDE/>
        <w:autoSpaceDN/>
        <w:adjustRightInd/>
        <w:spacing w:before="0" w:line="240" w:lineRule="auto"/>
        <w:jc w:val="left"/>
        <w:textAlignment w:val="auto"/>
        <w:rPr>
          <w:rStyle w:val="Hyperlink"/>
          <w:rFonts w:asciiTheme="minorHAnsi" w:hAnsiTheme="minorHAnsi" w:cstheme="minorHAnsi"/>
          <w:sz w:val="16"/>
          <w:szCs w:val="16"/>
        </w:rPr>
      </w:pPr>
      <w:r>
        <w:rPr>
          <w:rStyle w:val="Hyperlink"/>
          <w:rFonts w:asciiTheme="minorHAnsi" w:hAnsiTheme="minorHAnsi" w:cstheme="minorHAnsi"/>
          <w:sz w:val="16"/>
          <w:szCs w:val="16"/>
        </w:rPr>
        <w:br w:type="page"/>
      </w:r>
    </w:p>
    <w:p w:rsidR="00EE3CDE" w:rsidRPr="00390E0A" w:rsidRDefault="00EE3CDE" w:rsidP="00EE3CDE">
      <w:pPr>
        <w:spacing w:before="120" w:line="240" w:lineRule="auto"/>
        <w:jc w:val="left"/>
        <w:rPr>
          <w:rFonts w:asciiTheme="minorHAnsi" w:hAnsiTheme="minorHAnsi" w:cstheme="minorHAnsi"/>
          <w:sz w:val="16"/>
          <w:szCs w:val="16"/>
        </w:rPr>
      </w:pPr>
    </w:p>
    <w:p w:rsidR="00D72B7B" w:rsidRPr="00D72B7B" w:rsidRDefault="00D72B7B" w:rsidP="00D72B7B">
      <w:pPr>
        <w:jc w:val="center"/>
        <w:rPr>
          <w:rFonts w:eastAsia="Times New Roman"/>
          <w:b/>
          <w:bCs/>
          <w:lang w:val="en-GB"/>
        </w:rPr>
      </w:pPr>
      <w:r>
        <w:rPr>
          <w:rFonts w:eastAsia="Times New Roman"/>
          <w:b/>
          <w:bCs/>
          <w:lang w:val="en-GB"/>
        </w:rPr>
        <w:t>ANNEX 1</w:t>
      </w:r>
    </w:p>
    <w:p w:rsidR="00597E71" w:rsidRPr="00097FC5" w:rsidRDefault="00597E71" w:rsidP="00597E71">
      <w:pPr>
        <w:pStyle w:val="Heading1"/>
        <w:spacing w:before="300"/>
        <w:jc w:val="center"/>
      </w:pPr>
      <w:r w:rsidRPr="00097FC5">
        <w:t xml:space="preserve">PART  </w:t>
      </w:r>
      <w:r w:rsidRPr="00097FC5">
        <w:rPr>
          <w:rStyle w:val="href"/>
        </w:rPr>
        <w:t>A3</w:t>
      </w:r>
    </w:p>
    <w:p w:rsidR="00597E71" w:rsidRPr="00097FC5" w:rsidRDefault="00597E71" w:rsidP="00597E71">
      <w:pPr>
        <w:pStyle w:val="Heading1"/>
        <w:ind w:left="0" w:firstLine="0"/>
        <w:jc w:val="center"/>
      </w:pPr>
      <w:r w:rsidRPr="00097FC5">
        <w:t>Rules concerning the Regional Agreement concerning the use by the</w:t>
      </w:r>
      <w:r w:rsidRPr="00097FC5">
        <w:br/>
        <w:t>broadcasting service of frequencies in the medium frequency bands</w:t>
      </w:r>
      <w:r w:rsidRPr="00097FC5">
        <w:br/>
        <w:t>in Regions 1 and 3 and in the low frequency bands in Region 1</w:t>
      </w:r>
      <w:r w:rsidRPr="00097FC5">
        <w:br/>
        <w:t>(Geneva, 1975) (</w:t>
      </w:r>
      <w:r w:rsidRPr="00097FC5">
        <w:rPr>
          <w:rStyle w:val="href2"/>
        </w:rPr>
        <w:t>GE75</w:t>
      </w:r>
      <w:r w:rsidRPr="00097FC5">
        <w:t>)</w:t>
      </w:r>
    </w:p>
    <w:p w:rsidR="00597E71" w:rsidRPr="00097FC5" w:rsidRDefault="00597E71" w:rsidP="00597E71">
      <w:pPr>
        <w:spacing w:before="0"/>
      </w:pPr>
    </w:p>
    <w:p w:rsidR="00597E71" w:rsidRPr="004969F2" w:rsidRDefault="00597E71" w:rsidP="004969F2">
      <w:pPr>
        <w:keepNext/>
        <w:keepLines/>
        <w:pBdr>
          <w:top w:val="double" w:sz="4" w:space="1" w:color="auto"/>
          <w:left w:val="double" w:sz="4" w:space="1" w:color="auto"/>
          <w:bottom w:val="double" w:sz="4" w:space="1" w:color="auto"/>
          <w:right w:val="double" w:sz="4"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eastAsia="Times New Roman" w:hAnsiTheme="minorHAnsi" w:cs="Times New Roman"/>
          <w:b/>
          <w:sz w:val="24"/>
          <w:szCs w:val="24"/>
          <w:lang w:val="en-GB"/>
        </w:rPr>
      </w:pPr>
      <w:r w:rsidRPr="004969F2">
        <w:rPr>
          <w:rFonts w:asciiTheme="minorHAnsi" w:eastAsia="Times New Roman" w:hAnsiTheme="minorHAnsi" w:cs="Times New Roman"/>
          <w:b/>
          <w:sz w:val="24"/>
          <w:szCs w:val="24"/>
          <w:lang w:val="en-GB"/>
        </w:rPr>
        <w:t>An. 2</w:t>
      </w:r>
    </w:p>
    <w:p w:rsidR="00597E71" w:rsidRDefault="00597E71" w:rsidP="00597E71">
      <w:pPr>
        <w:pStyle w:val="Heading2"/>
        <w:spacing w:before="240"/>
        <w:ind w:left="0" w:firstLine="0"/>
        <w:jc w:val="center"/>
      </w:pPr>
      <w:r w:rsidRPr="00097FC5">
        <w:t>Technical data used in the preparation of the Plan and to be used</w:t>
      </w:r>
      <w:r w:rsidRPr="00097FC5">
        <w:br/>
        <w:t>in the application of the Agreement</w:t>
      </w:r>
    </w:p>
    <w:p w:rsidR="00597E71" w:rsidRPr="00881196" w:rsidRDefault="00597E71" w:rsidP="00597E71">
      <w:pPr>
        <w:pStyle w:val="ChapNo"/>
        <w:rPr>
          <w:b w:val="0"/>
          <w:bCs/>
        </w:rPr>
      </w:pPr>
      <w:r w:rsidRPr="00881196">
        <w:rPr>
          <w:b w:val="0"/>
          <w:bCs/>
        </w:rPr>
        <w:t>CHAPTER 1</w:t>
      </w:r>
    </w:p>
    <w:p w:rsidR="00597E71" w:rsidRPr="00881196" w:rsidRDefault="00597E71" w:rsidP="00597E71">
      <w:pPr>
        <w:pStyle w:val="Chaptitle"/>
        <w:rPr>
          <w:sz w:val="26"/>
          <w:szCs w:val="26"/>
        </w:rPr>
      </w:pPr>
      <w:r w:rsidRPr="00881196">
        <w:rPr>
          <w:sz w:val="26"/>
          <w:szCs w:val="26"/>
        </w:rPr>
        <w:t>Definitions</w:t>
      </w:r>
    </w:p>
    <w:p w:rsidR="004C5EC0" w:rsidRPr="004A1F3A" w:rsidRDefault="004C5EC0" w:rsidP="00597E71">
      <w:pPr>
        <w:rPr>
          <w:b/>
        </w:rPr>
      </w:pPr>
      <w:r w:rsidRPr="004A1F3A">
        <w:rPr>
          <w:b/>
        </w:rPr>
        <w:t>MOD</w:t>
      </w:r>
    </w:p>
    <w:p w:rsidR="00597E71" w:rsidRPr="00097FC5" w:rsidRDefault="00597E71" w:rsidP="00597E71">
      <w:r w:rsidRPr="00097FC5">
        <w:t>4.4</w:t>
      </w:r>
      <w:r w:rsidRPr="00097FC5">
        <w:tab/>
      </w:r>
      <w:r w:rsidRPr="00097FC5">
        <w:rPr>
          <w:i/>
          <w:iCs/>
        </w:rPr>
        <w:t>Protection ratios:</w:t>
      </w:r>
      <w:r w:rsidRPr="00097FC5">
        <w:t>  In applying the Agreement, the values of the co-channel and adjacent channel protection ratios given below should be used unless otherwise agreed between the administrations concerned. In the case of fluctuating wanted or unwanted signals, the values of the protection ratio apply for at least 50% of the nights of the year at midnight.</w:t>
      </w:r>
    </w:p>
    <w:p w:rsidR="00597E71" w:rsidRPr="004C5EC0" w:rsidRDefault="00597E71" w:rsidP="00597E71">
      <w:r w:rsidRPr="004C5EC0">
        <w:t>However, Resolution 8 of the Regional Administrative Conference (Regions 1 and 3) for drawing up frequency assignment plans for LF and MF broadcasting (Geneva, 1975) states:</w:t>
      </w:r>
    </w:p>
    <w:p w:rsidR="00597E71" w:rsidRPr="004A1F3A" w:rsidRDefault="00597E71" w:rsidP="00597E71">
      <w:pPr>
        <w:pStyle w:val="enumlev1"/>
        <w:ind w:left="0" w:firstLine="0"/>
        <w:rPr>
          <w:i/>
          <w:iCs/>
        </w:rPr>
      </w:pPr>
      <w:r w:rsidRPr="004A1F3A">
        <w:rPr>
          <w:i/>
          <w:iCs/>
        </w:rPr>
        <w:t>“1</w:t>
      </w:r>
      <w:r w:rsidRPr="004A1F3A">
        <w:rPr>
          <w:i/>
          <w:iCs/>
        </w:rPr>
        <w:tab/>
        <w:t>that broadcasting stations may provisionally use bandwidth saving modulation methods on condition that interference in the same or adjacent channels concerned does not exceed the interference resulting from the application of double sideband modulation with full carrier (A3E);</w:t>
      </w:r>
    </w:p>
    <w:p w:rsidR="00597E71" w:rsidRPr="004A1F3A" w:rsidRDefault="00597E71" w:rsidP="00597E71">
      <w:pPr>
        <w:pStyle w:val="enumlev1"/>
        <w:ind w:left="0" w:firstLine="0"/>
        <w:rPr>
          <w:i/>
          <w:iCs/>
        </w:rPr>
      </w:pPr>
      <w:r w:rsidRPr="004A1F3A">
        <w:rPr>
          <w:i/>
          <w:iCs/>
        </w:rPr>
        <w:t>2</w:t>
      </w:r>
      <w:r w:rsidRPr="004A1F3A">
        <w:rPr>
          <w:i/>
          <w:iCs/>
        </w:rPr>
        <w:tab/>
        <w:t>that any administration which envisages using these methods of emission shall seek the agreement of all affected administrations by following the procedure specified in Article 4 of the Agreement.”.</w:t>
      </w:r>
    </w:p>
    <w:p w:rsidR="00597E71" w:rsidRPr="004A1F3A" w:rsidRDefault="00597E71" w:rsidP="00597E71">
      <w:pPr>
        <w:tabs>
          <w:tab w:val="left" w:pos="2700"/>
        </w:tabs>
      </w:pPr>
      <w:r w:rsidRPr="004A1F3A">
        <w:rPr>
          <w:rFonts w:eastAsia="SimSun"/>
          <w:lang w:eastAsia="zh-CN"/>
        </w:rPr>
        <w:t xml:space="preserve">After consideration of the relevant ITU-R studies, the Board decided that an analogue modulated frequency assignment in the Plan may be notified to be recorded in the Master International Frequency Register (MIFR) with digital modulation (transmission system Digital Radio </w:t>
      </w:r>
      <w:proofErr w:type="spellStart"/>
      <w:r w:rsidRPr="004A1F3A">
        <w:rPr>
          <w:rFonts w:eastAsia="SimSun"/>
          <w:lang w:eastAsia="zh-CN"/>
        </w:rPr>
        <w:t>Mondiale</w:t>
      </w:r>
      <w:proofErr w:type="spellEnd"/>
      <w:r w:rsidRPr="004C5EC0">
        <w:rPr>
          <w:rFonts w:eastAsia="SimSun"/>
          <w:vertAlign w:val="superscript"/>
        </w:rPr>
        <w:footnoteReference w:id="1"/>
      </w:r>
      <w:r w:rsidRPr="004C5EC0">
        <w:rPr>
          <w:rFonts w:eastAsia="SimSun"/>
          <w:lang w:eastAsia="zh-CN"/>
        </w:rPr>
        <w:t>, robustness mode</w:t>
      </w:r>
      <w:r w:rsidRPr="004A1F3A">
        <w:rPr>
          <w:rStyle w:val="FootnoteReference"/>
          <w:rFonts w:eastAsia="SimSun"/>
          <w:sz w:val="22"/>
          <w:lang w:eastAsia="zh-CN"/>
        </w:rPr>
        <w:footnoteReference w:id="2"/>
      </w:r>
      <w:r w:rsidRPr="004C5EC0">
        <w:rPr>
          <w:rFonts w:eastAsia="SimSun"/>
          <w:lang w:eastAsia="zh-CN"/>
        </w:rPr>
        <w:t xml:space="preserve"> A or B and spectrum occupancy type 2), provided the radiation is reduced by at least 6.6 dB in all directions, compared to the radiation of the analogue frequency assignment in the Pla</w:t>
      </w:r>
      <w:r w:rsidRPr="004A1F3A">
        <w:rPr>
          <w:rFonts w:eastAsia="SimSun"/>
          <w:lang w:eastAsia="zh-CN"/>
        </w:rPr>
        <w:t>n</w:t>
      </w:r>
      <w:r w:rsidRPr="004A1F3A">
        <w:t>.</w:t>
      </w:r>
    </w:p>
    <w:p w:rsidR="00597E71" w:rsidRPr="004A1F3A" w:rsidRDefault="00597E71" w:rsidP="00597E71">
      <w:r w:rsidRPr="004A1F3A">
        <w:t>The power of the transmitter to be notified in case of digital modulation shall be the total power within the necessary bandwidth.</w:t>
      </w:r>
    </w:p>
    <w:p w:rsidR="00597E71" w:rsidRPr="004A1F3A" w:rsidRDefault="00597E71" w:rsidP="00597E71">
      <w:pPr>
        <w:rPr>
          <w:rFonts w:eastAsia="SimSun"/>
          <w:lang w:eastAsia="zh-CN"/>
        </w:rPr>
      </w:pPr>
      <w:r w:rsidRPr="004A1F3A">
        <w:rPr>
          <w:rFonts w:eastAsia="SimSun"/>
          <w:lang w:eastAsia="zh-CN"/>
        </w:rPr>
        <w:lastRenderedPageBreak/>
        <w:t xml:space="preserve">The Board further decided that in the application of Article 4 of the Agreement the protection ratios between analogue and digital assignments (transmission </w:t>
      </w:r>
      <w:r w:rsidRPr="004C5EC0">
        <w:rPr>
          <w:rFonts w:eastAsia="SimSun"/>
          <w:lang w:eastAsia="zh-CN"/>
        </w:rPr>
        <w:t xml:space="preserve">system Digital Radio </w:t>
      </w:r>
      <w:proofErr w:type="spellStart"/>
      <w:r w:rsidRPr="004C5EC0">
        <w:rPr>
          <w:rFonts w:eastAsia="SimSun"/>
          <w:lang w:eastAsia="zh-CN"/>
        </w:rPr>
        <w:t>Mondiale</w:t>
      </w:r>
      <w:proofErr w:type="spellEnd"/>
      <w:r w:rsidRPr="004C5EC0">
        <w:rPr>
          <w:rFonts w:eastAsia="SimSun"/>
          <w:lang w:eastAsia="zh-CN"/>
        </w:rPr>
        <w:t>, robustness mode A or B and spectrum occupancy type 2</w:t>
      </w:r>
      <w:r w:rsidRPr="004A1F3A">
        <w:rPr>
          <w:rFonts w:eastAsia="SimSun"/>
          <w:lang w:eastAsia="zh-CN"/>
        </w:rPr>
        <w:t>) and between digital and digital assignments in Part B Section B7 shall be used.</w:t>
      </w:r>
    </w:p>
    <w:p w:rsidR="00610387" w:rsidRPr="004A1F3A" w:rsidRDefault="002928FE" w:rsidP="007D57BE">
      <w:pPr>
        <w:rPr>
          <w:rFonts w:eastAsia="SimSun"/>
          <w:lang w:eastAsia="zh-CN"/>
        </w:rPr>
      </w:pPr>
      <w:r w:rsidRPr="002928FE">
        <w:rPr>
          <w:rFonts w:eastAsia="SimSun"/>
          <w:lang w:eastAsia="zh-CN"/>
        </w:rPr>
        <w:t>In order to enable the determination of the relevant protection ratios and the minimum value of field strength, according to Section B7, which are necessary for the identification of potentially affected administrations according to paragraph 3.2.5 of the GE75 Agreement, the Board also decided to introduce data items Modulation and Code Rate as mandatory for submission of Plan modification proposals concerning digital assignments using notice form T03.</w:t>
      </w:r>
    </w:p>
    <w:p w:rsidR="00BD5ED3" w:rsidRDefault="00597E71" w:rsidP="00BD5ED3">
      <w:r w:rsidRPr="004C5EC0">
        <w:t>This Rule of Procedure is of a provisional nature until such time that it is confirmed by a competent conference empowered to deal with the subject matter.</w:t>
      </w:r>
    </w:p>
    <w:p w:rsidR="007D57BE" w:rsidRDefault="007D57BE" w:rsidP="00610387">
      <w:pPr>
        <w:spacing w:line="240" w:lineRule="auto"/>
        <w:rPr>
          <w:rFonts w:asciiTheme="minorHAnsi" w:hAnsiTheme="minorHAnsi"/>
          <w:b/>
          <w:bCs/>
          <w:i/>
          <w:iCs/>
          <w:sz w:val="24"/>
          <w:szCs w:val="24"/>
        </w:rPr>
      </w:pPr>
    </w:p>
    <w:p w:rsidR="00F73A39" w:rsidRPr="00610387" w:rsidRDefault="00F655DE" w:rsidP="00610387">
      <w:pPr>
        <w:spacing w:line="240" w:lineRule="auto"/>
        <w:rPr>
          <w:rFonts w:asciiTheme="minorHAnsi" w:hAnsiTheme="minorHAnsi"/>
          <w:i/>
          <w:iCs/>
          <w:sz w:val="24"/>
          <w:szCs w:val="24"/>
        </w:rPr>
      </w:pPr>
      <w:r w:rsidRPr="00610387">
        <w:rPr>
          <w:rFonts w:asciiTheme="minorHAnsi" w:hAnsiTheme="minorHAnsi"/>
          <w:b/>
          <w:bCs/>
          <w:i/>
          <w:iCs/>
          <w:sz w:val="24"/>
          <w:szCs w:val="24"/>
        </w:rPr>
        <w:t>Reasons:</w:t>
      </w:r>
      <w:r>
        <w:rPr>
          <w:rFonts w:asciiTheme="minorHAnsi" w:hAnsiTheme="minorHAnsi"/>
          <w:sz w:val="24"/>
          <w:szCs w:val="24"/>
        </w:rPr>
        <w:t xml:space="preserve"> </w:t>
      </w:r>
      <w:r w:rsidR="00F73A39" w:rsidRPr="00610387">
        <w:rPr>
          <w:rFonts w:eastAsia="SimSun"/>
          <w:i/>
          <w:iCs/>
          <w:lang w:eastAsia="zh-CN"/>
        </w:rPr>
        <w:t xml:space="preserve">Modulation and Code Rate are necessary </w:t>
      </w:r>
      <w:r w:rsidR="006B44E9">
        <w:rPr>
          <w:rFonts w:eastAsia="SimSun"/>
          <w:i/>
          <w:iCs/>
          <w:lang w:eastAsia="zh-CN"/>
        </w:rPr>
        <w:t>data for selection of</w:t>
      </w:r>
      <w:r w:rsidR="00F73A39" w:rsidRPr="00610387">
        <w:rPr>
          <w:rFonts w:eastAsia="SimSun"/>
          <w:i/>
          <w:iCs/>
          <w:lang w:eastAsia="zh-CN"/>
        </w:rPr>
        <w:t xml:space="preserve"> the relevant protection ratios and minimum value of field strength </w:t>
      </w:r>
      <w:r w:rsidR="006B44E9">
        <w:rPr>
          <w:rFonts w:eastAsia="SimSun"/>
          <w:i/>
          <w:iCs/>
          <w:lang w:eastAsia="zh-CN"/>
        </w:rPr>
        <w:t xml:space="preserve">from </w:t>
      </w:r>
      <w:r w:rsidR="007D57BE">
        <w:rPr>
          <w:rFonts w:eastAsia="SimSun"/>
          <w:i/>
          <w:iCs/>
          <w:lang w:eastAsia="zh-CN"/>
        </w:rPr>
        <w:t xml:space="preserve">the relevant </w:t>
      </w:r>
      <w:r w:rsidR="006B44E9" w:rsidRPr="00496333">
        <w:rPr>
          <w:rFonts w:eastAsia="SimSun"/>
          <w:i/>
          <w:iCs/>
          <w:lang w:eastAsia="zh-CN"/>
        </w:rPr>
        <w:t>Section B7</w:t>
      </w:r>
      <w:r w:rsidR="006B44E9">
        <w:rPr>
          <w:rFonts w:eastAsia="SimSun"/>
          <w:i/>
          <w:iCs/>
          <w:lang w:eastAsia="zh-CN"/>
        </w:rPr>
        <w:t xml:space="preserve"> tables</w:t>
      </w:r>
      <w:r w:rsidR="00EA5078">
        <w:rPr>
          <w:rFonts w:eastAsia="SimSun"/>
          <w:i/>
          <w:iCs/>
          <w:lang w:eastAsia="zh-CN"/>
        </w:rPr>
        <w:t xml:space="preserve">. The protection ratios </w:t>
      </w:r>
      <w:r w:rsidR="00EA5078" w:rsidRPr="0052435B">
        <w:rPr>
          <w:rFonts w:eastAsia="SimSun"/>
          <w:i/>
          <w:iCs/>
          <w:lang w:eastAsia="zh-CN"/>
        </w:rPr>
        <w:t>and minimum value of field strength</w:t>
      </w:r>
      <w:r w:rsidR="00EA5078">
        <w:rPr>
          <w:rFonts w:eastAsia="SimSun"/>
          <w:i/>
          <w:iCs/>
          <w:lang w:eastAsia="zh-CN"/>
        </w:rPr>
        <w:t xml:space="preserve"> are required</w:t>
      </w:r>
      <w:r w:rsidR="006B44E9">
        <w:rPr>
          <w:rFonts w:eastAsia="SimSun"/>
          <w:i/>
          <w:iCs/>
          <w:lang w:eastAsia="zh-CN"/>
        </w:rPr>
        <w:t xml:space="preserve"> </w:t>
      </w:r>
      <w:r w:rsidR="00EA5078">
        <w:rPr>
          <w:rFonts w:eastAsia="SimSun"/>
          <w:i/>
          <w:iCs/>
          <w:lang w:eastAsia="zh-CN"/>
        </w:rPr>
        <w:t>for</w:t>
      </w:r>
      <w:r w:rsidR="006B44E9">
        <w:rPr>
          <w:rFonts w:eastAsia="SimSun"/>
          <w:i/>
          <w:iCs/>
          <w:lang w:eastAsia="zh-CN"/>
        </w:rPr>
        <w:t xml:space="preserve"> the </w:t>
      </w:r>
      <w:r w:rsidR="00F73A39" w:rsidRPr="00610387">
        <w:rPr>
          <w:rFonts w:eastAsia="SimSun"/>
          <w:i/>
          <w:iCs/>
          <w:lang w:eastAsia="zh-CN"/>
        </w:rPr>
        <w:t>identif</w:t>
      </w:r>
      <w:r w:rsidR="006B44E9">
        <w:rPr>
          <w:rFonts w:eastAsia="SimSun"/>
          <w:i/>
          <w:iCs/>
          <w:lang w:eastAsia="zh-CN"/>
        </w:rPr>
        <w:t xml:space="preserve">ication </w:t>
      </w:r>
      <w:r w:rsidR="00F73A39" w:rsidRPr="00610387">
        <w:rPr>
          <w:rFonts w:eastAsia="SimSun"/>
          <w:i/>
          <w:iCs/>
          <w:lang w:eastAsia="zh-CN"/>
        </w:rPr>
        <w:t>of potentially affected administrations according to paragraph 3.2.5 of the GE75 Agreement</w:t>
      </w:r>
      <w:r w:rsidR="006B44E9">
        <w:rPr>
          <w:rFonts w:eastAsia="SimSun"/>
          <w:i/>
          <w:iCs/>
          <w:lang w:eastAsia="zh-CN"/>
        </w:rPr>
        <w:t xml:space="preserve">. </w:t>
      </w:r>
    </w:p>
    <w:p w:rsidR="00F655DE" w:rsidRDefault="00F655DE" w:rsidP="00F655DE">
      <w:pPr>
        <w:tabs>
          <w:tab w:val="clear" w:pos="794"/>
          <w:tab w:val="left" w:pos="426"/>
        </w:tabs>
        <w:spacing w:before="0"/>
        <w:jc w:val="left"/>
        <w:rPr>
          <w:rFonts w:asciiTheme="minorHAnsi" w:hAnsiTheme="minorHAnsi"/>
          <w:sz w:val="24"/>
          <w:szCs w:val="24"/>
        </w:rPr>
      </w:pPr>
    </w:p>
    <w:p w:rsidR="004969F2" w:rsidRDefault="00F655DE" w:rsidP="004969F2">
      <w:pPr>
        <w:tabs>
          <w:tab w:val="clear" w:pos="794"/>
          <w:tab w:val="left" w:pos="426"/>
        </w:tabs>
        <w:spacing w:before="0"/>
        <w:jc w:val="left"/>
        <w:rPr>
          <w:rFonts w:asciiTheme="minorHAnsi" w:hAnsiTheme="minorHAnsi"/>
          <w:sz w:val="24"/>
          <w:szCs w:val="24"/>
        </w:rPr>
      </w:pPr>
      <w:r w:rsidRPr="003C0EA6">
        <w:rPr>
          <w:rFonts w:asciiTheme="minorHAnsi" w:hAnsiTheme="minorHAnsi"/>
          <w:sz w:val="24"/>
          <w:szCs w:val="24"/>
        </w:rPr>
        <w:t>Effective date of application of this Rule: immediately after approval</w:t>
      </w:r>
      <w:r>
        <w:rPr>
          <w:rFonts w:asciiTheme="minorHAnsi" w:hAnsiTheme="minorHAnsi"/>
          <w:sz w:val="24"/>
          <w:szCs w:val="24"/>
        </w:rPr>
        <w:t>.</w:t>
      </w:r>
    </w:p>
    <w:p w:rsidR="00B30B48" w:rsidRDefault="00B30B48" w:rsidP="004969F2">
      <w:pPr>
        <w:tabs>
          <w:tab w:val="clear" w:pos="794"/>
          <w:tab w:val="left" w:pos="426"/>
        </w:tabs>
        <w:spacing w:before="0"/>
        <w:jc w:val="center"/>
        <w:rPr>
          <w:color w:val="000000"/>
        </w:rPr>
      </w:pPr>
    </w:p>
    <w:p w:rsidR="00B30B48" w:rsidRDefault="00B30B48" w:rsidP="004969F2">
      <w:pPr>
        <w:tabs>
          <w:tab w:val="clear" w:pos="794"/>
          <w:tab w:val="left" w:pos="426"/>
        </w:tabs>
        <w:spacing w:before="0"/>
        <w:jc w:val="center"/>
        <w:rPr>
          <w:color w:val="000000"/>
        </w:rPr>
      </w:pPr>
    </w:p>
    <w:p w:rsidR="00434DBF" w:rsidRPr="00610387" w:rsidRDefault="00597E71" w:rsidP="004969F2">
      <w:pPr>
        <w:tabs>
          <w:tab w:val="clear" w:pos="794"/>
          <w:tab w:val="left" w:pos="426"/>
        </w:tabs>
        <w:spacing w:before="0"/>
        <w:jc w:val="center"/>
        <w:rPr>
          <w:sz w:val="18"/>
          <w:szCs w:val="18"/>
        </w:rPr>
      </w:pPr>
      <w:r w:rsidRPr="00097FC5">
        <w:rPr>
          <w:color w:val="000000"/>
        </w:rPr>
        <w:t>____________________</w:t>
      </w:r>
    </w:p>
    <w:sectPr w:rsidR="00434DBF" w:rsidRPr="00610387" w:rsidSect="00655C3A">
      <w:headerReference w:type="even" r:id="rId9"/>
      <w:headerReference w:type="default" r:id="rId10"/>
      <w:headerReference w:type="first" r:id="rId11"/>
      <w:footerReference w:type="first" r:id="rId12"/>
      <w:pgSz w:w="11907" w:h="16834" w:code="9"/>
      <w:pgMar w:top="1134" w:right="1134" w:bottom="992" w:left="1134" w:header="567" w:footer="21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62" w:rsidRDefault="00D22162">
      <w:r>
        <w:separator/>
      </w:r>
    </w:p>
  </w:endnote>
  <w:endnote w:type="continuationSeparator" w:id="0">
    <w:p w:rsidR="00D22162" w:rsidRDefault="00D2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64" w:rsidRPr="005224A1" w:rsidRDefault="00EE1264" w:rsidP="00406D71">
    <w:pPr>
      <w:pStyle w:val="FirstFooter"/>
      <w:spacing w:before="0" w:line="240" w:lineRule="auto"/>
      <w:ind w:left="-397" w:right="-397"/>
      <w:rPr>
        <w:sz w:val="20"/>
        <w:szCs w:val="18"/>
      </w:rPr>
    </w:pPr>
  </w:p>
  <w:p w:rsidR="00EE1264" w:rsidRPr="005C4582" w:rsidRDefault="00EE1264" w:rsidP="00085769">
    <w:pPr>
      <w:pStyle w:val="FirstFooter"/>
      <w:spacing w:line="240" w:lineRule="auto"/>
      <w:ind w:left="-397" w:right="-397"/>
      <w:jc w:val="center"/>
      <w:rPr>
        <w:sz w:val="18"/>
        <w:szCs w:val="18"/>
      </w:rPr>
    </w:pPr>
    <w:r w:rsidRPr="005C4582">
      <w:rPr>
        <w:sz w:val="18"/>
        <w:szCs w:val="18"/>
      </w:rPr>
      <w:t>International Telecommunication Union • Place des Nations • CH</w:t>
    </w:r>
    <w:r w:rsidRPr="005C4582">
      <w:rPr>
        <w:sz w:val="18"/>
        <w:szCs w:val="18"/>
      </w:rPr>
      <w:noBreakHyphen/>
      <w:t xml:space="preserve">1211 Geneva 20 • Switzerland </w:t>
    </w:r>
    <w:r w:rsidRPr="005C4582">
      <w:rPr>
        <w:sz w:val="18"/>
        <w:szCs w:val="18"/>
      </w:rPr>
      <w:br/>
      <w:t xml:space="preserve">Tel: +41 22 730 5111 • Fax: +41 22 733 7256 • E-mail: </w:t>
    </w:r>
    <w:hyperlink r:id="rId1" w:history="1">
      <w:r w:rsidRPr="005C4582">
        <w:rPr>
          <w:rStyle w:val="Hyperlink"/>
          <w:sz w:val="18"/>
          <w:szCs w:val="18"/>
        </w:rPr>
        <w:t>itumail@itu.int</w:t>
      </w:r>
    </w:hyperlink>
    <w:r w:rsidRPr="005C4582">
      <w:rPr>
        <w:sz w:val="18"/>
        <w:szCs w:val="18"/>
      </w:rPr>
      <w:t xml:space="preserve"> • </w:t>
    </w:r>
    <w:hyperlink r:id="rId2" w:history="1">
      <w:r w:rsidRPr="005C4582">
        <w:rPr>
          <w:rStyle w:val="Hyperlink"/>
          <w:sz w:val="18"/>
          <w:szCs w:val="18"/>
        </w:rPr>
        <w:t>www.itu.int</w:t>
      </w:r>
    </w:hyperlink>
    <w:r w:rsidRPr="005C4582">
      <w:rPr>
        <w:sz w:val="18"/>
        <w:szCs w:val="18"/>
      </w:rPr>
      <w:t xml:space="preserve"> •</w:t>
    </w:r>
  </w:p>
  <w:p w:rsidR="00EE1264" w:rsidRPr="005E5EB3" w:rsidRDefault="00EE1264" w:rsidP="00A2671E">
    <w:pPr>
      <w:pStyle w:val="FirstFooter"/>
      <w:spacing w:line="240" w:lineRule="auto"/>
      <w:ind w:right="-39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62" w:rsidRDefault="00D22162">
      <w:r>
        <w:t>____________________</w:t>
      </w:r>
    </w:p>
  </w:footnote>
  <w:footnote w:type="continuationSeparator" w:id="0">
    <w:p w:rsidR="00D22162" w:rsidRDefault="00D22162">
      <w:r>
        <w:continuationSeparator/>
      </w:r>
    </w:p>
  </w:footnote>
  <w:footnote w:id="1">
    <w:p w:rsidR="00597E71" w:rsidRPr="007C61FA" w:rsidRDefault="00597E71" w:rsidP="00597E71">
      <w:pPr>
        <w:tabs>
          <w:tab w:val="left" w:pos="288"/>
          <w:tab w:val="left" w:pos="360"/>
          <w:tab w:val="left" w:pos="1418"/>
        </w:tabs>
        <w:spacing w:before="60"/>
        <w:rPr>
          <w:sz w:val="20"/>
          <w:lang w:val="en-AU"/>
        </w:rPr>
      </w:pPr>
      <w:r>
        <w:rPr>
          <w:rStyle w:val="FootnoteReference"/>
        </w:rPr>
        <w:footnoteRef/>
      </w:r>
      <w:r>
        <w:tab/>
      </w:r>
      <w:r w:rsidRPr="007C61FA">
        <w:rPr>
          <w:sz w:val="20"/>
          <w:lang w:val="en-AU"/>
        </w:rPr>
        <w:t xml:space="preserve">The Digital Radio </w:t>
      </w:r>
      <w:proofErr w:type="spellStart"/>
      <w:r w:rsidRPr="007C61FA">
        <w:rPr>
          <w:sz w:val="20"/>
          <w:lang w:val="en-AU"/>
        </w:rPr>
        <w:t>Mondiale</w:t>
      </w:r>
      <w:proofErr w:type="spellEnd"/>
      <w:r w:rsidRPr="007C61FA">
        <w:rPr>
          <w:sz w:val="20"/>
          <w:lang w:val="en-AU"/>
        </w:rPr>
        <w:t xml:space="preserve"> system is described in Recommendation ITU-R BS.1514-2</w:t>
      </w:r>
      <w:r>
        <w:rPr>
          <w:sz w:val="20"/>
          <w:lang w:val="en-AU"/>
        </w:rPr>
        <w:t>.</w:t>
      </w:r>
    </w:p>
  </w:footnote>
  <w:footnote w:id="2">
    <w:p w:rsidR="00597E71" w:rsidRPr="007C61FA" w:rsidRDefault="00597E71" w:rsidP="00597E71">
      <w:pPr>
        <w:pStyle w:val="FootnoteText"/>
        <w:tabs>
          <w:tab w:val="left" w:pos="288"/>
          <w:tab w:val="left" w:pos="360"/>
        </w:tabs>
        <w:rPr>
          <w:lang w:val="en-AU"/>
        </w:rPr>
      </w:pPr>
      <w:r>
        <w:rPr>
          <w:rStyle w:val="FootnoteReference"/>
        </w:rPr>
        <w:footnoteRef/>
      </w:r>
      <w:r>
        <w:t xml:space="preserve"> </w:t>
      </w:r>
      <w:r>
        <w:rPr>
          <w:lang w:val="en-AU"/>
        </w:rPr>
        <w:tab/>
        <w:t xml:space="preserve">The DRM robustness modes and spectrum occupancy types are defined in ETSI Standard ES 201 980 "Digital Radio </w:t>
      </w:r>
      <w:proofErr w:type="spellStart"/>
      <w:r>
        <w:rPr>
          <w:lang w:val="en-AU"/>
        </w:rPr>
        <w:t>Mondiale</w:t>
      </w:r>
      <w:proofErr w:type="spellEnd"/>
      <w:r>
        <w:rPr>
          <w:lang w:val="en-AU"/>
        </w:rPr>
        <w:t xml:space="preserve"> (DRM); System Specification" Version 3.1.1 and further detailed in Recommendation ITU-R BS.1615-1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64" w:rsidRPr="000D79FA" w:rsidRDefault="00EE1264">
    <w:pPr>
      <w:pStyle w:val="Header"/>
      <w:rPr>
        <w:sz w:val="18"/>
        <w:szCs w:val="18"/>
      </w:rPr>
    </w:pPr>
    <w:r>
      <w:tab/>
    </w:r>
    <w:r>
      <w:tab/>
    </w:r>
    <w:r w:rsidRPr="000D79FA">
      <w:rPr>
        <w:sz w:val="18"/>
        <w:szCs w:val="18"/>
      </w:rPr>
      <w:t xml:space="preserve">– </w:t>
    </w:r>
    <w:r w:rsidRPr="000D79FA">
      <w:rPr>
        <w:rStyle w:val="PageNumber"/>
        <w:sz w:val="18"/>
        <w:szCs w:val="18"/>
      </w:rPr>
      <w:fldChar w:fldCharType="begin"/>
    </w:r>
    <w:r w:rsidRPr="000D79FA">
      <w:rPr>
        <w:rStyle w:val="PageNumber"/>
        <w:sz w:val="18"/>
        <w:szCs w:val="18"/>
      </w:rPr>
      <w:instrText xml:space="preserve"> PAGE </w:instrText>
    </w:r>
    <w:r w:rsidRPr="000D79FA">
      <w:rPr>
        <w:rStyle w:val="PageNumber"/>
        <w:sz w:val="18"/>
        <w:szCs w:val="18"/>
      </w:rPr>
      <w:fldChar w:fldCharType="separate"/>
    </w:r>
    <w:r w:rsidR="00814544">
      <w:rPr>
        <w:rStyle w:val="PageNumber"/>
        <w:noProof/>
        <w:sz w:val="18"/>
        <w:szCs w:val="18"/>
      </w:rPr>
      <w:t>2</w:t>
    </w:r>
    <w:r w:rsidRPr="000D79FA">
      <w:rPr>
        <w:rStyle w:val="PageNumber"/>
        <w:sz w:val="18"/>
        <w:szCs w:val="18"/>
      </w:rPr>
      <w:fldChar w:fldCharType="end"/>
    </w:r>
    <w:r w:rsidRPr="000D79FA">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64" w:rsidRPr="000D79FA" w:rsidRDefault="00EE1264">
    <w:pPr>
      <w:pStyle w:val="Header"/>
      <w:rPr>
        <w:sz w:val="18"/>
        <w:szCs w:val="18"/>
      </w:rPr>
    </w:pPr>
    <w:r>
      <w:tab/>
    </w:r>
    <w:r>
      <w:tab/>
    </w: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814544">
      <w:rPr>
        <w:noProof/>
        <w:sz w:val="18"/>
        <w:szCs w:val="18"/>
      </w:rPr>
      <w:t>3</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000"/>
    </w:tblGrid>
    <w:tr w:rsidR="00EE1264" w:rsidTr="00D7741D">
      <w:tc>
        <w:tcPr>
          <w:tcW w:w="9498" w:type="dxa"/>
        </w:tcPr>
        <w:p w:rsidR="00EE1264" w:rsidRDefault="00D7741D" w:rsidP="00D7741D">
          <w:pPr>
            <w:pStyle w:val="Header"/>
            <w:tabs>
              <w:tab w:val="clear" w:pos="794"/>
              <w:tab w:val="clear" w:pos="4820"/>
            </w:tabs>
            <w:spacing w:before="120" w:line="360" w:lineRule="auto"/>
            <w:jc w:val="center"/>
          </w:pPr>
          <w:r>
            <w:rPr>
              <w:b/>
              <w:bCs/>
              <w:noProof/>
              <w:lang w:val="en-GB" w:eastAsia="zh-CN"/>
            </w:rPr>
            <w:drawing>
              <wp:inline distT="0" distB="0" distL="0" distR="0" wp14:anchorId="61166B06" wp14:editId="34149CD9">
                <wp:extent cx="579396" cy="657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EE1264" w:rsidRDefault="00EE1264" w:rsidP="00085769">
          <w:pPr>
            <w:pStyle w:val="Header"/>
            <w:tabs>
              <w:tab w:val="clear" w:pos="794"/>
              <w:tab w:val="clear" w:pos="4820"/>
            </w:tabs>
            <w:spacing w:line="360" w:lineRule="auto"/>
            <w:jc w:val="right"/>
          </w:pPr>
        </w:p>
      </w:tc>
    </w:tr>
  </w:tbl>
  <w:p w:rsidR="00EE1264" w:rsidRPr="00EA15B3" w:rsidRDefault="00EE1264" w:rsidP="00B82BAA">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0"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0"/>
  </w:num>
  <w:num w:numId="5">
    <w:abstractNumId w:val="6"/>
  </w:num>
  <w:num w:numId="6">
    <w:abstractNumId w:val="4"/>
  </w:num>
  <w:num w:numId="7">
    <w:abstractNumId w:val="1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1764B"/>
    <w:rsid w:val="00026CF8"/>
    <w:rsid w:val="00031E64"/>
    <w:rsid w:val="000333D2"/>
    <w:rsid w:val="00034BB5"/>
    <w:rsid w:val="000468B6"/>
    <w:rsid w:val="00047C98"/>
    <w:rsid w:val="00051709"/>
    <w:rsid w:val="00054E5D"/>
    <w:rsid w:val="00070258"/>
    <w:rsid w:val="0007323C"/>
    <w:rsid w:val="00082814"/>
    <w:rsid w:val="00085769"/>
    <w:rsid w:val="00086D03"/>
    <w:rsid w:val="00087864"/>
    <w:rsid w:val="000A445E"/>
    <w:rsid w:val="000A7051"/>
    <w:rsid w:val="000B0032"/>
    <w:rsid w:val="000B0AF6"/>
    <w:rsid w:val="000B0E9B"/>
    <w:rsid w:val="000B6635"/>
    <w:rsid w:val="000C03C7"/>
    <w:rsid w:val="000C0E2D"/>
    <w:rsid w:val="000C10EF"/>
    <w:rsid w:val="000D288A"/>
    <w:rsid w:val="000D79FA"/>
    <w:rsid w:val="000E3DEE"/>
    <w:rsid w:val="00100B72"/>
    <w:rsid w:val="00101F7D"/>
    <w:rsid w:val="00103C76"/>
    <w:rsid w:val="0010703D"/>
    <w:rsid w:val="0011265F"/>
    <w:rsid w:val="0011553E"/>
    <w:rsid w:val="00117282"/>
    <w:rsid w:val="00126AE4"/>
    <w:rsid w:val="00134404"/>
    <w:rsid w:val="0014149E"/>
    <w:rsid w:val="00142E6E"/>
    <w:rsid w:val="00144DFB"/>
    <w:rsid w:val="00146F88"/>
    <w:rsid w:val="00151DDC"/>
    <w:rsid w:val="00154BF4"/>
    <w:rsid w:val="00165B3D"/>
    <w:rsid w:val="00184F53"/>
    <w:rsid w:val="00187CA3"/>
    <w:rsid w:val="00196710"/>
    <w:rsid w:val="00197324"/>
    <w:rsid w:val="001B351B"/>
    <w:rsid w:val="001B734E"/>
    <w:rsid w:val="001C06DB"/>
    <w:rsid w:val="001C39B7"/>
    <w:rsid w:val="001D4E1D"/>
    <w:rsid w:val="001D7070"/>
    <w:rsid w:val="001E07B8"/>
    <w:rsid w:val="001F3F48"/>
    <w:rsid w:val="001F403F"/>
    <w:rsid w:val="001F5966"/>
    <w:rsid w:val="001F5A49"/>
    <w:rsid w:val="002004E7"/>
    <w:rsid w:val="00201097"/>
    <w:rsid w:val="00201B6E"/>
    <w:rsid w:val="002302B3"/>
    <w:rsid w:val="00230C66"/>
    <w:rsid w:val="00235A29"/>
    <w:rsid w:val="002443A2"/>
    <w:rsid w:val="00257A19"/>
    <w:rsid w:val="00261422"/>
    <w:rsid w:val="00261D5F"/>
    <w:rsid w:val="00274AEA"/>
    <w:rsid w:val="002861E6"/>
    <w:rsid w:val="00287D18"/>
    <w:rsid w:val="00290DE9"/>
    <w:rsid w:val="002928FE"/>
    <w:rsid w:val="00295CF8"/>
    <w:rsid w:val="002A17C1"/>
    <w:rsid w:val="002A2618"/>
    <w:rsid w:val="002C0FFC"/>
    <w:rsid w:val="002D01C2"/>
    <w:rsid w:val="002D585E"/>
    <w:rsid w:val="002D5A15"/>
    <w:rsid w:val="002D5ADC"/>
    <w:rsid w:val="002D5BDD"/>
    <w:rsid w:val="002E3D27"/>
    <w:rsid w:val="002E5BED"/>
    <w:rsid w:val="002F0890"/>
    <w:rsid w:val="002F0A0D"/>
    <w:rsid w:val="002F2531"/>
    <w:rsid w:val="002F4967"/>
    <w:rsid w:val="00300DB9"/>
    <w:rsid w:val="00316935"/>
    <w:rsid w:val="00327A42"/>
    <w:rsid w:val="003370B8"/>
    <w:rsid w:val="00337C74"/>
    <w:rsid w:val="00345D38"/>
    <w:rsid w:val="00350B86"/>
    <w:rsid w:val="003606E8"/>
    <w:rsid w:val="00362140"/>
    <w:rsid w:val="003666FF"/>
    <w:rsid w:val="00370639"/>
    <w:rsid w:val="003A1F49"/>
    <w:rsid w:val="003A226A"/>
    <w:rsid w:val="003B02DF"/>
    <w:rsid w:val="003B2BDA"/>
    <w:rsid w:val="003B4354"/>
    <w:rsid w:val="003B55EC"/>
    <w:rsid w:val="003C4471"/>
    <w:rsid w:val="003D7D32"/>
    <w:rsid w:val="003E41DB"/>
    <w:rsid w:val="003E504F"/>
    <w:rsid w:val="003E6F09"/>
    <w:rsid w:val="003E78D6"/>
    <w:rsid w:val="003F38A5"/>
    <w:rsid w:val="003F3A0C"/>
    <w:rsid w:val="003F6A1B"/>
    <w:rsid w:val="00402667"/>
    <w:rsid w:val="00406C4A"/>
    <w:rsid w:val="00406D71"/>
    <w:rsid w:val="0041509E"/>
    <w:rsid w:val="004326DB"/>
    <w:rsid w:val="00434DBF"/>
    <w:rsid w:val="0043682E"/>
    <w:rsid w:val="00447ECB"/>
    <w:rsid w:val="00457403"/>
    <w:rsid w:val="004575EB"/>
    <w:rsid w:val="004623F7"/>
    <w:rsid w:val="00463512"/>
    <w:rsid w:val="00463CE7"/>
    <w:rsid w:val="0047245B"/>
    <w:rsid w:val="00480F51"/>
    <w:rsid w:val="00480FE5"/>
    <w:rsid w:val="00481124"/>
    <w:rsid w:val="004815EB"/>
    <w:rsid w:val="004853AD"/>
    <w:rsid w:val="00486571"/>
    <w:rsid w:val="00487569"/>
    <w:rsid w:val="00496864"/>
    <w:rsid w:val="00496920"/>
    <w:rsid w:val="004969F2"/>
    <w:rsid w:val="004A1F3A"/>
    <w:rsid w:val="004A3BD5"/>
    <w:rsid w:val="004A4496"/>
    <w:rsid w:val="004B11AB"/>
    <w:rsid w:val="004B7C9A"/>
    <w:rsid w:val="004C13E7"/>
    <w:rsid w:val="004C5EC0"/>
    <w:rsid w:val="004C6779"/>
    <w:rsid w:val="004D020F"/>
    <w:rsid w:val="004D4ED0"/>
    <w:rsid w:val="004E0DC4"/>
    <w:rsid w:val="004E0FB5"/>
    <w:rsid w:val="004E43BB"/>
    <w:rsid w:val="004F1016"/>
    <w:rsid w:val="004F178E"/>
    <w:rsid w:val="00505309"/>
    <w:rsid w:val="0050789B"/>
    <w:rsid w:val="00512C49"/>
    <w:rsid w:val="00520189"/>
    <w:rsid w:val="005224A1"/>
    <w:rsid w:val="00534372"/>
    <w:rsid w:val="0053796C"/>
    <w:rsid w:val="00541C5B"/>
    <w:rsid w:val="00543DF8"/>
    <w:rsid w:val="0054475A"/>
    <w:rsid w:val="00546101"/>
    <w:rsid w:val="005530B1"/>
    <w:rsid w:val="00553DD7"/>
    <w:rsid w:val="00560569"/>
    <w:rsid w:val="005628BA"/>
    <w:rsid w:val="005638CF"/>
    <w:rsid w:val="0056741E"/>
    <w:rsid w:val="0057325A"/>
    <w:rsid w:val="0057469A"/>
    <w:rsid w:val="00580814"/>
    <w:rsid w:val="00580BB2"/>
    <w:rsid w:val="00586DD6"/>
    <w:rsid w:val="00597E71"/>
    <w:rsid w:val="005A03A3"/>
    <w:rsid w:val="005A2AAA"/>
    <w:rsid w:val="005A2B92"/>
    <w:rsid w:val="005A6F41"/>
    <w:rsid w:val="005A79E9"/>
    <w:rsid w:val="005B214C"/>
    <w:rsid w:val="005C3112"/>
    <w:rsid w:val="005D3669"/>
    <w:rsid w:val="005E5EB3"/>
    <w:rsid w:val="005F3CB6"/>
    <w:rsid w:val="005F657C"/>
    <w:rsid w:val="00602D53"/>
    <w:rsid w:val="00603855"/>
    <w:rsid w:val="0060417B"/>
    <w:rsid w:val="006047E5"/>
    <w:rsid w:val="00610387"/>
    <w:rsid w:val="00637CAB"/>
    <w:rsid w:val="006402E9"/>
    <w:rsid w:val="00642556"/>
    <w:rsid w:val="0064371D"/>
    <w:rsid w:val="00650B2A"/>
    <w:rsid w:val="00651777"/>
    <w:rsid w:val="006550F8"/>
    <w:rsid w:val="00655A02"/>
    <w:rsid w:val="00655C3A"/>
    <w:rsid w:val="00657F12"/>
    <w:rsid w:val="00683247"/>
    <w:rsid w:val="00684EE0"/>
    <w:rsid w:val="00690A1B"/>
    <w:rsid w:val="006961E4"/>
    <w:rsid w:val="00697B4F"/>
    <w:rsid w:val="006A115B"/>
    <w:rsid w:val="006A49DC"/>
    <w:rsid w:val="006A518B"/>
    <w:rsid w:val="006A5B9A"/>
    <w:rsid w:val="006A6A97"/>
    <w:rsid w:val="006B04B7"/>
    <w:rsid w:val="006B0590"/>
    <w:rsid w:val="006B44E9"/>
    <w:rsid w:val="006B49DA"/>
    <w:rsid w:val="006C3ACE"/>
    <w:rsid w:val="006C7CDE"/>
    <w:rsid w:val="006F1A35"/>
    <w:rsid w:val="006F72B3"/>
    <w:rsid w:val="007038CC"/>
    <w:rsid w:val="007234B1"/>
    <w:rsid w:val="00727816"/>
    <w:rsid w:val="00730B9A"/>
    <w:rsid w:val="0074244F"/>
    <w:rsid w:val="00742E77"/>
    <w:rsid w:val="00750CFA"/>
    <w:rsid w:val="00754007"/>
    <w:rsid w:val="007553DA"/>
    <w:rsid w:val="0077544F"/>
    <w:rsid w:val="00777482"/>
    <w:rsid w:val="00782354"/>
    <w:rsid w:val="007921A7"/>
    <w:rsid w:val="007A7AB6"/>
    <w:rsid w:val="007B26FA"/>
    <w:rsid w:val="007B3DB1"/>
    <w:rsid w:val="007B7498"/>
    <w:rsid w:val="007D183E"/>
    <w:rsid w:val="007D55ED"/>
    <w:rsid w:val="007D57BE"/>
    <w:rsid w:val="007D6846"/>
    <w:rsid w:val="007E1833"/>
    <w:rsid w:val="007E3F13"/>
    <w:rsid w:val="007F4C50"/>
    <w:rsid w:val="007F751A"/>
    <w:rsid w:val="00800012"/>
    <w:rsid w:val="00803594"/>
    <w:rsid w:val="00803AED"/>
    <w:rsid w:val="008143A4"/>
    <w:rsid w:val="00814544"/>
    <w:rsid w:val="0081513E"/>
    <w:rsid w:val="00827FDD"/>
    <w:rsid w:val="008366B5"/>
    <w:rsid w:val="00852EC3"/>
    <w:rsid w:val="00854131"/>
    <w:rsid w:val="0085652D"/>
    <w:rsid w:val="00861A14"/>
    <w:rsid w:val="00872B00"/>
    <w:rsid w:val="0087694B"/>
    <w:rsid w:val="00884461"/>
    <w:rsid w:val="008871A4"/>
    <w:rsid w:val="00887EE8"/>
    <w:rsid w:val="0089578B"/>
    <w:rsid w:val="008B7BE5"/>
    <w:rsid w:val="008C0966"/>
    <w:rsid w:val="008C2E74"/>
    <w:rsid w:val="008D5409"/>
    <w:rsid w:val="008E006D"/>
    <w:rsid w:val="008F3A1F"/>
    <w:rsid w:val="008F4F21"/>
    <w:rsid w:val="00904D4A"/>
    <w:rsid w:val="00913693"/>
    <w:rsid w:val="009151BA"/>
    <w:rsid w:val="00925023"/>
    <w:rsid w:val="009277BC"/>
    <w:rsid w:val="00927D57"/>
    <w:rsid w:val="00931A51"/>
    <w:rsid w:val="009323DA"/>
    <w:rsid w:val="0093323C"/>
    <w:rsid w:val="00947185"/>
    <w:rsid w:val="00957A98"/>
    <w:rsid w:val="00963D9D"/>
    <w:rsid w:val="00975D6F"/>
    <w:rsid w:val="0098013E"/>
    <w:rsid w:val="00981B54"/>
    <w:rsid w:val="00982041"/>
    <w:rsid w:val="009842C3"/>
    <w:rsid w:val="009A009A"/>
    <w:rsid w:val="009A2B0B"/>
    <w:rsid w:val="009A6BB6"/>
    <w:rsid w:val="009B1BF4"/>
    <w:rsid w:val="009B3F43"/>
    <w:rsid w:val="009B5CFA"/>
    <w:rsid w:val="009C161F"/>
    <w:rsid w:val="009C3038"/>
    <w:rsid w:val="009C56B4"/>
    <w:rsid w:val="009C6769"/>
    <w:rsid w:val="009D15A0"/>
    <w:rsid w:val="009D51A2"/>
    <w:rsid w:val="009D7BDE"/>
    <w:rsid w:val="009E04A8"/>
    <w:rsid w:val="009E4AEC"/>
    <w:rsid w:val="009E5BD8"/>
    <w:rsid w:val="009E681E"/>
    <w:rsid w:val="009E6EBB"/>
    <w:rsid w:val="009F1E33"/>
    <w:rsid w:val="009F2FCD"/>
    <w:rsid w:val="009F70E5"/>
    <w:rsid w:val="00A02280"/>
    <w:rsid w:val="00A03CF9"/>
    <w:rsid w:val="00A10269"/>
    <w:rsid w:val="00A119E6"/>
    <w:rsid w:val="00A24A6F"/>
    <w:rsid w:val="00A2671E"/>
    <w:rsid w:val="00A30388"/>
    <w:rsid w:val="00A31370"/>
    <w:rsid w:val="00A3147D"/>
    <w:rsid w:val="00A340D6"/>
    <w:rsid w:val="00A34963"/>
    <w:rsid w:val="00A34D6F"/>
    <w:rsid w:val="00A35635"/>
    <w:rsid w:val="00A41F91"/>
    <w:rsid w:val="00A442A8"/>
    <w:rsid w:val="00A508B1"/>
    <w:rsid w:val="00A600CA"/>
    <w:rsid w:val="00A700B7"/>
    <w:rsid w:val="00A75CA2"/>
    <w:rsid w:val="00A82972"/>
    <w:rsid w:val="00A963DF"/>
    <w:rsid w:val="00AB10BE"/>
    <w:rsid w:val="00AC05B1"/>
    <w:rsid w:val="00AC3896"/>
    <w:rsid w:val="00AD0123"/>
    <w:rsid w:val="00AD7647"/>
    <w:rsid w:val="00AD7D10"/>
    <w:rsid w:val="00AE2D88"/>
    <w:rsid w:val="00AE6F6F"/>
    <w:rsid w:val="00AF3325"/>
    <w:rsid w:val="00AF34D9"/>
    <w:rsid w:val="00AF70DA"/>
    <w:rsid w:val="00B019D3"/>
    <w:rsid w:val="00B30B48"/>
    <w:rsid w:val="00B34CF9"/>
    <w:rsid w:val="00B37559"/>
    <w:rsid w:val="00B50A49"/>
    <w:rsid w:val="00B579B0"/>
    <w:rsid w:val="00B675F4"/>
    <w:rsid w:val="00B75EA5"/>
    <w:rsid w:val="00B7724A"/>
    <w:rsid w:val="00B82BAA"/>
    <w:rsid w:val="00B84B68"/>
    <w:rsid w:val="00B90C45"/>
    <w:rsid w:val="00B933BE"/>
    <w:rsid w:val="00B95129"/>
    <w:rsid w:val="00BA5BB2"/>
    <w:rsid w:val="00BB1751"/>
    <w:rsid w:val="00BB6557"/>
    <w:rsid w:val="00BD41F6"/>
    <w:rsid w:val="00BD5ED3"/>
    <w:rsid w:val="00BD64F8"/>
    <w:rsid w:val="00BD6738"/>
    <w:rsid w:val="00BD7E5E"/>
    <w:rsid w:val="00BE197D"/>
    <w:rsid w:val="00BE6574"/>
    <w:rsid w:val="00C06566"/>
    <w:rsid w:val="00C13597"/>
    <w:rsid w:val="00C16FD2"/>
    <w:rsid w:val="00C22F0D"/>
    <w:rsid w:val="00C24730"/>
    <w:rsid w:val="00C45B3F"/>
    <w:rsid w:val="00C47CF9"/>
    <w:rsid w:val="00C47FFD"/>
    <w:rsid w:val="00C57E2C"/>
    <w:rsid w:val="00C608B7"/>
    <w:rsid w:val="00C66F24"/>
    <w:rsid w:val="00C76E83"/>
    <w:rsid w:val="00C80B37"/>
    <w:rsid w:val="00C813AA"/>
    <w:rsid w:val="00C826DF"/>
    <w:rsid w:val="00C9291E"/>
    <w:rsid w:val="00CA3F44"/>
    <w:rsid w:val="00CA4E58"/>
    <w:rsid w:val="00CB3771"/>
    <w:rsid w:val="00CB44BF"/>
    <w:rsid w:val="00CB5153"/>
    <w:rsid w:val="00CB6925"/>
    <w:rsid w:val="00CE076A"/>
    <w:rsid w:val="00CE463D"/>
    <w:rsid w:val="00CF2A15"/>
    <w:rsid w:val="00D05B3E"/>
    <w:rsid w:val="00D06CD0"/>
    <w:rsid w:val="00D10BA0"/>
    <w:rsid w:val="00D21132"/>
    <w:rsid w:val="00D21952"/>
    <w:rsid w:val="00D22162"/>
    <w:rsid w:val="00D24782"/>
    <w:rsid w:val="00D24EB5"/>
    <w:rsid w:val="00D30D33"/>
    <w:rsid w:val="00D35AB9"/>
    <w:rsid w:val="00D41571"/>
    <w:rsid w:val="00D416A0"/>
    <w:rsid w:val="00D47672"/>
    <w:rsid w:val="00D5123C"/>
    <w:rsid w:val="00D55560"/>
    <w:rsid w:val="00D61C5A"/>
    <w:rsid w:val="00D6252A"/>
    <w:rsid w:val="00D627AD"/>
    <w:rsid w:val="00D72B7B"/>
    <w:rsid w:val="00D733F5"/>
    <w:rsid w:val="00D758F8"/>
    <w:rsid w:val="00D7741D"/>
    <w:rsid w:val="00D843D3"/>
    <w:rsid w:val="00D85887"/>
    <w:rsid w:val="00D87E20"/>
    <w:rsid w:val="00D97139"/>
    <w:rsid w:val="00DA31C1"/>
    <w:rsid w:val="00DC284D"/>
    <w:rsid w:val="00DD0EF9"/>
    <w:rsid w:val="00DE31F9"/>
    <w:rsid w:val="00DE66A5"/>
    <w:rsid w:val="00DE6E1E"/>
    <w:rsid w:val="00DF2B50"/>
    <w:rsid w:val="00DF4325"/>
    <w:rsid w:val="00DF4B44"/>
    <w:rsid w:val="00DF56B8"/>
    <w:rsid w:val="00E01280"/>
    <w:rsid w:val="00E03D73"/>
    <w:rsid w:val="00E04C86"/>
    <w:rsid w:val="00E20F30"/>
    <w:rsid w:val="00E2189C"/>
    <w:rsid w:val="00E2337D"/>
    <w:rsid w:val="00E25BB1"/>
    <w:rsid w:val="00E27BBA"/>
    <w:rsid w:val="00E35279"/>
    <w:rsid w:val="00E35E8F"/>
    <w:rsid w:val="00E41CDA"/>
    <w:rsid w:val="00E428AB"/>
    <w:rsid w:val="00E4296A"/>
    <w:rsid w:val="00E438E8"/>
    <w:rsid w:val="00E448F0"/>
    <w:rsid w:val="00E453A3"/>
    <w:rsid w:val="00E46E06"/>
    <w:rsid w:val="00E520E2"/>
    <w:rsid w:val="00E61969"/>
    <w:rsid w:val="00E62738"/>
    <w:rsid w:val="00E64254"/>
    <w:rsid w:val="00E71242"/>
    <w:rsid w:val="00E77BED"/>
    <w:rsid w:val="00E817BF"/>
    <w:rsid w:val="00E915AF"/>
    <w:rsid w:val="00E9622B"/>
    <w:rsid w:val="00E96415"/>
    <w:rsid w:val="00EA15B3"/>
    <w:rsid w:val="00EA2DF7"/>
    <w:rsid w:val="00EA5078"/>
    <w:rsid w:val="00EB2358"/>
    <w:rsid w:val="00EB3EB8"/>
    <w:rsid w:val="00EC02FE"/>
    <w:rsid w:val="00EC0880"/>
    <w:rsid w:val="00EC3C84"/>
    <w:rsid w:val="00ED1745"/>
    <w:rsid w:val="00ED2F62"/>
    <w:rsid w:val="00EE1264"/>
    <w:rsid w:val="00EE3CDE"/>
    <w:rsid w:val="00EF5D0B"/>
    <w:rsid w:val="00EF751E"/>
    <w:rsid w:val="00F07E51"/>
    <w:rsid w:val="00F117BE"/>
    <w:rsid w:val="00F37853"/>
    <w:rsid w:val="00F424BF"/>
    <w:rsid w:val="00F44D96"/>
    <w:rsid w:val="00F46107"/>
    <w:rsid w:val="00F468C5"/>
    <w:rsid w:val="00F52F39"/>
    <w:rsid w:val="00F53F25"/>
    <w:rsid w:val="00F655DE"/>
    <w:rsid w:val="00F73A39"/>
    <w:rsid w:val="00F810C9"/>
    <w:rsid w:val="00F914DD"/>
    <w:rsid w:val="00F93E4F"/>
    <w:rsid w:val="00FA2358"/>
    <w:rsid w:val="00FA7867"/>
    <w:rsid w:val="00FB2592"/>
    <w:rsid w:val="00FB2810"/>
    <w:rsid w:val="00FC2947"/>
    <w:rsid w:val="00FC3BFE"/>
    <w:rsid w:val="00FE0818"/>
    <w:rsid w:val="00FE0D53"/>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paragraph" w:customStyle="1" w:styleId="Headingb0">
    <w:name w:val="Heading b"/>
    <w:basedOn w:val="Heading3"/>
    <w:rsid w:val="00597E7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customStyle="1" w:styleId="href2">
    <w:name w:val="href2"/>
    <w:basedOn w:val="href"/>
    <w:rsid w:val="00597E71"/>
  </w:style>
  <w:style w:type="character" w:customStyle="1" w:styleId="Artref">
    <w:name w:val="Art_ref"/>
    <w:rsid w:val="00597E71"/>
    <w:rPr>
      <w:color w:val="3366FF"/>
    </w:rPr>
  </w:style>
  <w:style w:type="character" w:customStyle="1" w:styleId="FootnoteTextChar">
    <w:name w:val="Footnote Text Char"/>
    <w:link w:val="FootnoteText"/>
    <w:uiPriority w:val="99"/>
    <w:rsid w:val="00597E71"/>
    <w:rPr>
      <w:szCs w:val="22"/>
      <w:lang w:val="en-US" w:eastAsia="en-US"/>
    </w:rPr>
  </w:style>
  <w:style w:type="character" w:customStyle="1" w:styleId="TabletextChar">
    <w:name w:val="Table_text Char"/>
    <w:link w:val="Tabletext"/>
    <w:rsid w:val="00597E71"/>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1444838553">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D16C-EC7E-48A0-B621-3FD92223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69</TotalTime>
  <Pages>3</Pages>
  <Words>735</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4801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Demoulin Na</cp:lastModifiedBy>
  <cp:revision>6</cp:revision>
  <cp:lastPrinted>2019-01-15T13:30:00Z</cp:lastPrinted>
  <dcterms:created xsi:type="dcterms:W3CDTF">2019-01-15T09:11:00Z</dcterms:created>
  <dcterms:modified xsi:type="dcterms:W3CDTF">2019-01-15T13:32:00Z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