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78615D" w:rsidRDefault="003A5C7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2"/>
                <w:szCs w:val="40"/>
                <w:rtl/>
                <w:lang w:bidi="ar-EG"/>
              </w:rPr>
            </w:pPr>
            <w:r w:rsidRPr="00F63915">
              <w:rPr>
                <w:rFonts w:eastAsia="Times New Roman" w:hint="cs"/>
                <w:b/>
                <w:bCs/>
                <w:color w:val="808080"/>
                <w:sz w:val="28"/>
                <w:szCs w:val="36"/>
                <w:rtl/>
                <w:lang w:val="en-GB" w:eastAsia="en-US"/>
              </w:rPr>
              <w:t xml:space="preserve">مكتب الاتصالات الراديوية </w:t>
            </w:r>
            <w:r w:rsidRPr="00F63915">
              <w:rPr>
                <w:rFonts w:eastAsia="Times New Roman"/>
                <w:b/>
                <w:bCs/>
                <w:color w:val="808080"/>
                <w:sz w:val="28"/>
                <w:szCs w:val="36"/>
                <w:lang w:val="en-GB" w:eastAsia="en-US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E47BF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</w:t>
            </w:r>
            <w:r w:rsidR="00E47BFD">
              <w:rPr>
                <w:rFonts w:hint="eastAsia"/>
                <w:rtl/>
                <w:lang w:bidi="ar-AE"/>
              </w:rPr>
              <w:t> </w:t>
            </w:r>
            <w:r w:rsidRPr="00F36590">
              <w:rPr>
                <w:rFonts w:hint="cs"/>
                <w:rtl/>
                <w:lang w:bidi="ar-AE"/>
              </w:rPr>
              <w:t>ال</w:t>
            </w:r>
            <w:r w:rsidR="008331C1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BC42BA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F118FA">
              <w:rPr>
                <w:b/>
                <w:bCs/>
                <w:lang w:val="en-GB" w:bidi="ar-SY"/>
              </w:rPr>
              <w:t>R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F118FA">
              <w:rPr>
                <w:b/>
                <w:bCs/>
                <w:lang w:val="en-GB" w:bidi="ar-SY"/>
              </w:rPr>
              <w:t>38</w:t>
            </w:r>
            <w:r w:rsidR="00BC42BA">
              <w:rPr>
                <w:b/>
                <w:bCs/>
                <w:lang w:bidi="ar-SY"/>
              </w:rPr>
              <w:t>0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4E0FF3" w:rsidP="004E0FF3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17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83557A" w:rsidRPr="00F36590" w:rsidTr="003B65BD">
        <w:tc>
          <w:tcPr>
            <w:tcW w:w="5000" w:type="pct"/>
            <w:gridSpan w:val="3"/>
            <w:shd w:val="clear" w:color="auto" w:fill="auto"/>
          </w:tcPr>
          <w:p w:rsidR="0083557A" w:rsidRPr="00241274" w:rsidRDefault="0083557A" w:rsidP="0083557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83557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F118FA">
            <w:pPr>
              <w:spacing w:after="120"/>
              <w:jc w:val="left"/>
              <w:rPr>
                <w:b/>
                <w:bCs/>
                <w:lang w:bidi="ar-EG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</w:p>
        </w:tc>
      </w:tr>
      <w:tr w:rsidR="0083557A" w:rsidRPr="00F36590" w:rsidTr="003B65BD">
        <w:tc>
          <w:tcPr>
            <w:tcW w:w="5000" w:type="pct"/>
            <w:gridSpan w:val="3"/>
            <w:shd w:val="clear" w:color="auto" w:fill="auto"/>
          </w:tcPr>
          <w:p w:rsidR="0083557A" w:rsidRPr="00F36590" w:rsidRDefault="0083557A" w:rsidP="0083557A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83557A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E2DD6" w:rsidRDefault="00BC42BA" w:rsidP="004E0FF3">
            <w:pPr>
              <w:spacing w:before="60" w:after="60" w:line="340" w:lineRule="exact"/>
              <w:jc w:val="left"/>
              <w:rPr>
                <w:b/>
                <w:bCs/>
              </w:rPr>
            </w:pPr>
            <w:r w:rsidRPr="003E2DD6">
              <w:rPr>
                <w:rFonts w:hint="cs"/>
                <w:b/>
                <w:bCs/>
                <w:rtl/>
              </w:rPr>
              <w:t xml:space="preserve">قرارات </w:t>
            </w:r>
            <w:r w:rsidRPr="003E2DD6">
              <w:rPr>
                <w:b/>
                <w:bCs/>
                <w:rtl/>
              </w:rPr>
              <w:t xml:space="preserve">المؤتمرات العالمية السابقة للاتصالات الراديوية </w:t>
            </w:r>
            <w:r w:rsidRPr="003E2DD6">
              <w:rPr>
                <w:b/>
                <w:bCs/>
              </w:rPr>
              <w:t>(WRC)</w:t>
            </w:r>
            <w:r w:rsidRPr="003E2DD6">
              <w:rPr>
                <w:b/>
                <w:bCs/>
                <w:rtl/>
              </w:rPr>
              <w:t xml:space="preserve"> </w:t>
            </w:r>
            <w:r w:rsidRPr="003E2DD6">
              <w:rPr>
                <w:rFonts w:hint="eastAsia"/>
                <w:b/>
                <w:bCs/>
                <w:rtl/>
              </w:rPr>
              <w:t>بشأن</w:t>
            </w:r>
            <w:r w:rsidRPr="003E2DD6">
              <w:rPr>
                <w:b/>
                <w:bCs/>
                <w:rtl/>
              </w:rPr>
              <w:t xml:space="preserve"> </w:t>
            </w:r>
            <w:r w:rsidRPr="003E2DD6">
              <w:rPr>
                <w:rFonts w:hint="eastAsia"/>
                <w:b/>
                <w:bCs/>
                <w:rtl/>
              </w:rPr>
              <w:t>تطبيق</w:t>
            </w:r>
            <w:r w:rsidRPr="003E2DD6">
              <w:rPr>
                <w:b/>
                <w:bCs/>
                <w:rtl/>
              </w:rPr>
              <w:t xml:space="preserve"> </w:t>
            </w:r>
            <w:r w:rsidRPr="003E2DD6">
              <w:rPr>
                <w:rFonts w:hint="eastAsia"/>
                <w:b/>
                <w:bCs/>
                <w:rtl/>
              </w:rPr>
              <w:t>لوائح</w:t>
            </w:r>
            <w:r w:rsidRPr="003E2DD6">
              <w:rPr>
                <w:b/>
                <w:bCs/>
                <w:rtl/>
              </w:rPr>
              <w:t xml:space="preserve"> </w:t>
            </w:r>
            <w:r w:rsidRPr="003E2DD6">
              <w:rPr>
                <w:rFonts w:hint="eastAsia"/>
                <w:b/>
                <w:bCs/>
                <w:rtl/>
              </w:rPr>
              <w:t>الراديو</w:t>
            </w:r>
          </w:p>
        </w:tc>
      </w:tr>
    </w:tbl>
    <w:p w:rsidR="00F118FA" w:rsidRPr="00751075" w:rsidRDefault="00F118FA" w:rsidP="008331C1">
      <w:pPr>
        <w:spacing w:before="600"/>
        <w:rPr>
          <w:rtl/>
        </w:rPr>
      </w:pPr>
      <w:r w:rsidRPr="00751075">
        <w:rPr>
          <w:rFonts w:hint="cs"/>
          <w:rtl/>
        </w:rPr>
        <w:t>ت</w:t>
      </w:r>
      <w:r w:rsidR="008331C1" w:rsidRPr="00751075">
        <w:rPr>
          <w:rFonts w:hint="cs"/>
          <w:rtl/>
        </w:rPr>
        <w:t>‍</w:t>
      </w:r>
      <w:r w:rsidRPr="00751075">
        <w:rPr>
          <w:rFonts w:hint="cs"/>
          <w:rtl/>
        </w:rPr>
        <w:t>حية طيبة وبعد،</w:t>
      </w:r>
    </w:p>
    <w:p w:rsidR="00BC42BA" w:rsidRPr="003E2DD6" w:rsidRDefault="00BC42BA" w:rsidP="00BC42BA">
      <w:pPr>
        <w:rPr>
          <w:rtl/>
        </w:rPr>
      </w:pPr>
      <w:r w:rsidRPr="003E2DD6">
        <w:rPr>
          <w:rFonts w:hint="cs"/>
          <w:rtl/>
        </w:rPr>
        <w:t>نظرت ل</w:t>
      </w:r>
      <w:r w:rsidR="003A5C70" w:rsidRPr="003E2DD6">
        <w:rPr>
          <w:rFonts w:hint="cs"/>
          <w:rtl/>
        </w:rPr>
        <w:t>‍</w:t>
      </w:r>
      <w:r w:rsidRPr="003E2DD6">
        <w:rPr>
          <w:rFonts w:hint="cs"/>
          <w:rtl/>
        </w:rPr>
        <w:t>جنة لوائح الراديو في اجتماعها الثامن والستين (</w:t>
      </w:r>
      <w:r w:rsidRPr="003E2DD6">
        <w:t>20-16</w:t>
      </w:r>
      <w:r w:rsidRPr="003E2DD6">
        <w:rPr>
          <w:rFonts w:hint="cs"/>
          <w:rtl/>
        </w:rPr>
        <w:t xml:space="preserve"> مارس </w:t>
      </w:r>
      <w:r w:rsidRPr="003E2DD6">
        <w:t>2015</w:t>
      </w:r>
      <w:r w:rsidRPr="003E2DD6">
        <w:rPr>
          <w:rFonts w:hint="cs"/>
          <w:rtl/>
        </w:rPr>
        <w:t>) في خلاصة وافية للقرارات الصادرة عن ال</w:t>
      </w:r>
      <w:r w:rsidR="003E2DD6" w:rsidRPr="003E2DD6">
        <w:rPr>
          <w:rFonts w:hint="cs"/>
          <w:rtl/>
        </w:rPr>
        <w:t>‍</w:t>
      </w:r>
      <w:r w:rsidRPr="003E2DD6">
        <w:rPr>
          <w:rFonts w:hint="cs"/>
          <w:rtl/>
        </w:rPr>
        <w:t>مؤت</w:t>
      </w:r>
      <w:r w:rsidR="003E2DD6" w:rsidRPr="003E2DD6">
        <w:rPr>
          <w:rFonts w:hint="cs"/>
          <w:rtl/>
        </w:rPr>
        <w:t>‍</w:t>
      </w:r>
      <w:r w:rsidRPr="003E2DD6">
        <w:rPr>
          <w:rFonts w:hint="cs"/>
          <w:rtl/>
        </w:rPr>
        <w:t>مرات العال</w:t>
      </w:r>
      <w:r w:rsidR="003E2DD6" w:rsidRPr="003E2DD6">
        <w:rPr>
          <w:rFonts w:hint="cs"/>
          <w:rtl/>
        </w:rPr>
        <w:t>‍</w:t>
      </w:r>
      <w:r w:rsidRPr="003E2DD6">
        <w:rPr>
          <w:rFonts w:hint="cs"/>
          <w:rtl/>
        </w:rPr>
        <w:t>مية السابقة للاتصالات الراديوية ذات الطابع التنظيمي والتي لا يوجد بشأنها في هذا الحين أي حكم مقابل في لوائح الراديو أو</w:t>
      </w:r>
      <w:r w:rsidRPr="003E2DD6">
        <w:rPr>
          <w:rFonts w:hint="eastAsia"/>
          <w:rtl/>
        </w:rPr>
        <w:t> </w:t>
      </w:r>
      <w:r w:rsidRPr="003E2DD6">
        <w:rPr>
          <w:rFonts w:hint="cs"/>
          <w:rtl/>
        </w:rPr>
        <w:t>في</w:t>
      </w:r>
      <w:r w:rsidRPr="003E2DD6">
        <w:rPr>
          <w:rFonts w:hint="eastAsia"/>
          <w:rtl/>
        </w:rPr>
        <w:t> </w:t>
      </w:r>
      <w:r w:rsidRPr="003E2DD6">
        <w:rPr>
          <w:rFonts w:hint="cs"/>
          <w:rtl/>
        </w:rPr>
        <w:t>القواعد الإجرائية.</w:t>
      </w:r>
    </w:p>
    <w:p w:rsidR="00BC42BA" w:rsidRDefault="00BC42BA" w:rsidP="003A5C70">
      <w:pPr>
        <w:rPr>
          <w:rtl/>
          <w:lang w:bidi="ar-EG"/>
        </w:rPr>
      </w:pPr>
      <w:r>
        <w:rPr>
          <w:rFonts w:hint="cs"/>
          <w:rtl/>
        </w:rPr>
        <w:t xml:space="preserve">وحددت اللجنة في استعراضها (انظر </w:t>
      </w:r>
      <w:hyperlink r:id="rId8" w:history="1">
        <w:r w:rsidRPr="00BC42BA">
          <w:rPr>
            <w:rStyle w:val="Hyperlink"/>
            <w:rFonts w:hint="cs"/>
            <w:rtl/>
          </w:rPr>
          <w:t>ال</w:t>
        </w:r>
        <w:r w:rsidR="00BF4C12">
          <w:rPr>
            <w:rStyle w:val="Hyperlink"/>
            <w:rFonts w:hint="cs"/>
            <w:rtl/>
          </w:rPr>
          <w:t>‍</w:t>
        </w:r>
        <w:r w:rsidRPr="00BC42BA">
          <w:rPr>
            <w:rStyle w:val="Hyperlink"/>
            <w:rFonts w:hint="cs"/>
            <w:rtl/>
          </w:rPr>
          <w:t>خلاصة الوافية</w:t>
        </w:r>
      </w:hyperlink>
      <w:r>
        <w:rPr>
          <w:rStyle w:val="FootnoteReference"/>
          <w:rtl/>
        </w:rPr>
        <w:footnoteReference w:id="1"/>
      </w:r>
      <w:r>
        <w:rPr>
          <w:rFonts w:hint="cs"/>
          <w:rtl/>
        </w:rPr>
        <w:t>) عدداً من هذه القرارات للمؤت</w:t>
      </w:r>
      <w:r w:rsidR="00BF4C12">
        <w:rPr>
          <w:rFonts w:hint="cs"/>
          <w:rtl/>
        </w:rPr>
        <w:t>‍</w:t>
      </w:r>
      <w:r>
        <w:rPr>
          <w:rFonts w:hint="cs"/>
          <w:rtl/>
        </w:rPr>
        <w:t>مر العال</w:t>
      </w:r>
      <w:r w:rsidR="00BF4C12">
        <w:rPr>
          <w:rFonts w:hint="cs"/>
          <w:rtl/>
        </w:rPr>
        <w:t>‍</w:t>
      </w:r>
      <w:r>
        <w:rPr>
          <w:rFonts w:hint="cs"/>
          <w:rtl/>
        </w:rPr>
        <w:t>مي للاتصالات الراديوية التي لها طابع تفسيري وإن كانت لا</w:t>
      </w:r>
      <w:r w:rsidR="003A5C70">
        <w:rPr>
          <w:rFonts w:hint="eastAsia"/>
          <w:rtl/>
        </w:rPr>
        <w:t> </w:t>
      </w:r>
      <w:r>
        <w:rPr>
          <w:rFonts w:hint="cs"/>
          <w:rtl/>
        </w:rPr>
        <w:t>تزال سارية. وطلبت اللجنة من ال</w:t>
      </w:r>
      <w:r w:rsidR="00BF4C12">
        <w:rPr>
          <w:rFonts w:hint="cs"/>
          <w:rtl/>
        </w:rPr>
        <w:t>‍</w:t>
      </w:r>
      <w:r>
        <w:rPr>
          <w:rFonts w:hint="cs"/>
          <w:rtl/>
        </w:rPr>
        <w:t>مدير إصدار هذه الرسالة ال</w:t>
      </w:r>
      <w:r w:rsidR="00B176AE">
        <w:rPr>
          <w:rFonts w:hint="cs"/>
          <w:rtl/>
        </w:rPr>
        <w:t>‍</w:t>
      </w:r>
      <w:r>
        <w:rPr>
          <w:rFonts w:hint="cs"/>
          <w:rtl/>
        </w:rPr>
        <w:t>معممة لاسترعاء انتباه الإدارات إلى القرارات ال</w:t>
      </w:r>
      <w:r w:rsidR="00BF4C12">
        <w:rPr>
          <w:rFonts w:hint="cs"/>
          <w:rtl/>
        </w:rPr>
        <w:t>‍</w:t>
      </w:r>
      <w:r>
        <w:rPr>
          <w:rFonts w:hint="cs"/>
          <w:rtl/>
          <w:lang w:bidi="ar-EG"/>
        </w:rPr>
        <w:t>محددة ال</w:t>
      </w:r>
      <w:r w:rsidR="00A3063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 إليها.</w:t>
      </w:r>
    </w:p>
    <w:p w:rsidR="00F118FA" w:rsidRPr="00751075" w:rsidRDefault="00BC42BA" w:rsidP="00BC42BA">
      <w:pPr>
        <w:rPr>
          <w:spacing w:val="-4"/>
          <w:rtl/>
          <w:lang w:bidi="ar"/>
        </w:rPr>
      </w:pPr>
      <w:r>
        <w:rPr>
          <w:rFonts w:hint="cs"/>
          <w:rtl/>
          <w:lang w:bidi="ar-EG"/>
        </w:rPr>
        <w:t>وترد هذه القائمة في ال</w:t>
      </w:r>
      <w:r w:rsidR="003A5C7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ملحق بهذه الرسالة.</w:t>
      </w:r>
    </w:p>
    <w:p w:rsidR="00F118FA" w:rsidRPr="00751075" w:rsidRDefault="00F118FA" w:rsidP="008331C1">
      <w:pPr>
        <w:spacing w:before="240"/>
        <w:rPr>
          <w:rtl/>
          <w:lang w:bidi="ar-EG"/>
        </w:rPr>
      </w:pPr>
      <w:r w:rsidRPr="00751075">
        <w:rPr>
          <w:rFonts w:hint="cs"/>
          <w:rtl/>
          <w:lang w:bidi="ar-EG"/>
        </w:rPr>
        <w:t>وتفضل</w:t>
      </w:r>
      <w:r w:rsidR="00A34794" w:rsidRPr="00751075">
        <w:rPr>
          <w:rFonts w:hint="cs"/>
          <w:rtl/>
          <w:lang w:bidi="ar-EG"/>
        </w:rPr>
        <w:t>وا بقبول فائق التقدير والاحترام.</w:t>
      </w:r>
    </w:p>
    <w:p w:rsidR="00F118FA" w:rsidRPr="00985D70" w:rsidRDefault="00F118FA" w:rsidP="00F118FA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bookmarkStart w:id="0" w:name="_GoBack"/>
      <w:r w:rsidRPr="00985D70">
        <w:rPr>
          <w:rFonts w:hint="cs"/>
          <w:rtl/>
        </w:rPr>
        <w:t>ا</w:t>
      </w:r>
      <w:bookmarkEnd w:id="0"/>
      <w:r w:rsidRPr="00985D70">
        <w:rPr>
          <w:rFonts w:hint="cs"/>
          <w:rtl/>
        </w:rPr>
        <w:t>ل‍مدير</w:t>
      </w:r>
    </w:p>
    <w:p w:rsidR="00BC42BA" w:rsidRPr="003A5C70" w:rsidRDefault="00BC42BA" w:rsidP="0083557A">
      <w:pPr>
        <w:spacing w:before="240"/>
        <w:rPr>
          <w:b/>
          <w:bCs/>
          <w:sz w:val="30"/>
          <w:rtl/>
        </w:rPr>
      </w:pPr>
      <w:bookmarkStart w:id="1" w:name="ddistribution"/>
      <w:bookmarkEnd w:id="1"/>
      <w:r w:rsidRPr="003A5C70">
        <w:rPr>
          <w:rFonts w:hint="cs"/>
          <w:b/>
          <w:bCs/>
          <w:sz w:val="30"/>
          <w:rtl/>
        </w:rPr>
        <w:t>ملحق.</w:t>
      </w:r>
    </w:p>
    <w:p w:rsidR="00F118FA" w:rsidRPr="00985D70" w:rsidRDefault="00F118FA" w:rsidP="0083557A">
      <w:pPr>
        <w:spacing w:before="240"/>
        <w:rPr>
          <w:b/>
          <w:bCs/>
          <w:sz w:val="16"/>
          <w:szCs w:val="22"/>
          <w:rtl/>
          <w:lang w:bidi="ar-EG"/>
        </w:rPr>
      </w:pPr>
      <w:r w:rsidRPr="00985D70">
        <w:rPr>
          <w:b/>
          <w:bCs/>
          <w:sz w:val="16"/>
          <w:szCs w:val="22"/>
          <w:rtl/>
        </w:rPr>
        <w:t>التوزيع:</w:t>
      </w:r>
    </w:p>
    <w:p w:rsidR="00F118FA" w:rsidRPr="00985D70" w:rsidRDefault="00F118FA" w:rsidP="008331C1">
      <w:pPr>
        <w:tabs>
          <w:tab w:val="clear" w:pos="794"/>
          <w:tab w:val="left" w:pos="284"/>
        </w:tabs>
        <w:spacing w:before="60" w:line="180" w:lineRule="auto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lastRenderedPageBreak/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</w:p>
    <w:p w:rsidR="00BC42BA" w:rsidRDefault="00F118FA" w:rsidP="008331C1">
      <w:pPr>
        <w:tabs>
          <w:tab w:val="clear" w:pos="794"/>
          <w:tab w:val="left" w:pos="284"/>
        </w:tabs>
        <w:spacing w:before="60" w:line="180" w:lineRule="auto"/>
        <w:rPr>
          <w:sz w:val="16"/>
          <w:szCs w:val="22"/>
          <w:rtl/>
          <w:lang w:bidi="ar-EG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3A5C70" w:rsidRDefault="003A5C70" w:rsidP="008331C1">
      <w:pPr>
        <w:tabs>
          <w:tab w:val="clear" w:pos="794"/>
          <w:tab w:val="left" w:pos="284"/>
        </w:tabs>
        <w:spacing w:before="60" w:line="180" w:lineRule="auto"/>
        <w:rPr>
          <w:sz w:val="16"/>
          <w:szCs w:val="22"/>
          <w:rtl/>
          <w:lang w:bidi="ar-EG"/>
        </w:rPr>
      </w:pPr>
    </w:p>
    <w:p w:rsidR="003A5C70" w:rsidRDefault="003A5C70" w:rsidP="008331C1">
      <w:pPr>
        <w:tabs>
          <w:tab w:val="clear" w:pos="794"/>
          <w:tab w:val="left" w:pos="284"/>
        </w:tabs>
        <w:spacing w:before="60" w:line="180" w:lineRule="auto"/>
        <w:rPr>
          <w:rtl/>
          <w:lang w:bidi="ar-EG"/>
        </w:rPr>
        <w:sectPr w:rsidR="003A5C70" w:rsidSect="007E6E52"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A0706D" w:rsidRDefault="00BC42BA" w:rsidP="00BC42BA">
      <w:pPr>
        <w:pStyle w:val="AnnexNo"/>
        <w:rPr>
          <w:rtl/>
          <w:lang w:bidi="ar-EG"/>
        </w:rPr>
      </w:pPr>
      <w:r w:rsidRPr="00BC42BA">
        <w:rPr>
          <w:rFonts w:hint="cs"/>
          <w:rtl/>
        </w:rPr>
        <w:lastRenderedPageBreak/>
        <w:t>ال‍ملحق</w:t>
      </w:r>
    </w:p>
    <w:p w:rsidR="00BC42BA" w:rsidRPr="00BC42BA" w:rsidRDefault="00BC42BA" w:rsidP="00BC42BA">
      <w:pPr>
        <w:pStyle w:val="Annextitle"/>
        <w:spacing w:after="120"/>
        <w:rPr>
          <w:rtl/>
        </w:rPr>
      </w:pPr>
      <w:r w:rsidRPr="00BC42BA">
        <w:rPr>
          <w:rFonts w:hint="cs"/>
          <w:rtl/>
        </w:rPr>
        <w:t>خلاصة وافية لقرارات المؤتمر العالمي للاتصالات الراديوية التي لا زالت سارية وغير المجسدة في لوائح الراديو</w:t>
      </w:r>
    </w:p>
    <w:tbl>
      <w:tblPr>
        <w:tblStyle w:val="TableGrid"/>
        <w:bidiVisual/>
        <w:tblW w:w="5140" w:type="pct"/>
        <w:tblInd w:w="-147" w:type="dxa"/>
        <w:tblLook w:val="0420" w:firstRow="1" w:lastRow="0" w:firstColumn="0" w:lastColumn="0" w:noHBand="0" w:noVBand="1"/>
      </w:tblPr>
      <w:tblGrid>
        <w:gridCol w:w="447"/>
        <w:gridCol w:w="1670"/>
        <w:gridCol w:w="2005"/>
        <w:gridCol w:w="9256"/>
        <w:gridCol w:w="1300"/>
      </w:tblGrid>
      <w:tr w:rsidR="00BC42BA" w:rsidRPr="00494233" w:rsidTr="00B43841">
        <w:trPr>
          <w:tblHeader/>
        </w:trPr>
        <w:tc>
          <w:tcPr>
            <w:tcW w:w="152" w:type="pct"/>
            <w:vAlign w:val="center"/>
          </w:tcPr>
          <w:p w:rsidR="00BC42BA" w:rsidRPr="00494233" w:rsidRDefault="00BC42BA" w:rsidP="00A847AE">
            <w:pPr>
              <w:pStyle w:val="TableHead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</w:pPr>
          </w:p>
        </w:tc>
        <w:tc>
          <w:tcPr>
            <w:tcW w:w="569" w:type="pct"/>
            <w:vAlign w:val="center"/>
          </w:tcPr>
          <w:p w:rsidR="00BC42BA" w:rsidRPr="005814CC" w:rsidRDefault="00BC42BA" w:rsidP="00A847AE">
            <w:pPr>
              <w:pStyle w:val="TableHead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rPr>
                <w:rFonts w:eastAsia="SimSun"/>
              </w:rPr>
            </w:pPr>
            <w:r w:rsidRPr="005814CC">
              <w:rPr>
                <w:rFonts w:eastAsia="SimSun" w:hint="cs"/>
                <w:rtl/>
              </w:rPr>
              <w:t>المؤتمر</w:t>
            </w:r>
            <w:r>
              <w:rPr>
                <w:rFonts w:eastAsia="SimSun" w:hint="cs"/>
                <w:rtl/>
              </w:rPr>
              <w:t xml:space="preserve"> العالمي للاتصالات الراديوية</w:t>
            </w:r>
          </w:p>
        </w:tc>
        <w:tc>
          <w:tcPr>
            <w:tcW w:w="683" w:type="pct"/>
            <w:vAlign w:val="center"/>
          </w:tcPr>
          <w:p w:rsidR="00BC42BA" w:rsidRPr="005814CC" w:rsidRDefault="00BC42BA" w:rsidP="00A847AE">
            <w:pPr>
              <w:pStyle w:val="TableHead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rPr>
                <w:rFonts w:eastAsia="SimSun"/>
              </w:rPr>
            </w:pPr>
            <w:r w:rsidRPr="005814CC">
              <w:rPr>
                <w:rFonts w:eastAsia="SimSun" w:hint="cs"/>
                <w:rtl/>
              </w:rPr>
              <w:t>المرجع</w:t>
            </w:r>
          </w:p>
        </w:tc>
        <w:tc>
          <w:tcPr>
            <w:tcW w:w="3152" w:type="pct"/>
            <w:vAlign w:val="center"/>
          </w:tcPr>
          <w:p w:rsidR="00BC42BA" w:rsidRPr="005814CC" w:rsidRDefault="00BC42BA" w:rsidP="007C232E">
            <w:pPr>
              <w:pStyle w:val="TableHead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both"/>
              <w:rPr>
                <w:rFonts w:eastAsia="SimSun"/>
              </w:rPr>
            </w:pPr>
            <w:r w:rsidRPr="005814CC">
              <w:rPr>
                <w:rFonts w:eastAsia="SimSun" w:hint="cs"/>
                <w:rtl/>
              </w:rPr>
              <w:t>القرار</w:t>
            </w:r>
          </w:p>
        </w:tc>
        <w:tc>
          <w:tcPr>
            <w:tcW w:w="443" w:type="pct"/>
            <w:vAlign w:val="center"/>
          </w:tcPr>
          <w:p w:rsidR="00BC42BA" w:rsidRPr="00494233" w:rsidRDefault="00BC42BA" w:rsidP="00A847AE">
            <w:pPr>
              <w:pStyle w:val="TableHead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</w:pPr>
            <w:r>
              <w:rPr>
                <w:rFonts w:eastAsia="SimSun" w:hint="cs"/>
                <w:rtl/>
              </w:rPr>
              <w:t>ملاحظات</w:t>
            </w:r>
          </w:p>
        </w:tc>
      </w:tr>
      <w:tr w:rsidR="00BC42BA" w:rsidRPr="00494233" w:rsidTr="00B43841">
        <w:tc>
          <w:tcPr>
            <w:tcW w:w="152" w:type="pct"/>
            <w:tcBorders>
              <w:top w:val="single" w:sz="4" w:space="0" w:color="auto"/>
            </w:tcBorders>
          </w:tcPr>
          <w:p w:rsidR="00BC42BA" w:rsidRPr="00494233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  <w:r w:rsidRPr="00494233">
              <w:t>16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BC42BA" w:rsidRPr="006D05E9" w:rsidRDefault="00BC42BA" w:rsidP="00B972D2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  <w:r>
              <w:rPr>
                <w:rFonts w:hint="cs"/>
                <w:rtl/>
              </w:rPr>
              <w:t>المؤتمر العالمي للاتصالات الراديوية لعام</w:t>
            </w:r>
            <w:r w:rsidR="00B972D2">
              <w:rPr>
                <w:rFonts w:hint="eastAsia"/>
                <w:rtl/>
              </w:rPr>
              <w:t> </w:t>
            </w:r>
            <w:r>
              <w:t>2003</w:t>
            </w:r>
          </w:p>
        </w:tc>
        <w:tc>
          <w:tcPr>
            <w:tcW w:w="683" w:type="pct"/>
            <w:tcBorders>
              <w:top w:val="single" w:sz="4" w:space="0" w:color="auto"/>
            </w:tcBorders>
          </w:tcPr>
          <w:p w:rsidR="00BC42BA" w:rsidRPr="009A4972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tl/>
                <w:lang w:bidi="ar-EG"/>
              </w:rPr>
            </w:pPr>
            <w:r w:rsidRPr="004566E2">
              <w:rPr>
                <w:rFonts w:hint="cs"/>
                <w:rtl/>
              </w:rPr>
              <w:t>الجلسة العامة الرابعة عشرة</w:t>
            </w:r>
            <w:r w:rsidRPr="009A4972">
              <w:rPr>
                <w:rFonts w:hint="cs"/>
                <w:rtl/>
              </w:rPr>
              <w:t xml:space="preserve"> </w:t>
            </w:r>
            <w:hyperlink r:id="rId13" w:history="1">
              <w:r w:rsidRPr="009A4972">
                <w:rPr>
                  <w:rStyle w:val="Hyperlink"/>
                  <w:rFonts w:hint="cs"/>
                  <w:rtl/>
                </w:rPr>
                <w:t xml:space="preserve">الوثيقة </w:t>
              </w:r>
              <w:r w:rsidRPr="009A4972">
                <w:rPr>
                  <w:rStyle w:val="Hyperlink"/>
                </w:rPr>
                <w:t>410</w:t>
              </w:r>
            </w:hyperlink>
          </w:p>
        </w:tc>
        <w:tc>
          <w:tcPr>
            <w:tcW w:w="3152" w:type="pct"/>
            <w:tcBorders>
              <w:top w:val="single" w:sz="4" w:space="0" w:color="auto"/>
            </w:tcBorders>
          </w:tcPr>
          <w:p w:rsidR="00BC42BA" w:rsidRPr="00494233" w:rsidRDefault="00BC42BA" w:rsidP="007C232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rPr>
                <w:rtl/>
              </w:rPr>
            </w:pPr>
            <w:r w:rsidRPr="005814CC">
              <w:rPr>
                <w:rFonts w:hint="cs"/>
                <w:rtl/>
              </w:rPr>
              <w:t>عند</w:t>
            </w:r>
            <w:r w:rsidRPr="005814CC">
              <w:rPr>
                <w:rtl/>
              </w:rPr>
              <w:t xml:space="preserve"> تطبيق القرار </w:t>
            </w:r>
            <w:r w:rsidRPr="005814CC">
              <w:t>(Rev.WRC-03)</w:t>
            </w:r>
            <w:r w:rsidRPr="005814CC">
              <w:rPr>
                <w:rFonts w:hint="cs"/>
                <w:rtl/>
              </w:rPr>
              <w:t> </w:t>
            </w:r>
            <w:r w:rsidRPr="005814CC">
              <w:t>539</w:t>
            </w:r>
            <w:r w:rsidRPr="005814CC">
              <w:rPr>
                <w:rtl/>
              </w:rPr>
              <w:t xml:space="preserve"> عندما ي</w:t>
            </w:r>
            <w:r w:rsidRPr="005814CC">
              <w:rPr>
                <w:rFonts w:hint="cs"/>
                <w:rtl/>
              </w:rPr>
              <w:t>ُ</w:t>
            </w:r>
            <w:r w:rsidRPr="005814CC">
              <w:rPr>
                <w:rtl/>
              </w:rPr>
              <w:t>طلب من</w:t>
            </w:r>
            <w:r>
              <w:rPr>
                <w:rFonts w:hint="cs"/>
                <w:rtl/>
              </w:rPr>
              <w:t> </w:t>
            </w:r>
            <w:r w:rsidRPr="005814CC">
              <w:rPr>
                <w:rtl/>
              </w:rPr>
              <w:t xml:space="preserve">الإدارة المبلغة الحصول على موافقة من الإدارة </w:t>
            </w:r>
            <w:r w:rsidRPr="005814CC">
              <w:rPr>
                <w:rFonts w:hint="cs"/>
                <w:rtl/>
              </w:rPr>
              <w:t>المتأثرة</w:t>
            </w:r>
            <w:r w:rsidRPr="005814CC">
              <w:rPr>
                <w:rtl/>
              </w:rPr>
              <w:t xml:space="preserve"> بموجب الفقرة الفرعية الأولى</w:t>
            </w:r>
            <w:r w:rsidRPr="005814CC">
              <w:rPr>
                <w:rFonts w:hint="cs"/>
                <w:rtl/>
              </w:rPr>
              <w:t xml:space="preserve"> من </w:t>
            </w:r>
            <w:r w:rsidR="00487A63">
              <w:rPr>
                <w:rFonts w:hint="cs"/>
                <w:rtl/>
              </w:rPr>
              <w:t>ال</w:t>
            </w:r>
            <w:r w:rsidRPr="005814CC">
              <w:rPr>
                <w:rFonts w:hint="cs"/>
                <w:rtl/>
              </w:rPr>
              <w:t>فقرة</w:t>
            </w:r>
            <w:r w:rsidRPr="005814CC">
              <w:rPr>
                <w:rtl/>
              </w:rPr>
              <w:t xml:space="preserve"> </w:t>
            </w:r>
            <w:r w:rsidRPr="005814CC">
              <w:t>1</w:t>
            </w:r>
            <w:r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487A63" w:rsidRPr="00487A63">
              <w:rPr>
                <w:rFonts w:hint="cs"/>
                <w:rtl/>
              </w:rPr>
              <w:t>من</w:t>
            </w:r>
            <w:r w:rsidR="00487A63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Pr="005814CC">
              <w:rPr>
                <w:i/>
                <w:iCs/>
                <w:rtl/>
              </w:rPr>
              <w:t>يكلف مكتب الاتصالات الراديوية</w:t>
            </w:r>
            <w:r w:rsidRPr="005814CC">
              <w:rPr>
                <w:rtl/>
              </w:rPr>
              <w:t>، ولا</w:t>
            </w:r>
            <w:r w:rsidRPr="005814CC">
              <w:rPr>
                <w:rFonts w:hint="eastAsia"/>
                <w:rtl/>
              </w:rPr>
              <w:t> </w:t>
            </w:r>
            <w:r w:rsidRPr="005814CC">
              <w:rPr>
                <w:rtl/>
              </w:rPr>
              <w:t>تكون الإدارة المبلغة قد تلقت ردا</w:t>
            </w:r>
            <w:r w:rsidRPr="005814CC">
              <w:rPr>
                <w:rFonts w:hint="cs"/>
                <w:rtl/>
              </w:rPr>
              <w:t>ً</w:t>
            </w:r>
            <w:r w:rsidRPr="005814CC">
              <w:rPr>
                <w:rtl/>
              </w:rPr>
              <w:t xml:space="preserve"> على طلب الحصول على موافقة من</w:t>
            </w:r>
            <w:r w:rsidRPr="005814CC">
              <w:rPr>
                <w:rFonts w:hint="cs"/>
                <w:rtl/>
              </w:rPr>
              <w:t> </w:t>
            </w:r>
            <w:r w:rsidRPr="005814CC">
              <w:rPr>
                <w:rtl/>
              </w:rPr>
              <w:t xml:space="preserve">الإدارة </w:t>
            </w:r>
            <w:r w:rsidR="00487A63">
              <w:rPr>
                <w:rFonts w:hint="cs"/>
                <w:rtl/>
              </w:rPr>
              <w:t>المتأثرة</w:t>
            </w:r>
            <w:r w:rsidRPr="005814CC">
              <w:rPr>
                <w:rtl/>
              </w:rPr>
              <w:t xml:space="preserve">، فإنه يمكنها أن تطلب المساعدة من المكتب. وإذا </w:t>
            </w:r>
            <w:r w:rsidRPr="005814CC">
              <w:rPr>
                <w:rFonts w:hint="cs"/>
                <w:rtl/>
              </w:rPr>
              <w:t>استمرّت</w:t>
            </w:r>
            <w:r w:rsidRPr="005814CC">
              <w:rPr>
                <w:rtl/>
              </w:rPr>
              <w:t xml:space="preserve"> الإدارة المتأثرة، بعد مساعدة المكتب، </w:t>
            </w:r>
            <w:r w:rsidR="00487A63">
              <w:rPr>
                <w:rFonts w:hint="cs"/>
                <w:rtl/>
              </w:rPr>
              <w:t>في</w:t>
            </w:r>
            <w:r w:rsidRPr="005814CC">
              <w:rPr>
                <w:rFonts w:hint="cs"/>
                <w:rtl/>
              </w:rPr>
              <w:t xml:space="preserve"> عدم </w:t>
            </w:r>
            <w:r w:rsidRPr="005814CC">
              <w:rPr>
                <w:rtl/>
              </w:rPr>
              <w:t xml:space="preserve">الرد، </w:t>
            </w:r>
            <w:r w:rsidR="00487A63">
              <w:rPr>
                <w:rFonts w:hint="cs"/>
                <w:rtl/>
              </w:rPr>
              <w:t>تعتبر</w:t>
            </w:r>
            <w:r w:rsidRPr="005814CC">
              <w:rPr>
                <w:rtl/>
              </w:rPr>
              <w:t xml:space="preserve"> الإدارة قبلت كثافة تدف</w:t>
            </w:r>
            <w:r w:rsidRPr="005814CC">
              <w:rPr>
                <w:rFonts w:hint="cs"/>
                <w:rtl/>
              </w:rPr>
              <w:t>ّ</w:t>
            </w:r>
            <w:r w:rsidRPr="005814CC">
              <w:rPr>
                <w:rtl/>
              </w:rPr>
              <w:t>ق القدرة الزائد</w:t>
            </w:r>
            <w:r w:rsidRPr="005814CC">
              <w:rPr>
                <w:rFonts w:hint="cs"/>
                <w:rtl/>
              </w:rPr>
              <w:t>ة</w:t>
            </w:r>
            <w:r>
              <w:rPr>
                <w:rtl/>
              </w:rPr>
              <w:t xml:space="preserve"> على أراضي بلدها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BC42BA" w:rsidRPr="00C9719A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</w:p>
        </w:tc>
      </w:tr>
      <w:tr w:rsidR="00BC42BA" w:rsidRPr="00494233" w:rsidTr="00B43841">
        <w:tblPrEx>
          <w:tblLook w:val="04A0" w:firstRow="1" w:lastRow="0" w:firstColumn="1" w:lastColumn="0" w:noHBand="0" w:noVBand="1"/>
        </w:tblPrEx>
        <w:tc>
          <w:tcPr>
            <w:tcW w:w="152" w:type="pct"/>
          </w:tcPr>
          <w:p w:rsidR="00BC42BA" w:rsidRPr="009D0D0F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  <w:r w:rsidRPr="009D0D0F">
              <w:t>17</w:t>
            </w:r>
          </w:p>
        </w:tc>
        <w:tc>
          <w:tcPr>
            <w:tcW w:w="569" w:type="pct"/>
          </w:tcPr>
          <w:p w:rsidR="00BC42BA" w:rsidRPr="006D05E9" w:rsidRDefault="00BC42BA" w:rsidP="00B972D2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  <w:r>
              <w:rPr>
                <w:rFonts w:hint="cs"/>
                <w:rtl/>
              </w:rPr>
              <w:t>المؤتمر العالمي للاتصالات الراديوية لعام</w:t>
            </w:r>
            <w:r w:rsidR="00B972D2">
              <w:rPr>
                <w:rFonts w:hint="eastAsia"/>
                <w:rtl/>
                <w:lang w:bidi="ar-EG"/>
              </w:rPr>
              <w:t> </w:t>
            </w:r>
            <w:r>
              <w:t>2003</w:t>
            </w:r>
          </w:p>
        </w:tc>
        <w:tc>
          <w:tcPr>
            <w:tcW w:w="683" w:type="pct"/>
          </w:tcPr>
          <w:p w:rsidR="00BC42BA" w:rsidRPr="009A4972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  <w:r w:rsidRPr="004566E2">
              <w:rPr>
                <w:rFonts w:hint="cs"/>
                <w:rtl/>
              </w:rPr>
              <w:t>الجلسة العامة الرابعة عشرة</w:t>
            </w:r>
            <w:r w:rsidRPr="009A4972">
              <w:rPr>
                <w:rFonts w:hint="cs"/>
                <w:rtl/>
              </w:rPr>
              <w:t xml:space="preserve"> الوثيقتان </w:t>
            </w:r>
            <w:hyperlink r:id="rId14" w:history="1">
              <w:r w:rsidRPr="009A4972">
                <w:rPr>
                  <w:rStyle w:val="Hyperlink"/>
                </w:rPr>
                <w:t>410</w:t>
              </w:r>
            </w:hyperlink>
            <w:r w:rsidR="00A847AE" w:rsidRPr="009A4972">
              <w:rPr>
                <w:rFonts w:hint="cs"/>
                <w:rtl/>
              </w:rPr>
              <w:t xml:space="preserve"> </w:t>
            </w:r>
            <w:r w:rsidRPr="009A4972">
              <w:rPr>
                <w:rtl/>
              </w:rPr>
              <w:t>و</w:t>
            </w:r>
            <w:hyperlink r:id="rId15" w:history="1">
              <w:r w:rsidRPr="009A4972">
                <w:rPr>
                  <w:rStyle w:val="Hyperlink"/>
                </w:rPr>
                <w:t>370</w:t>
              </w:r>
            </w:hyperlink>
          </w:p>
        </w:tc>
        <w:tc>
          <w:tcPr>
            <w:tcW w:w="3152" w:type="pct"/>
          </w:tcPr>
          <w:p w:rsidR="00BC42BA" w:rsidRPr="00E87EA0" w:rsidRDefault="00BC42BA" w:rsidP="007C232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ind w:left="510" w:hanging="510"/>
              <w:rPr>
                <w:rtl/>
                <w:lang w:bidi="ar-EG"/>
              </w:rPr>
            </w:pPr>
            <w:r w:rsidRPr="00A847AE">
              <w:rPr>
                <w:b/>
                <w:bCs/>
              </w:rPr>
              <w:t>1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عند تطبيق الحاشيتين </w:t>
            </w:r>
            <w:r>
              <w:t>4</w:t>
            </w:r>
            <w:r>
              <w:rPr>
                <w:rFonts w:hint="cs"/>
                <w:rtl/>
                <w:lang w:bidi="ar-EG"/>
              </w:rPr>
              <w:t>مكرراً و</w:t>
            </w:r>
            <w:r>
              <w:t>8</w:t>
            </w:r>
            <w:r>
              <w:rPr>
                <w:rFonts w:hint="cs"/>
                <w:rtl/>
                <w:lang w:bidi="ar-EG"/>
              </w:rPr>
              <w:t>مكرراً (</w:t>
            </w:r>
            <w:r w:rsidRPr="00E87EA0">
              <w:rPr>
                <w:lang w:bidi="ar-EG"/>
              </w:rPr>
              <w:t>5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E87EA0">
              <w:rPr>
                <w:lang w:bidi="ar-EG"/>
              </w:rPr>
              <w:t>14</w:t>
            </w:r>
            <w:r>
              <w:rPr>
                <w:rFonts w:hint="cs"/>
                <w:rtl/>
                <w:lang w:bidi="ar-EG"/>
              </w:rPr>
              <w:t xml:space="preserve"> حالياً) إضافة</w:t>
            </w:r>
            <w:r w:rsidR="00664441">
              <w:rPr>
                <w:rFonts w:hint="cs"/>
                <w:rtl/>
                <w:lang w:bidi="ar-EG"/>
              </w:rPr>
              <w:t>ً</w:t>
            </w:r>
            <w:r>
              <w:rPr>
                <w:rFonts w:hint="cs"/>
                <w:rtl/>
                <w:lang w:bidi="ar-EG"/>
              </w:rPr>
              <w:t xml:space="preserve"> إلى الفقرتين </w:t>
            </w:r>
            <w:r>
              <w:t>1.1.4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2.2.4</w:t>
            </w:r>
            <w:r>
              <w:rPr>
                <w:rFonts w:hint="cs"/>
                <w:rtl/>
                <w:lang w:bidi="ar-EG"/>
              </w:rPr>
              <w:t xml:space="preserve"> من التذييل </w:t>
            </w:r>
            <w:r w:rsidRPr="00033944">
              <w:rPr>
                <w:b/>
                <w:bCs/>
                <w:lang w:bidi="ar-EG"/>
              </w:rPr>
              <w:t>30A</w:t>
            </w:r>
            <w:r>
              <w:rPr>
                <w:rFonts w:hint="cs"/>
                <w:rtl/>
                <w:lang w:bidi="ar-EG"/>
              </w:rPr>
              <w:t xml:space="preserve"> على التوالي، يكون التنسيق بموجب الرقمين </w:t>
            </w:r>
            <w:r w:rsidRPr="00A847AE">
              <w:rPr>
                <w:b/>
                <w:bCs/>
                <w:lang w:bidi="ar-EG"/>
              </w:rPr>
              <w:t>17.9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D00006">
              <w:rPr>
                <w:rFonts w:hint="cs"/>
                <w:rtl/>
                <w:lang w:bidi="ar-EG"/>
              </w:rPr>
              <w:t>و</w:t>
            </w:r>
            <w:r w:rsidRPr="00A847AE">
              <w:rPr>
                <w:b/>
                <w:bCs/>
                <w:lang w:bidi="ar-EG"/>
              </w:rPr>
              <w:t>17A.9</w:t>
            </w:r>
            <w:r>
              <w:rPr>
                <w:rFonts w:hint="cs"/>
                <w:rtl/>
                <w:lang w:bidi="ar-EG"/>
              </w:rPr>
              <w:t xml:space="preserve"> مطلوباً إذا تجاوزت منطقة التنسيق لمحطة أرضية لوصلة التغذية تلك الخاصة بمحطة أرضية لوصلة تغذية مرتبطة بشبكة ساتلية منسقة بموجب الأرقام </w:t>
            </w:r>
            <w:r w:rsidRPr="00E87EA0">
              <w:rPr>
                <w:lang w:bidi="ar-EG"/>
              </w:rPr>
              <w:t>2.1.2.4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E87EA0">
              <w:rPr>
                <w:lang w:bidi="ar-EG"/>
              </w:rPr>
              <w:t>3.1.2.4</w:t>
            </w:r>
            <w:r w:rsidRPr="00E87EA0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و</w:t>
            </w:r>
            <w:r w:rsidRPr="00E87EA0">
              <w:rPr>
                <w:lang w:bidi="ar-EG"/>
              </w:rPr>
              <w:t>2.3.2.4</w:t>
            </w:r>
            <w:r w:rsidRPr="00E87EA0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و</w:t>
            </w:r>
            <w:r w:rsidRPr="00E87EA0">
              <w:rPr>
                <w:lang w:bidi="ar-EG"/>
              </w:rPr>
              <w:t>3.3.2.4</w:t>
            </w:r>
            <w:r>
              <w:rPr>
                <w:rFonts w:hint="cs"/>
                <w:rtl/>
                <w:lang w:bidi="ar-EG"/>
              </w:rPr>
              <w:t xml:space="preserve"> من التذييل </w:t>
            </w:r>
            <w:r w:rsidRPr="00A847AE">
              <w:rPr>
                <w:b/>
                <w:bCs/>
                <w:lang w:bidi="ar-EG"/>
              </w:rPr>
              <w:t>30A</w:t>
            </w:r>
            <w:r>
              <w:rPr>
                <w:rFonts w:hint="cs"/>
                <w:rtl/>
                <w:lang w:bidi="ar-EG"/>
              </w:rPr>
              <w:t xml:space="preserve"> (المؤتمر العالمي للاتصالات الراديوية لعام </w:t>
            </w:r>
            <w:r w:rsidRPr="00E87EA0">
              <w:rPr>
                <w:lang w:bidi="ar-EG"/>
              </w:rPr>
              <w:t>1997</w:t>
            </w:r>
            <w:r>
              <w:rPr>
                <w:rFonts w:hint="cs"/>
                <w:rtl/>
                <w:lang w:bidi="ar-EG"/>
              </w:rPr>
              <w:t>).</w:t>
            </w:r>
          </w:p>
          <w:p w:rsidR="00BC42BA" w:rsidRPr="00937FD5" w:rsidRDefault="00BC42BA" w:rsidP="00013BDF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ind w:left="510" w:hanging="510"/>
              <w:rPr>
                <w:lang w:bidi="ar-EG"/>
              </w:rPr>
            </w:pPr>
            <w:r w:rsidRPr="00A847AE">
              <w:rPr>
                <w:b/>
                <w:bCs/>
              </w:rPr>
              <w:t>2</w:t>
            </w:r>
            <w:r>
              <w:rPr>
                <w:rtl/>
              </w:rPr>
              <w:tab/>
            </w:r>
            <w:r>
              <w:rPr>
                <w:rFonts w:hint="cs"/>
                <w:rtl/>
                <w:lang w:bidi="ar-EG"/>
              </w:rPr>
              <w:t xml:space="preserve">يجب أن تكون المنهجية المستعملة للفحص فيما يتعلق بالفقرتين الفرعيتين الرابعة والخامسة من الفقرة </w:t>
            </w:r>
            <w:r w:rsidRPr="00D00006">
              <w:rPr>
                <w:lang w:bidi="ar-EG"/>
              </w:rPr>
              <w:t>1.2.5</w:t>
            </w:r>
            <w:r w:rsidR="00013BDF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د)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من التذييلين</w:t>
            </w:r>
            <w:r w:rsidR="007C232E">
              <w:rPr>
                <w:rFonts w:hint="eastAsia"/>
                <w:rtl/>
                <w:lang w:bidi="ar-EG"/>
              </w:rPr>
              <w:t> </w:t>
            </w:r>
            <w:r w:rsidRPr="00A847AE">
              <w:rPr>
                <w:b/>
                <w:bCs/>
                <w:lang w:bidi="ar-EG"/>
              </w:rPr>
              <w:t>30</w:t>
            </w:r>
            <w:r>
              <w:rPr>
                <w:rFonts w:hint="cs"/>
                <w:rtl/>
              </w:rPr>
              <w:t xml:space="preserve"> </w:t>
            </w:r>
            <w:r w:rsidRPr="00A847AE">
              <w:rPr>
                <w:rFonts w:ascii="Traditional Arabic" w:hAnsi="Traditional Arabic"/>
                <w:sz w:val="30"/>
                <w:rtl/>
              </w:rPr>
              <w:t>و</w:t>
            </w:r>
            <w:r w:rsidRPr="00A847AE">
              <w:rPr>
                <w:b/>
                <w:bCs/>
              </w:rPr>
              <w:t>30A</w:t>
            </w:r>
            <w:r>
              <w:rPr>
                <w:rFonts w:hint="cs"/>
                <w:rtl/>
                <w:lang w:bidi="ar-EG"/>
              </w:rPr>
              <w:t xml:space="preserve"> على التوالي، مطابقة لتلك المستعملة للخدمة الإذاعية الساتلية وتخصيصات وصلات التغذية المرتبطة بها.</w:t>
            </w:r>
          </w:p>
        </w:tc>
        <w:tc>
          <w:tcPr>
            <w:tcW w:w="443" w:type="pct"/>
          </w:tcPr>
          <w:p w:rsidR="00BC42BA" w:rsidRPr="00C9719A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</w:p>
        </w:tc>
      </w:tr>
      <w:tr w:rsidR="00BC42BA" w:rsidRPr="00494233" w:rsidTr="00B43841">
        <w:tblPrEx>
          <w:tblLook w:val="04A0" w:firstRow="1" w:lastRow="0" w:firstColumn="1" w:lastColumn="0" w:noHBand="0" w:noVBand="1"/>
        </w:tblPrEx>
        <w:tc>
          <w:tcPr>
            <w:tcW w:w="152" w:type="pct"/>
          </w:tcPr>
          <w:p w:rsidR="00BC42BA" w:rsidRPr="00494233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  <w:r w:rsidRPr="00494233">
              <w:t>22</w:t>
            </w:r>
          </w:p>
        </w:tc>
        <w:tc>
          <w:tcPr>
            <w:tcW w:w="569" w:type="pct"/>
          </w:tcPr>
          <w:p w:rsidR="00BC42BA" w:rsidRPr="0007203D" w:rsidRDefault="00BC42BA" w:rsidP="00B972D2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highlight w:val="yellow"/>
              </w:rPr>
            </w:pPr>
            <w:r>
              <w:rPr>
                <w:rFonts w:hint="cs"/>
                <w:rtl/>
              </w:rPr>
              <w:t>المؤتمر العالمي للاتصالات الراديوية لعام</w:t>
            </w:r>
            <w:r w:rsidR="00B972D2">
              <w:rPr>
                <w:rFonts w:hint="eastAsia"/>
                <w:rtl/>
              </w:rPr>
              <w:t> </w:t>
            </w:r>
            <w:r>
              <w:t>2007</w:t>
            </w:r>
          </w:p>
        </w:tc>
        <w:tc>
          <w:tcPr>
            <w:tcW w:w="683" w:type="pct"/>
          </w:tcPr>
          <w:p w:rsidR="00BC42BA" w:rsidRPr="009A4972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tl/>
                <w:lang w:bidi="ar-EG"/>
              </w:rPr>
            </w:pPr>
            <w:r w:rsidRPr="009A4972">
              <w:rPr>
                <w:rFonts w:hint="cs"/>
                <w:rtl/>
              </w:rPr>
              <w:t xml:space="preserve">الجلسة العامة العاشرة الوثيقتان </w:t>
            </w:r>
            <w:hyperlink r:id="rId16" w:history="1">
              <w:r w:rsidRPr="009A4972">
                <w:rPr>
                  <w:rStyle w:val="Hyperlink"/>
                </w:rPr>
                <w:t>432</w:t>
              </w:r>
            </w:hyperlink>
            <w:r w:rsidR="00A847AE" w:rsidRPr="009A4972">
              <w:rPr>
                <w:rFonts w:hint="cs"/>
                <w:rtl/>
              </w:rPr>
              <w:t xml:space="preserve"> </w:t>
            </w:r>
            <w:r w:rsidRPr="009A4972">
              <w:rPr>
                <w:rtl/>
              </w:rPr>
              <w:t>و</w:t>
            </w:r>
            <w:hyperlink r:id="rId17" w:history="1">
              <w:r w:rsidRPr="009A4972">
                <w:rPr>
                  <w:rStyle w:val="Hyperlink"/>
                </w:rPr>
                <w:t>378</w:t>
              </w:r>
            </w:hyperlink>
            <w:r w:rsidR="00A847AE" w:rsidRPr="009A4972">
              <w:rPr>
                <w:rFonts w:hint="cs"/>
                <w:rtl/>
                <w:lang w:bidi="ar-EG"/>
              </w:rPr>
              <w:t xml:space="preserve"> و</w:t>
            </w:r>
            <w:hyperlink r:id="rId18" w:history="1">
              <w:r w:rsidR="00A847AE" w:rsidRPr="009A4972">
                <w:rPr>
                  <w:rStyle w:val="Hyperlink"/>
                  <w:rFonts w:hint="cs"/>
                  <w:rtl/>
                  <w:lang w:bidi="ar-EG"/>
                </w:rPr>
                <w:t>الإضافة</w:t>
              </w:r>
              <w:r w:rsidRPr="009A4972">
                <w:rPr>
                  <w:rStyle w:val="Hyperlink"/>
                  <w:rFonts w:hint="cs"/>
                  <w:rtl/>
                  <w:lang w:bidi="ar-EG"/>
                </w:rPr>
                <w:t xml:space="preserve"> </w:t>
              </w:r>
              <w:r w:rsidRPr="009A4972">
                <w:rPr>
                  <w:rStyle w:val="Hyperlink"/>
                </w:rPr>
                <w:t>2</w:t>
              </w:r>
              <w:r w:rsidRPr="009A4972">
                <w:rPr>
                  <w:rStyle w:val="Hyperlink"/>
                  <w:rFonts w:hint="cs"/>
                  <w:rtl/>
                  <w:lang w:bidi="ar-EG"/>
                </w:rPr>
                <w:t xml:space="preserve"> إلى </w:t>
              </w:r>
              <w:r w:rsidR="00A847AE" w:rsidRPr="009A4972">
                <w:rPr>
                  <w:rStyle w:val="Hyperlink"/>
                  <w:rFonts w:hint="cs"/>
                  <w:rtl/>
                  <w:lang w:bidi="ar-EG"/>
                </w:rPr>
                <w:t>الوثيقة </w:t>
              </w:r>
              <w:r w:rsidRPr="009A4972">
                <w:rPr>
                  <w:rStyle w:val="Hyperlink"/>
                  <w:lang w:bidi="ar-EG"/>
                </w:rPr>
                <w:t>4</w:t>
              </w:r>
            </w:hyperlink>
          </w:p>
        </w:tc>
        <w:tc>
          <w:tcPr>
            <w:tcW w:w="3152" w:type="pct"/>
          </w:tcPr>
          <w:p w:rsidR="00BC42BA" w:rsidRPr="00494233" w:rsidRDefault="00BC42BA" w:rsidP="007C232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ind w:left="510" w:hanging="510"/>
              <w:rPr>
                <w:lang w:bidi="ar-EG"/>
              </w:rPr>
            </w:pPr>
            <w:r w:rsidRPr="00A847AE">
              <w:rPr>
                <w:b/>
                <w:bCs/>
                <w:spacing w:val="-2"/>
                <w:lang w:bidi="ar-EG"/>
              </w:rPr>
              <w:t>1</w:t>
            </w:r>
            <w:r>
              <w:rPr>
                <w:spacing w:val="-2"/>
                <w:rtl/>
              </w:rPr>
              <w:tab/>
            </w:r>
            <w:r w:rsidRPr="003E59FA">
              <w:rPr>
                <w:spacing w:val="-2"/>
                <w:rtl/>
                <w:lang w:bidi="ar-EG"/>
              </w:rPr>
              <w:t xml:space="preserve">في الرقمين </w:t>
            </w:r>
            <w:r w:rsidRPr="00A847AE">
              <w:rPr>
                <w:b/>
                <w:bCs/>
                <w:spacing w:val="-2"/>
                <w:lang w:bidi="ar-EG"/>
              </w:rPr>
              <w:t>219.5</w:t>
            </w:r>
            <w:r w:rsidRPr="00A847AE">
              <w:rPr>
                <w:b/>
                <w:bCs/>
                <w:spacing w:val="-2"/>
                <w:rtl/>
                <w:lang w:bidi="ar-EG"/>
              </w:rPr>
              <w:t xml:space="preserve"> </w:t>
            </w:r>
            <w:r w:rsidRPr="00A847AE">
              <w:rPr>
                <w:rtl/>
              </w:rPr>
              <w:t>و</w:t>
            </w:r>
            <w:r w:rsidRPr="00A847AE">
              <w:rPr>
                <w:b/>
                <w:bCs/>
                <w:spacing w:val="-2"/>
                <w:lang w:bidi="ar-EG"/>
              </w:rPr>
              <w:t>220.5</w:t>
            </w:r>
            <w:r w:rsidRPr="003E59FA">
              <w:rPr>
                <w:spacing w:val="-2"/>
                <w:rtl/>
                <w:lang w:bidi="ar-EG"/>
              </w:rPr>
              <w:t>، إن عبارة "... لا تعرقل</w:t>
            </w:r>
            <w:r>
              <w:rPr>
                <w:rtl/>
                <w:lang w:bidi="ar-EG"/>
              </w:rPr>
              <w:t xml:space="preserve"> سير ... ولا استعمالاتها" ذات طابع تشغيلي وليس من المتوقع أن يتخذ المكتب أي إجراء تنظيمي بشأنها.</w:t>
            </w:r>
            <w:r>
              <w:rPr>
                <w:rFonts w:hint="cs"/>
                <w:rtl/>
                <w:lang w:bidi="ar-EG"/>
              </w:rPr>
              <w:t xml:space="preserve"> وتتضمن</w:t>
            </w:r>
            <w:r>
              <w:rPr>
                <w:rtl/>
                <w:lang w:bidi="ar-EG"/>
              </w:rPr>
              <w:t xml:space="preserve"> الأرقام </w:t>
            </w:r>
            <w:r w:rsidRPr="00A847AE">
              <w:rPr>
                <w:b/>
                <w:bCs/>
                <w:lang w:bidi="ar-EG"/>
              </w:rPr>
              <w:t>286C.5</w:t>
            </w:r>
            <w:r w:rsidRPr="00A847AE">
              <w:rPr>
                <w:b/>
                <w:bCs/>
                <w:rtl/>
                <w:lang w:bidi="ar-EG"/>
              </w:rPr>
              <w:t xml:space="preserve"> </w:t>
            </w:r>
            <w:r w:rsidRPr="00A847AE">
              <w:rPr>
                <w:rtl/>
                <w:lang w:bidi="ar-EG"/>
              </w:rPr>
              <w:t>و</w:t>
            </w:r>
            <w:r w:rsidRPr="00A847AE">
              <w:rPr>
                <w:b/>
                <w:bCs/>
                <w:lang w:bidi="ar-EG"/>
              </w:rPr>
              <w:t>392.5</w:t>
            </w:r>
            <w:r w:rsidRPr="00A847AE">
              <w:rPr>
                <w:b/>
                <w:bCs/>
                <w:rtl/>
                <w:lang w:bidi="ar-EG"/>
              </w:rPr>
              <w:t xml:space="preserve"> </w:t>
            </w:r>
            <w:r w:rsidRPr="00A847AE">
              <w:rPr>
                <w:rtl/>
                <w:lang w:bidi="ar-EG"/>
              </w:rPr>
              <w:t>و</w:t>
            </w:r>
            <w:r w:rsidRPr="00A847AE">
              <w:rPr>
                <w:b/>
                <w:bCs/>
                <w:lang w:bidi="ar-EG"/>
              </w:rPr>
              <w:t>532.5</w:t>
            </w:r>
            <w:r>
              <w:rPr>
                <w:rtl/>
                <w:lang w:bidi="ar-EG"/>
              </w:rPr>
              <w:t xml:space="preserve"> أحكاماً تشغيلية لا تؤثر على </w:t>
            </w:r>
            <w:r>
              <w:rPr>
                <w:rFonts w:hint="cs"/>
                <w:rtl/>
                <w:lang w:bidi="ar-EG"/>
              </w:rPr>
              <w:t>الوضع</w:t>
            </w:r>
            <w:r>
              <w:rPr>
                <w:rtl/>
                <w:lang w:bidi="ar-EG"/>
              </w:rPr>
              <w:t xml:space="preserve"> التنظيمي للخدمات المذكورة في هذه الأحكام</w:t>
            </w:r>
            <w:r w:rsidRPr="00EE7BE9">
              <w:t>.</w:t>
            </w:r>
          </w:p>
        </w:tc>
        <w:tc>
          <w:tcPr>
            <w:tcW w:w="443" w:type="pct"/>
          </w:tcPr>
          <w:p w:rsidR="00BC42BA" w:rsidRPr="00C9719A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</w:p>
        </w:tc>
      </w:tr>
      <w:tr w:rsidR="00BC42BA" w:rsidRPr="00494233" w:rsidTr="00B43841">
        <w:tblPrEx>
          <w:tblLook w:val="04A0" w:firstRow="1" w:lastRow="0" w:firstColumn="1" w:lastColumn="0" w:noHBand="0" w:noVBand="1"/>
        </w:tblPrEx>
        <w:tc>
          <w:tcPr>
            <w:tcW w:w="152" w:type="pct"/>
          </w:tcPr>
          <w:p w:rsidR="00BC42BA" w:rsidRPr="00494233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Fonts w:eastAsia="Malgun Gothic"/>
                <w:lang w:eastAsia="ko-KR"/>
              </w:rPr>
            </w:pPr>
            <w:r w:rsidRPr="00494233">
              <w:rPr>
                <w:rFonts w:eastAsia="Malgun Gothic"/>
                <w:lang w:eastAsia="ko-KR"/>
              </w:rPr>
              <w:t>27</w:t>
            </w:r>
          </w:p>
        </w:tc>
        <w:tc>
          <w:tcPr>
            <w:tcW w:w="569" w:type="pct"/>
          </w:tcPr>
          <w:p w:rsidR="00BC42BA" w:rsidRPr="00393674" w:rsidRDefault="00BC42BA" w:rsidP="00B972D2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Fonts w:eastAsia="Malgun Gothic"/>
                <w:lang w:eastAsia="ko-KR"/>
              </w:rPr>
            </w:pPr>
            <w:r>
              <w:rPr>
                <w:rFonts w:hint="cs"/>
                <w:rtl/>
              </w:rPr>
              <w:t>المؤتمر العالمي للاتصالات الراديوية لعام</w:t>
            </w:r>
            <w:r w:rsidR="00B972D2">
              <w:rPr>
                <w:rFonts w:hint="eastAsia"/>
                <w:rtl/>
              </w:rPr>
              <w:t> </w:t>
            </w:r>
            <w:r>
              <w:t>2012</w:t>
            </w:r>
          </w:p>
        </w:tc>
        <w:tc>
          <w:tcPr>
            <w:tcW w:w="683" w:type="pct"/>
          </w:tcPr>
          <w:p w:rsidR="00BC42BA" w:rsidRPr="009A4972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tl/>
                <w:lang w:bidi="ar-EG"/>
              </w:rPr>
            </w:pPr>
            <w:r w:rsidRPr="009A4972">
              <w:rPr>
                <w:rFonts w:hint="cs"/>
                <w:rtl/>
              </w:rPr>
              <w:t xml:space="preserve">الجلسة العامة الثامنة </w:t>
            </w:r>
            <w:hyperlink r:id="rId19" w:history="1">
              <w:r w:rsidRPr="009A4972">
                <w:rPr>
                  <w:rStyle w:val="Hyperlink"/>
                  <w:rFonts w:hint="cs"/>
                  <w:rtl/>
                </w:rPr>
                <w:t>الوثيقة</w:t>
              </w:r>
              <w:r w:rsidR="00A847AE" w:rsidRPr="009A4972">
                <w:rPr>
                  <w:rStyle w:val="Hyperlink"/>
                  <w:rFonts w:hint="eastAsia"/>
                  <w:rtl/>
                </w:rPr>
                <w:t> </w:t>
              </w:r>
              <w:r w:rsidRPr="009A4972">
                <w:rPr>
                  <w:rStyle w:val="Hyperlink"/>
                </w:rPr>
                <w:t>549</w:t>
              </w:r>
            </w:hyperlink>
          </w:p>
        </w:tc>
        <w:tc>
          <w:tcPr>
            <w:tcW w:w="3152" w:type="pct"/>
          </w:tcPr>
          <w:p w:rsidR="00BC42BA" w:rsidRPr="003156C5" w:rsidRDefault="00BC42BA" w:rsidP="007C232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rPr>
                <w:rFonts w:eastAsia="MS Mincho"/>
              </w:rPr>
            </w:pPr>
            <w:r w:rsidRPr="005814CC">
              <w:rPr>
                <w:rFonts w:hint="cs"/>
                <w:rtl/>
              </w:rPr>
              <w:t>فيما يتعلق بتطبيق الرقم</w:t>
            </w:r>
            <w:r w:rsidRPr="005814CC">
              <w:rPr>
                <w:rFonts w:hint="eastAsia"/>
                <w:rtl/>
              </w:rPr>
              <w:t> </w:t>
            </w:r>
            <w:r w:rsidRPr="00A847AE">
              <w:rPr>
                <w:b/>
                <w:bCs/>
              </w:rPr>
              <w:t>11A.9</w:t>
            </w:r>
            <w:r w:rsidRPr="005814CC">
              <w:rPr>
                <w:rFonts w:hint="cs"/>
                <w:rtl/>
              </w:rPr>
              <w:t xml:space="preserve"> في الحاشية</w:t>
            </w:r>
            <w:r w:rsidRPr="005814CC">
              <w:rPr>
                <w:rFonts w:hint="eastAsia"/>
                <w:rtl/>
              </w:rPr>
              <w:t> </w:t>
            </w:r>
            <w:r w:rsidRPr="00A847AE">
              <w:rPr>
                <w:b/>
                <w:bCs/>
              </w:rPr>
              <w:t>D103.5</w:t>
            </w:r>
            <w:r w:rsidRPr="005814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(الرقم </w:t>
            </w:r>
            <w:r w:rsidRPr="00A847AE">
              <w:rPr>
                <w:b/>
                <w:bCs/>
              </w:rPr>
              <w:t>433D.5</w:t>
            </w:r>
            <w:r>
              <w:rPr>
                <w:rFonts w:hint="cs"/>
                <w:rtl/>
              </w:rPr>
              <w:t xml:space="preserve"> حالياً) </w:t>
            </w:r>
            <w:r w:rsidRPr="005814CC">
              <w:rPr>
                <w:rFonts w:hint="cs"/>
                <w:rtl/>
              </w:rPr>
              <w:t>وإبطال العمل بالرقم</w:t>
            </w:r>
            <w:r w:rsidRPr="005814CC">
              <w:rPr>
                <w:rFonts w:hint="eastAsia"/>
                <w:rtl/>
              </w:rPr>
              <w:t> </w:t>
            </w:r>
            <w:r w:rsidRPr="00A847AE">
              <w:rPr>
                <w:b/>
                <w:bCs/>
              </w:rPr>
              <w:t>21.9</w:t>
            </w:r>
            <w:r w:rsidRPr="005814CC">
              <w:rPr>
                <w:rFonts w:hint="cs"/>
                <w:rtl/>
              </w:rPr>
              <w:t xml:space="preserve"> </w:t>
            </w:r>
            <w:r w:rsidRPr="005814CC">
              <w:rPr>
                <w:rtl/>
              </w:rPr>
              <w:t>في</w:t>
            </w:r>
            <w:r w:rsidRPr="005814CC">
              <w:rPr>
                <w:rFonts w:hint="cs"/>
                <w:rtl/>
              </w:rPr>
              <w:t xml:space="preserve"> النطاق </w:t>
            </w:r>
            <w:r w:rsidRPr="005814CC">
              <w:t>5 091</w:t>
            </w:r>
            <w:r w:rsidRPr="005814CC">
              <w:noBreakHyphen/>
              <w:t>5 030</w:t>
            </w:r>
            <w:r w:rsidRPr="005814CC">
              <w:rPr>
                <w:rFonts w:hint="eastAsia"/>
                <w:rtl/>
              </w:rPr>
              <w:t> </w:t>
            </w:r>
            <w:r w:rsidRPr="005814CC">
              <w:t>MHz</w:t>
            </w:r>
            <w:r w:rsidRPr="005814CC">
              <w:rPr>
                <w:rFonts w:hint="cs"/>
                <w:rtl/>
              </w:rPr>
              <w:t xml:space="preserve"> حيال ا</w:t>
            </w:r>
            <w:r w:rsidRPr="005814CC">
              <w:rPr>
                <w:rtl/>
              </w:rPr>
              <w:t xml:space="preserve">لخدمة المتنقلة </w:t>
            </w:r>
            <w:r w:rsidR="00033944">
              <w:rPr>
                <w:rFonts w:hint="cs"/>
                <w:rtl/>
              </w:rPr>
              <w:t xml:space="preserve">الساتلية </w:t>
            </w:r>
            <w:r w:rsidRPr="005814CC">
              <w:rPr>
                <w:rtl/>
              </w:rPr>
              <w:t xml:space="preserve">للطيران </w:t>
            </w:r>
            <w:r w:rsidRPr="005814CC">
              <w:t>(R)</w:t>
            </w:r>
            <w:r w:rsidRPr="005814CC">
              <w:rPr>
                <w:rFonts w:hint="cs"/>
                <w:rtl/>
              </w:rPr>
              <w:t>، يسري التدبير الانتقالي التالي. تحدَد متطلبات التنسيق بين الشبكات الساتلية، التي وردت بشأنها معلومات التنسيق الكاملة قبل بدء سريان الرقم</w:t>
            </w:r>
            <w:r w:rsidRPr="005814CC">
              <w:rPr>
                <w:rFonts w:hint="eastAsia"/>
                <w:rtl/>
              </w:rPr>
              <w:t> </w:t>
            </w:r>
            <w:r w:rsidRPr="00664441">
              <w:rPr>
                <w:b/>
                <w:bCs/>
              </w:rPr>
              <w:t>D103.5</w:t>
            </w:r>
            <w:r w:rsidRPr="005814CC">
              <w:rPr>
                <w:rFonts w:hint="cs"/>
                <w:rtl/>
              </w:rPr>
              <w:t xml:space="preserve">، وفقاً للأحكام النافذة بما فيها </w:t>
            </w:r>
            <w:r w:rsidRPr="005814CC">
              <w:rPr>
                <w:rtl/>
              </w:rPr>
              <w:t>الرقم</w:t>
            </w:r>
            <w:r w:rsidRPr="005814CC">
              <w:rPr>
                <w:rFonts w:hint="cs"/>
                <w:rtl/>
              </w:rPr>
              <w:t> </w:t>
            </w:r>
            <w:r w:rsidRPr="00033944">
              <w:rPr>
                <w:b/>
                <w:bCs/>
              </w:rPr>
              <w:t>21.9</w:t>
            </w:r>
            <w:r w:rsidRPr="005814CC">
              <w:rPr>
                <w:rFonts w:hint="cs"/>
                <w:rtl/>
              </w:rPr>
              <w:t>. وعلاوة</w:t>
            </w:r>
            <w:r w:rsidR="007C232E">
              <w:rPr>
                <w:rFonts w:hint="cs"/>
                <w:rtl/>
                <w:lang w:bidi="ar-EG"/>
              </w:rPr>
              <w:t>ً</w:t>
            </w:r>
            <w:r w:rsidRPr="005814CC">
              <w:rPr>
                <w:rFonts w:hint="cs"/>
                <w:rtl/>
              </w:rPr>
              <w:t xml:space="preserve"> على ذلك، عند تطبيق الرقم</w:t>
            </w:r>
            <w:r w:rsidRPr="005814CC">
              <w:rPr>
                <w:rFonts w:hint="eastAsia"/>
                <w:rtl/>
              </w:rPr>
              <w:t> </w:t>
            </w:r>
            <w:r w:rsidRPr="00033944">
              <w:rPr>
                <w:b/>
                <w:bCs/>
              </w:rPr>
              <w:t>31.11</w:t>
            </w:r>
            <w:r w:rsidRPr="005814CC">
              <w:rPr>
                <w:rFonts w:hint="cs"/>
                <w:rtl/>
              </w:rPr>
              <w:t>، يتعين الاستمرار بمعالجة معلومات التبليغ عن هذه الشبكات الساتلية التي ترد بعد تاريخ بدء سريان الرقم</w:t>
            </w:r>
            <w:r w:rsidRPr="005814CC">
              <w:rPr>
                <w:rFonts w:hint="eastAsia"/>
                <w:rtl/>
              </w:rPr>
              <w:t> </w:t>
            </w:r>
            <w:r w:rsidRPr="00664441">
              <w:rPr>
                <w:b/>
                <w:bCs/>
              </w:rPr>
              <w:t>D103.5</w:t>
            </w:r>
            <w:r w:rsidRPr="005814CC">
              <w:rPr>
                <w:rFonts w:hint="cs"/>
                <w:rtl/>
              </w:rPr>
              <w:t xml:space="preserve"> بموجب</w:t>
            </w:r>
            <w:r w:rsidRPr="005814CC">
              <w:rPr>
                <w:rtl/>
              </w:rPr>
              <w:t xml:space="preserve"> الرقم</w:t>
            </w:r>
            <w:r w:rsidRPr="005814CC">
              <w:rPr>
                <w:rFonts w:hint="cs"/>
                <w:rtl/>
              </w:rPr>
              <w:t> </w:t>
            </w:r>
            <w:r w:rsidRPr="00A847AE">
              <w:rPr>
                <w:b/>
                <w:bCs/>
              </w:rPr>
              <w:t>21.9</w:t>
            </w:r>
            <w:r w:rsidRPr="005814CC">
              <w:rPr>
                <w:rFonts w:hint="cs"/>
                <w:rtl/>
              </w:rPr>
              <w:t>، ويتعين ألا يطبَّق الرقم</w:t>
            </w:r>
            <w:r w:rsidRPr="005814CC">
              <w:rPr>
                <w:rFonts w:hint="eastAsia"/>
                <w:rtl/>
              </w:rPr>
              <w:t> </w:t>
            </w:r>
            <w:r w:rsidRPr="00A847AE">
              <w:rPr>
                <w:b/>
                <w:bCs/>
              </w:rPr>
              <w:t>11A.9</w:t>
            </w:r>
            <w:r w:rsidRPr="00A847AE">
              <w:rPr>
                <w:rFonts w:hint="cs"/>
                <w:b/>
                <w:bCs/>
                <w:rtl/>
              </w:rPr>
              <w:t xml:space="preserve"> </w:t>
            </w:r>
            <w:r w:rsidRPr="005814CC">
              <w:rPr>
                <w:rFonts w:hint="cs"/>
                <w:rtl/>
              </w:rPr>
              <w:t>عند تطبيق الرقم</w:t>
            </w:r>
            <w:r w:rsidRPr="005814CC">
              <w:rPr>
                <w:rFonts w:hint="eastAsia"/>
                <w:rtl/>
              </w:rPr>
              <w:t> </w:t>
            </w:r>
            <w:r w:rsidRPr="00A847AE">
              <w:rPr>
                <w:b/>
                <w:bCs/>
              </w:rPr>
              <w:t>32.11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443" w:type="pct"/>
          </w:tcPr>
          <w:p w:rsidR="00BC42BA" w:rsidRPr="00494233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  <w:r w:rsidRPr="005814CC">
              <w:rPr>
                <w:rFonts w:eastAsia="SimSun" w:hint="cs"/>
                <w:rtl/>
              </w:rPr>
              <w:t xml:space="preserve">تخضع </w:t>
            </w:r>
            <w:r w:rsidRPr="005814CC">
              <w:rPr>
                <w:rFonts w:eastAsia="SimSun"/>
              </w:rPr>
              <w:t>18</w:t>
            </w:r>
            <w:r w:rsidRPr="005814CC">
              <w:rPr>
                <w:rFonts w:eastAsia="SimSun" w:hint="cs"/>
                <w:rtl/>
              </w:rPr>
              <w:t xml:space="preserve"> شبكة لهذه الترتيبات الانتقالية</w:t>
            </w:r>
          </w:p>
        </w:tc>
      </w:tr>
      <w:tr w:rsidR="00BC42BA" w:rsidRPr="00494233" w:rsidTr="00B43841">
        <w:tc>
          <w:tcPr>
            <w:tcW w:w="152" w:type="pct"/>
          </w:tcPr>
          <w:p w:rsidR="00BC42BA" w:rsidRPr="00494233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Fonts w:eastAsia="Malgun Gothic"/>
                <w:lang w:eastAsia="ko-KR"/>
              </w:rPr>
            </w:pPr>
            <w:r w:rsidRPr="00494233">
              <w:rPr>
                <w:rFonts w:eastAsia="Malgun Gothic"/>
                <w:lang w:eastAsia="ko-KR"/>
              </w:rPr>
              <w:t>30</w:t>
            </w:r>
          </w:p>
        </w:tc>
        <w:tc>
          <w:tcPr>
            <w:tcW w:w="569" w:type="pct"/>
          </w:tcPr>
          <w:p w:rsidR="00BC42BA" w:rsidRPr="00494233" w:rsidRDefault="00BC42BA" w:rsidP="00B972D2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Fonts w:eastAsia="Malgun Gothic"/>
                <w:lang w:eastAsia="ko-KR"/>
              </w:rPr>
            </w:pPr>
            <w:r>
              <w:rPr>
                <w:rFonts w:hint="cs"/>
                <w:rtl/>
              </w:rPr>
              <w:t>المؤتمر العالمي للاتصالات الراديوية لعام</w:t>
            </w:r>
            <w:r w:rsidR="00B972D2">
              <w:rPr>
                <w:rFonts w:hint="eastAsia"/>
                <w:rtl/>
              </w:rPr>
              <w:t> </w:t>
            </w:r>
            <w:r>
              <w:t>2012</w:t>
            </w:r>
          </w:p>
        </w:tc>
        <w:tc>
          <w:tcPr>
            <w:tcW w:w="683" w:type="pct"/>
          </w:tcPr>
          <w:p w:rsidR="00BC42BA" w:rsidRPr="009A4972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tl/>
                <w:lang w:bidi="ar-EG"/>
              </w:rPr>
            </w:pPr>
            <w:r w:rsidRPr="009A4972">
              <w:rPr>
                <w:rFonts w:hint="cs"/>
                <w:rtl/>
              </w:rPr>
              <w:t xml:space="preserve">الجلسة العامة التاسعة </w:t>
            </w:r>
            <w:hyperlink r:id="rId20" w:history="1">
              <w:r w:rsidRPr="009A4972">
                <w:rPr>
                  <w:rStyle w:val="Hyperlink"/>
                  <w:rFonts w:hint="cs"/>
                  <w:rtl/>
                </w:rPr>
                <w:t xml:space="preserve">الوثيقة </w:t>
              </w:r>
              <w:r w:rsidRPr="009A4972">
                <w:rPr>
                  <w:rStyle w:val="Hyperlink"/>
                </w:rPr>
                <w:t>550</w:t>
              </w:r>
            </w:hyperlink>
          </w:p>
        </w:tc>
        <w:tc>
          <w:tcPr>
            <w:tcW w:w="3152" w:type="pct"/>
          </w:tcPr>
          <w:p w:rsidR="00BC42BA" w:rsidRPr="00033944" w:rsidRDefault="00BC42BA" w:rsidP="007C232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rPr>
                <w:rFonts w:eastAsia="SimSun"/>
                <w:rtl/>
              </w:rPr>
            </w:pPr>
            <w:r w:rsidRPr="005814CC">
              <w:rPr>
                <w:rFonts w:eastAsia="SimSun" w:hint="cs"/>
                <w:rtl/>
              </w:rPr>
              <w:t>يدرك المؤتمر العالمي للاتصالات الراديوية لعام</w:t>
            </w:r>
            <w:r w:rsidRPr="005814CC">
              <w:rPr>
                <w:rFonts w:eastAsia="SimSun" w:hint="eastAsia"/>
                <w:rtl/>
              </w:rPr>
              <w:t> </w:t>
            </w:r>
            <w:r w:rsidRPr="005814CC">
              <w:rPr>
                <w:rFonts w:eastAsia="SimSun"/>
              </w:rPr>
              <w:t>2012</w:t>
            </w:r>
            <w:r w:rsidRPr="005814CC">
              <w:rPr>
                <w:rFonts w:eastAsia="SimSun" w:hint="cs"/>
                <w:rtl/>
              </w:rPr>
              <w:t>، لدى اعتماده لتعديلات الرقمين</w:t>
            </w:r>
            <w:r w:rsidRPr="005814CC">
              <w:rPr>
                <w:rFonts w:eastAsia="SimSun" w:hint="eastAsia"/>
                <w:rtl/>
              </w:rPr>
              <w:t> </w:t>
            </w:r>
            <w:r w:rsidRPr="00033944">
              <w:rPr>
                <w:rFonts w:eastAsia="SimSun"/>
                <w:b/>
                <w:bCs/>
              </w:rPr>
              <w:t>41.11</w:t>
            </w:r>
            <w:r w:rsidRPr="005814CC">
              <w:rPr>
                <w:rFonts w:eastAsia="SimSun" w:hint="cs"/>
                <w:rtl/>
              </w:rPr>
              <w:t xml:space="preserve"> و</w:t>
            </w:r>
            <w:r w:rsidRPr="00033944">
              <w:rPr>
                <w:rFonts w:eastAsia="SimSun"/>
                <w:b/>
                <w:bCs/>
              </w:rPr>
              <w:t>42.11</w:t>
            </w:r>
            <w:r w:rsidRPr="005814CC">
              <w:rPr>
                <w:rFonts w:eastAsia="SimSun" w:hint="cs"/>
                <w:rtl/>
              </w:rPr>
              <w:t xml:space="preserve"> وإضافة الرقم</w:t>
            </w:r>
            <w:r w:rsidRPr="005814CC">
              <w:rPr>
                <w:rFonts w:eastAsia="SimSun" w:hint="eastAsia"/>
                <w:rtl/>
              </w:rPr>
              <w:t> </w:t>
            </w:r>
            <w:r w:rsidRPr="00033944">
              <w:rPr>
                <w:rFonts w:eastAsia="SimSun"/>
                <w:b/>
                <w:bCs/>
              </w:rPr>
              <w:t>42A.11</w:t>
            </w:r>
            <w:r w:rsidRPr="005814CC">
              <w:rPr>
                <w:rFonts w:eastAsia="SimSun" w:hint="cs"/>
                <w:rtl/>
              </w:rPr>
              <w:t>، أن الإدارات المبلغة، بتطبيقها للرقم</w:t>
            </w:r>
            <w:r w:rsidRPr="005814CC">
              <w:rPr>
                <w:rFonts w:eastAsia="SimSun" w:hint="eastAsia"/>
                <w:rtl/>
              </w:rPr>
              <w:t> </w:t>
            </w:r>
            <w:r w:rsidRPr="00033944">
              <w:rPr>
                <w:rFonts w:eastAsia="SimSun"/>
                <w:b/>
                <w:bCs/>
              </w:rPr>
              <w:t>41.11</w:t>
            </w:r>
            <w:r w:rsidRPr="005814CC">
              <w:rPr>
                <w:rFonts w:eastAsia="SimSun" w:hint="cs"/>
                <w:rtl/>
              </w:rPr>
              <w:t xml:space="preserve"> لتسجيل تخصيص ما في</w:t>
            </w:r>
            <w:r w:rsidRPr="005814CC">
              <w:rPr>
                <w:rFonts w:eastAsia="SimSun" w:hint="eastAsia"/>
                <w:rtl/>
              </w:rPr>
              <w:t> </w:t>
            </w:r>
            <w:r w:rsidRPr="005814CC">
              <w:rPr>
                <w:rFonts w:eastAsia="SimSun"/>
                <w:rtl/>
              </w:rPr>
              <w:t>السجل الأساسي الدولي للترددات</w:t>
            </w:r>
            <w:r w:rsidRPr="005814CC">
              <w:rPr>
                <w:rFonts w:eastAsia="SimSun" w:hint="cs"/>
                <w:rtl/>
              </w:rPr>
              <w:t xml:space="preserve"> بموجب هذا الحكم، تلتزم بالامتثال للرقم</w:t>
            </w:r>
            <w:r w:rsidRPr="005814CC">
              <w:rPr>
                <w:rFonts w:eastAsia="SimSun" w:hint="eastAsia"/>
                <w:rtl/>
              </w:rPr>
              <w:t> </w:t>
            </w:r>
            <w:r w:rsidRPr="00033944">
              <w:rPr>
                <w:rFonts w:eastAsia="SimSun"/>
                <w:b/>
                <w:bCs/>
              </w:rPr>
              <w:t>42.11</w:t>
            </w:r>
            <w:r w:rsidRPr="005814CC">
              <w:rPr>
                <w:rFonts w:eastAsia="SimSun" w:hint="cs"/>
                <w:rtl/>
              </w:rPr>
              <w:t xml:space="preserve"> بصيغته المعدلة في هذا المؤتمر فيما يتعلق بتخصيصات الترددات للخدمات الفضائية وخدمات الأرض التي لها توزيعات في</w:t>
            </w:r>
            <w:r w:rsidRPr="005814CC">
              <w:rPr>
                <w:rFonts w:eastAsia="SimSun" w:hint="eastAsia"/>
                <w:rtl/>
              </w:rPr>
              <w:t> </w:t>
            </w:r>
            <w:r w:rsidRPr="005814CC">
              <w:rPr>
                <w:rFonts w:eastAsia="SimSun" w:hint="cs"/>
                <w:rtl/>
              </w:rPr>
              <w:t>نفس نطاق التردد بحقوق</w:t>
            </w:r>
            <w:r w:rsidRPr="005814CC">
              <w:rPr>
                <w:rFonts w:eastAsia="SimSun" w:hint="eastAsia"/>
                <w:rtl/>
              </w:rPr>
              <w:t> </w:t>
            </w:r>
            <w:r w:rsidRPr="005814CC">
              <w:rPr>
                <w:rFonts w:eastAsia="SimSun" w:hint="cs"/>
                <w:rtl/>
              </w:rPr>
              <w:t>متساوية</w:t>
            </w:r>
            <w:r>
              <w:rPr>
                <w:rFonts w:eastAsia="SimSun" w:hint="cs"/>
                <w:rtl/>
              </w:rPr>
              <w:t>.</w:t>
            </w:r>
          </w:p>
        </w:tc>
        <w:tc>
          <w:tcPr>
            <w:tcW w:w="443" w:type="pct"/>
          </w:tcPr>
          <w:p w:rsidR="00BC42BA" w:rsidRPr="00494233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</w:p>
        </w:tc>
      </w:tr>
      <w:tr w:rsidR="00BC42BA" w:rsidRPr="00494233" w:rsidTr="00B43841">
        <w:tc>
          <w:tcPr>
            <w:tcW w:w="152" w:type="pct"/>
          </w:tcPr>
          <w:p w:rsidR="00BC42BA" w:rsidRPr="00494233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Fonts w:eastAsia="Malgun Gothic"/>
                <w:lang w:eastAsia="ko-KR"/>
              </w:rPr>
            </w:pPr>
            <w:r w:rsidRPr="00494233">
              <w:rPr>
                <w:rFonts w:eastAsia="Malgun Gothic"/>
                <w:lang w:eastAsia="ko-KR"/>
              </w:rPr>
              <w:t>34</w:t>
            </w:r>
          </w:p>
        </w:tc>
        <w:tc>
          <w:tcPr>
            <w:tcW w:w="569" w:type="pct"/>
          </w:tcPr>
          <w:p w:rsidR="00BC42BA" w:rsidRPr="00494233" w:rsidRDefault="00033944" w:rsidP="00B2360D">
            <w:pPr>
              <w:pStyle w:val="Tabletexte"/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Fonts w:eastAsia="Malgun Gothic"/>
                <w:lang w:eastAsia="ko-KR"/>
              </w:rPr>
            </w:pPr>
            <w:r>
              <w:rPr>
                <w:rFonts w:hint="cs"/>
                <w:rtl/>
              </w:rPr>
              <w:t>المؤتمر العالمي للاتصالات الراديوية لعام</w:t>
            </w:r>
            <w:r w:rsidR="00B2360D">
              <w:rPr>
                <w:rFonts w:hint="eastAsia"/>
                <w:rtl/>
              </w:rPr>
              <w:t> </w:t>
            </w:r>
            <w:r>
              <w:t>2012</w:t>
            </w:r>
          </w:p>
        </w:tc>
        <w:tc>
          <w:tcPr>
            <w:tcW w:w="683" w:type="pct"/>
          </w:tcPr>
          <w:p w:rsidR="00BC42BA" w:rsidRPr="009A4972" w:rsidRDefault="00BC42BA" w:rsidP="00033944">
            <w:pPr>
              <w:pStyle w:val="Tabletexte"/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tl/>
              </w:rPr>
            </w:pPr>
            <w:r w:rsidRPr="004566E2">
              <w:rPr>
                <w:rFonts w:hint="cs"/>
                <w:rtl/>
              </w:rPr>
              <w:t>الجلسة العامة الثالثة عشرة</w:t>
            </w:r>
            <w:r w:rsidRPr="009A4972">
              <w:rPr>
                <w:rFonts w:hint="cs"/>
                <w:rtl/>
              </w:rPr>
              <w:t xml:space="preserve"> </w:t>
            </w:r>
            <w:hyperlink r:id="rId21" w:history="1">
              <w:r w:rsidRPr="009A4972">
                <w:rPr>
                  <w:rStyle w:val="Hyperlink"/>
                  <w:rFonts w:hint="cs"/>
                  <w:rtl/>
                </w:rPr>
                <w:t xml:space="preserve">الوثيقة </w:t>
              </w:r>
              <w:r w:rsidRPr="009A4972">
                <w:rPr>
                  <w:rStyle w:val="Hyperlink"/>
                </w:rPr>
                <w:t>554</w:t>
              </w:r>
            </w:hyperlink>
          </w:p>
        </w:tc>
        <w:tc>
          <w:tcPr>
            <w:tcW w:w="3152" w:type="pct"/>
          </w:tcPr>
          <w:p w:rsidR="00BC42BA" w:rsidRPr="00A1306D" w:rsidRDefault="00BC42BA" w:rsidP="007C232E">
            <w:pPr>
              <w:pStyle w:val="Tabletexte"/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</w:pPr>
            <w:r w:rsidRPr="005814CC">
              <w:rPr>
                <w:rFonts w:eastAsia="SimSun"/>
                <w:rtl/>
              </w:rPr>
              <w:t>يمكن لأي إدارة وضع تخصيصات تردد في الخدمة أو</w:t>
            </w:r>
            <w:r w:rsidRPr="005814CC">
              <w:rPr>
                <w:rFonts w:eastAsia="SimSun" w:hint="cs"/>
                <w:rtl/>
              </w:rPr>
              <w:t> </w:t>
            </w:r>
            <w:r w:rsidRPr="005814CC">
              <w:rPr>
                <w:rFonts w:eastAsia="SimSun"/>
                <w:rtl/>
              </w:rPr>
              <w:t xml:space="preserve">الاستمرار في استعمالها بالنسبة لإحدى شبكاتها الساتلية باستخدام محطة فضائية تقع تحت مسؤولية إدارة </w:t>
            </w:r>
            <w:r w:rsidR="00033944">
              <w:rPr>
                <w:rFonts w:eastAsia="SimSun" w:hint="cs"/>
                <w:rtl/>
              </w:rPr>
              <w:t xml:space="preserve">أخرى </w:t>
            </w:r>
            <w:r w:rsidRPr="005814CC">
              <w:rPr>
                <w:rFonts w:eastAsia="SimSun"/>
                <w:rtl/>
              </w:rPr>
              <w:t>أو</w:t>
            </w:r>
            <w:r w:rsidRPr="005814CC">
              <w:rPr>
                <w:rFonts w:eastAsia="SimSun" w:hint="cs"/>
                <w:rtl/>
              </w:rPr>
              <w:t> </w:t>
            </w:r>
            <w:r w:rsidRPr="005814CC">
              <w:rPr>
                <w:rFonts w:eastAsia="SimSun"/>
                <w:rtl/>
              </w:rPr>
              <w:t xml:space="preserve">منظمة حكومية دولية أخرى، شريطة عدم اعتراض هذه الإدارة أو </w:t>
            </w:r>
            <w:r w:rsidR="00033944">
              <w:rPr>
                <w:rFonts w:eastAsia="SimSun" w:hint="cs"/>
                <w:rtl/>
              </w:rPr>
              <w:t xml:space="preserve">هذه </w:t>
            </w:r>
            <w:r w:rsidR="00033944">
              <w:rPr>
                <w:rFonts w:eastAsia="SimSun"/>
                <w:rtl/>
              </w:rPr>
              <w:t>المنظمة الحكومية الدولية</w:t>
            </w:r>
            <w:r w:rsidRPr="005814CC">
              <w:rPr>
                <w:rFonts w:eastAsia="SimSun"/>
                <w:rtl/>
              </w:rPr>
              <w:t xml:space="preserve">، بعد إخطارها، خلال </w:t>
            </w:r>
            <w:r w:rsidRPr="005814CC">
              <w:rPr>
                <w:rFonts w:eastAsia="SimSun"/>
              </w:rPr>
              <w:t>90</w:t>
            </w:r>
            <w:r w:rsidRPr="005814CC">
              <w:rPr>
                <w:rFonts w:eastAsia="SimSun" w:hint="cs"/>
                <w:rtl/>
              </w:rPr>
              <w:t> </w:t>
            </w:r>
            <w:r w:rsidRPr="005814CC">
              <w:rPr>
                <w:rFonts w:eastAsia="SimSun"/>
                <w:rtl/>
              </w:rPr>
              <w:t>يوما</w:t>
            </w:r>
            <w:r w:rsidRPr="005814CC">
              <w:rPr>
                <w:rFonts w:eastAsia="SimSun" w:hint="cs"/>
                <w:rtl/>
              </w:rPr>
              <w:t>ً</w:t>
            </w:r>
            <w:r w:rsidRPr="005814CC">
              <w:rPr>
                <w:rFonts w:eastAsia="SimSun"/>
                <w:rtl/>
              </w:rPr>
              <w:t xml:space="preserve"> من تاريخ استلام المعلومات، على استخدام هذه المحطة لهذا الغرض. ولا</w:t>
            </w:r>
            <w:r w:rsidRPr="005814CC">
              <w:rPr>
                <w:rFonts w:eastAsia="SimSun" w:hint="cs"/>
                <w:rtl/>
              </w:rPr>
              <w:t> </w:t>
            </w:r>
            <w:r w:rsidRPr="005814CC">
              <w:rPr>
                <w:rFonts w:eastAsia="SimSun"/>
                <w:rtl/>
              </w:rPr>
              <w:t>يُطبق هذا الإجراء بأثر رجعي، بل يُطبق على التخصيصات التي توضع في الخدمة بعد اختتام المؤتمر العالمي للاتصالات الراديوية لعام</w:t>
            </w:r>
            <w:r w:rsidRPr="005814CC">
              <w:rPr>
                <w:rFonts w:eastAsia="SimSun" w:hint="eastAsia"/>
                <w:rtl/>
              </w:rPr>
              <w:t> </w:t>
            </w:r>
            <w:r w:rsidRPr="005814CC">
              <w:rPr>
                <w:rFonts w:eastAsia="SimSun"/>
              </w:rPr>
              <w:t>2012</w:t>
            </w:r>
            <w:r>
              <w:rPr>
                <w:rFonts w:eastAsia="SimSun" w:hint="cs"/>
                <w:rtl/>
              </w:rPr>
              <w:t>.</w:t>
            </w:r>
          </w:p>
        </w:tc>
        <w:tc>
          <w:tcPr>
            <w:tcW w:w="443" w:type="pct"/>
          </w:tcPr>
          <w:p w:rsidR="00BC42BA" w:rsidRPr="00494233" w:rsidRDefault="00BC42BA" w:rsidP="00033944">
            <w:pPr>
              <w:pStyle w:val="Tabletexte"/>
              <w:keepNext/>
              <w:keepLines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</w:p>
        </w:tc>
      </w:tr>
      <w:tr w:rsidR="00BC42BA" w:rsidRPr="00494233" w:rsidTr="00B43841">
        <w:tc>
          <w:tcPr>
            <w:tcW w:w="152" w:type="pct"/>
          </w:tcPr>
          <w:p w:rsidR="00BC42BA" w:rsidRPr="00494233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Fonts w:eastAsia="Malgun Gothic"/>
                <w:lang w:eastAsia="ko-KR"/>
              </w:rPr>
            </w:pPr>
            <w:r w:rsidRPr="00494233">
              <w:rPr>
                <w:rFonts w:eastAsia="Malgun Gothic"/>
                <w:lang w:eastAsia="ko-KR"/>
              </w:rPr>
              <w:t>36</w:t>
            </w:r>
          </w:p>
        </w:tc>
        <w:tc>
          <w:tcPr>
            <w:tcW w:w="569" w:type="pct"/>
          </w:tcPr>
          <w:p w:rsidR="00BC42BA" w:rsidRPr="00494233" w:rsidRDefault="00033944" w:rsidP="00B2360D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Fonts w:eastAsia="Malgun Gothic"/>
                <w:lang w:eastAsia="ko-KR"/>
              </w:rPr>
            </w:pPr>
            <w:r>
              <w:rPr>
                <w:rFonts w:hint="cs"/>
                <w:rtl/>
              </w:rPr>
              <w:t>المؤتمر العالمي للاتصالات الراديوية لعام</w:t>
            </w:r>
            <w:r w:rsidR="00B2360D">
              <w:rPr>
                <w:rFonts w:hint="eastAsia"/>
                <w:rtl/>
              </w:rPr>
              <w:t> </w:t>
            </w:r>
            <w:r>
              <w:t>2012</w:t>
            </w:r>
          </w:p>
        </w:tc>
        <w:tc>
          <w:tcPr>
            <w:tcW w:w="683" w:type="pct"/>
          </w:tcPr>
          <w:p w:rsidR="00BC42BA" w:rsidRPr="009A4972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  <w:rPr>
                <w:rtl/>
              </w:rPr>
            </w:pPr>
            <w:r w:rsidRPr="004566E2">
              <w:rPr>
                <w:rFonts w:hint="cs"/>
                <w:rtl/>
              </w:rPr>
              <w:t>الجلسة العامة الثالثة عشرة</w:t>
            </w:r>
            <w:r w:rsidRPr="009A4972">
              <w:rPr>
                <w:rFonts w:hint="cs"/>
                <w:rtl/>
              </w:rPr>
              <w:t xml:space="preserve"> </w:t>
            </w:r>
            <w:hyperlink r:id="rId22" w:history="1">
              <w:r w:rsidRPr="009A4972">
                <w:rPr>
                  <w:rStyle w:val="Hyperlink"/>
                  <w:rFonts w:hint="cs"/>
                  <w:rtl/>
                </w:rPr>
                <w:t xml:space="preserve">الوثيقة </w:t>
              </w:r>
              <w:r w:rsidRPr="009A4972">
                <w:rPr>
                  <w:rStyle w:val="Hyperlink"/>
                </w:rPr>
                <w:t>554</w:t>
              </w:r>
            </w:hyperlink>
          </w:p>
        </w:tc>
        <w:tc>
          <w:tcPr>
            <w:tcW w:w="3152" w:type="pct"/>
          </w:tcPr>
          <w:p w:rsidR="00BC42BA" w:rsidRPr="007108C4" w:rsidRDefault="00BC42BA" w:rsidP="007C232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</w:pPr>
            <w:r w:rsidRPr="0011540A">
              <w:rPr>
                <w:rFonts w:eastAsia="Calibri"/>
                <w:color w:val="000000"/>
                <w:spacing w:val="-4"/>
                <w:rtl/>
              </w:rPr>
              <w:t xml:space="preserve">يطلب </w:t>
            </w:r>
            <w:r w:rsidRPr="007108C4">
              <w:rPr>
                <w:rFonts w:eastAsia="SimSun"/>
                <w:rtl/>
              </w:rPr>
              <w:t>المكتب</w:t>
            </w:r>
            <w:r w:rsidRPr="0011540A">
              <w:rPr>
                <w:rFonts w:eastAsia="Calibri"/>
                <w:color w:val="000000"/>
                <w:spacing w:val="-4"/>
                <w:rtl/>
              </w:rPr>
              <w:t>، عند تطبيق الرقم</w:t>
            </w:r>
            <w:r w:rsidRPr="0011540A">
              <w:rPr>
                <w:rFonts w:eastAsia="Calibri" w:hint="eastAsia"/>
                <w:color w:val="000000"/>
                <w:spacing w:val="-4"/>
                <w:rtl/>
                <w:lang w:bidi="ar-EG"/>
              </w:rPr>
              <w:t> </w:t>
            </w:r>
            <w:r w:rsidRPr="00033944">
              <w:rPr>
                <w:rFonts w:eastAsia="Calibri"/>
                <w:b/>
                <w:bCs/>
                <w:color w:val="000000"/>
                <w:spacing w:val="-4"/>
              </w:rPr>
              <w:t>6.13</w:t>
            </w:r>
            <w:r w:rsidRPr="0011540A">
              <w:rPr>
                <w:rFonts w:eastAsia="Calibri"/>
                <w:color w:val="000000"/>
                <w:spacing w:val="-4"/>
                <w:rtl/>
              </w:rPr>
              <w:t>، من الإدارات تقديم معلومات عن خصائص الشبكات الساتلية واستعمالها. وفي الرد على هذا الطلب يتعين على الإدارات أن تزود المكتب بمعلومات عن الاستعمال الفعلي للخصائص المبلغة للشبكات الساتلية التجارية</w:t>
            </w:r>
            <w:r w:rsidRPr="0011540A">
              <w:rPr>
                <w:rFonts w:eastAsia="Calibri" w:hint="cs"/>
                <w:color w:val="000000"/>
                <w:spacing w:val="-4"/>
                <w:rtl/>
              </w:rPr>
              <w:t>.</w:t>
            </w:r>
          </w:p>
        </w:tc>
        <w:tc>
          <w:tcPr>
            <w:tcW w:w="443" w:type="pct"/>
          </w:tcPr>
          <w:p w:rsidR="00BC42BA" w:rsidRPr="00494233" w:rsidRDefault="00BC42BA" w:rsidP="00A847AE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left"/>
            </w:pPr>
          </w:p>
        </w:tc>
      </w:tr>
    </w:tbl>
    <w:p w:rsidR="00BC42BA" w:rsidRPr="00BC42BA" w:rsidRDefault="00EC614A" w:rsidP="00033944">
      <w:pPr>
        <w:tabs>
          <w:tab w:val="clear" w:pos="794"/>
          <w:tab w:val="left" w:pos="284"/>
        </w:tabs>
        <w:spacing w:before="600" w:line="180" w:lineRule="auto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BC42BA" w:rsidRPr="00BC42BA" w:rsidSect="00BC42BA">
      <w:headerReference w:type="default" r:id="rId23"/>
      <w:footerReference w:type="default" r:id="rId24"/>
      <w:headerReference w:type="first" r:id="rId25"/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FD" w:rsidRDefault="006E1CFD" w:rsidP="00F36590">
      <w:pPr>
        <w:spacing w:before="0" w:line="240" w:lineRule="auto"/>
      </w:pPr>
      <w:r>
        <w:separator/>
      </w:r>
    </w:p>
  </w:endnote>
  <w:endnote w:type="continuationSeparator" w:id="0">
    <w:p w:rsidR="006E1CFD" w:rsidRDefault="006E1CFD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1779B8" w:rsidRDefault="007E6E52" w:rsidP="001779B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  <w:r w:rsidRPr="007E6E52">
      <w:rPr>
        <w:rFonts w:hAnsi="Calibri"/>
      </w:rPr>
      <w:fldChar w:fldCharType="begin"/>
    </w:r>
    <w:r w:rsidRPr="001779B8">
      <w:rPr>
        <w:rFonts w:hAnsi="Calibri"/>
        <w:lang w:val="es-ES"/>
      </w:rPr>
      <w:instrText xml:space="preserve"> FILENAME \p \* MERGEFORMAT </w:instrText>
    </w:r>
    <w:r w:rsidRPr="007E6E52">
      <w:rPr>
        <w:rFonts w:hAnsi="Calibri"/>
      </w:rPr>
      <w:fldChar w:fldCharType="separate"/>
    </w:r>
    <w:r w:rsidR="00F61B30">
      <w:rPr>
        <w:rFonts w:hAnsi="Calibri"/>
        <w:noProof/>
        <w:lang w:val="es-ES"/>
      </w:rPr>
      <w:t>R:\REFTXT\REFTXT2015\ITU-R\BR\DIR\CR\300\380A.DOCX</w:t>
    </w:r>
    <w:r w:rsidRPr="007E6E52">
      <w:rPr>
        <w:rFonts w:hAnsi="Calibri"/>
      </w:rPr>
      <w:fldChar w:fldCharType="end"/>
    </w:r>
    <w:r w:rsidRPr="001779B8">
      <w:rPr>
        <w:rFonts w:hAnsi="Calibri"/>
        <w:lang w:val="es-ES"/>
      </w:rPr>
      <w:t xml:space="preserve">   (</w:t>
    </w:r>
    <w:r w:rsidR="001779B8" w:rsidRPr="001779B8">
      <w:rPr>
        <w:rFonts w:hAnsi="Calibri"/>
        <w:lang w:val="es-ES"/>
      </w:rPr>
      <w:t>378420</w:t>
    </w:r>
    <w:r w:rsidRPr="001779B8">
      <w:rPr>
        <w:rFonts w:hAnsi="Calibri"/>
        <w:lang w:val="es-ES"/>
      </w:rPr>
      <w:t>)</w:t>
    </w:r>
    <w:r w:rsidRPr="001779B8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savedate \@ dd.MM.yy </w:instrText>
    </w:r>
    <w:r w:rsidRPr="007E6E52">
      <w:rPr>
        <w:rFonts w:hAnsi="Calibri"/>
      </w:rPr>
      <w:fldChar w:fldCharType="separate"/>
    </w:r>
    <w:r w:rsidR="00F61B30">
      <w:rPr>
        <w:rFonts w:hAnsi="Calibri"/>
        <w:noProof/>
      </w:rPr>
      <w:t>17.04.15</w:t>
    </w:r>
    <w:r w:rsidRPr="007E6E52">
      <w:rPr>
        <w:rFonts w:hAnsi="Calibri"/>
      </w:rPr>
      <w:fldChar w:fldCharType="end"/>
    </w:r>
    <w:r w:rsidRPr="001779B8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printdate \@ dd.MM.yy </w:instrText>
    </w:r>
    <w:r w:rsidRPr="007E6E52">
      <w:rPr>
        <w:rFonts w:hAnsi="Calibri"/>
      </w:rPr>
      <w:fldChar w:fldCharType="separate"/>
    </w:r>
    <w:r w:rsidR="00F61B30">
      <w:rPr>
        <w:rFonts w:hAnsi="Calibri"/>
        <w:noProof/>
      </w:rPr>
      <w:t>17.04.15</w:t>
    </w:r>
    <w:r w:rsidRPr="007E6E52">
      <w:rPr>
        <w:rFonts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8331C1">
    <w:pPr>
      <w:pStyle w:val="Footer"/>
      <w:spacing w:before="240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BA" w:rsidRPr="00F61B30" w:rsidRDefault="00BC42BA" w:rsidP="00F61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FD" w:rsidRDefault="006E1CFD" w:rsidP="00F36590">
      <w:pPr>
        <w:spacing w:before="0" w:line="240" w:lineRule="auto"/>
      </w:pPr>
      <w:r>
        <w:separator/>
      </w:r>
    </w:p>
  </w:footnote>
  <w:footnote w:type="continuationSeparator" w:id="0">
    <w:p w:rsidR="006E1CFD" w:rsidRDefault="006E1CFD" w:rsidP="00F36590">
      <w:pPr>
        <w:spacing w:before="0" w:line="240" w:lineRule="auto"/>
      </w:pPr>
      <w:r>
        <w:continuationSeparator/>
      </w:r>
    </w:p>
  </w:footnote>
  <w:footnote w:id="1">
    <w:p w:rsidR="00BC42BA" w:rsidRDefault="00BC42BA" w:rsidP="003A5C70">
      <w:pPr>
        <w:pStyle w:val="FootnoteText"/>
        <w:tabs>
          <w:tab w:val="left" w:pos="425"/>
        </w:tabs>
      </w:pPr>
      <w:r>
        <w:rPr>
          <w:rStyle w:val="FootnoteReference"/>
        </w:rPr>
        <w:footnoteRef/>
      </w:r>
      <w:r>
        <w:rPr>
          <w:rtl/>
        </w:rPr>
        <w:tab/>
      </w:r>
      <w:hyperlink r:id="rId1" w:history="1">
        <w:r w:rsidRPr="00C03B38">
          <w:rPr>
            <w:rStyle w:val="Hyperlink"/>
          </w:rPr>
          <w:t>http://goo.gl/LCpvqH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BC42BA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BA" w:rsidRPr="00B11105" w:rsidRDefault="00BC42BA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Pr="007E6E52">
      <w:rPr>
        <w:rFonts w:cs="Calibri"/>
        <w:sz w:val="20"/>
        <w:szCs w:val="20"/>
        <w:lang w:val="en-GB"/>
      </w:rPr>
      <w:fldChar w:fldCharType="begin"/>
    </w:r>
    <w:r w:rsidRPr="007E6E52">
      <w:rPr>
        <w:rFonts w:cs="Calibri"/>
        <w:sz w:val="20"/>
        <w:szCs w:val="20"/>
        <w:lang w:val="en-GB"/>
      </w:rPr>
      <w:instrText xml:space="preserve"> PAGE </w:instrText>
    </w:r>
    <w:r w:rsidRPr="007E6E52">
      <w:rPr>
        <w:rFonts w:cs="Calibri"/>
        <w:sz w:val="20"/>
        <w:szCs w:val="20"/>
        <w:lang w:val="en-GB"/>
      </w:rPr>
      <w:fldChar w:fldCharType="separate"/>
    </w:r>
    <w:r w:rsidR="00F61B30">
      <w:rPr>
        <w:rFonts w:cs="Calibri"/>
        <w:noProof/>
        <w:sz w:val="20"/>
        <w:szCs w:val="20"/>
        <w:lang w:val="en-GB"/>
      </w:rPr>
      <w:t>2</w:t>
    </w:r>
    <w:r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C42BA" w:rsidRPr="00F36590" w:rsidTr="009F66A8">
      <w:trPr>
        <w:jc w:val="center"/>
      </w:trPr>
      <w:tc>
        <w:tcPr>
          <w:tcW w:w="2472" w:type="pct"/>
          <w:vAlign w:val="center"/>
        </w:tcPr>
        <w:p w:rsidR="00BC42BA" w:rsidRPr="00F36590" w:rsidRDefault="00BC42BA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709F5FE4" wp14:editId="2D2E95A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BC42BA" w:rsidRPr="00F36590" w:rsidRDefault="00BC42BA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6F3104C2" wp14:editId="46906A6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C42BA" w:rsidRPr="001D1D7B" w:rsidRDefault="00BC42BA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04"/>
    <w:rsid w:val="00013BDF"/>
    <w:rsid w:val="00027A6D"/>
    <w:rsid w:val="00033944"/>
    <w:rsid w:val="00090574"/>
    <w:rsid w:val="00094805"/>
    <w:rsid w:val="000B73F4"/>
    <w:rsid w:val="000C368E"/>
    <w:rsid w:val="00161DE8"/>
    <w:rsid w:val="001779B8"/>
    <w:rsid w:val="00185E59"/>
    <w:rsid w:val="001C131B"/>
    <w:rsid w:val="001D1D7B"/>
    <w:rsid w:val="00230B07"/>
    <w:rsid w:val="0023283D"/>
    <w:rsid w:val="00237568"/>
    <w:rsid w:val="00241274"/>
    <w:rsid w:val="0027743A"/>
    <w:rsid w:val="0028227F"/>
    <w:rsid w:val="00290D2F"/>
    <w:rsid w:val="002978F4"/>
    <w:rsid w:val="002B028D"/>
    <w:rsid w:val="002E6541"/>
    <w:rsid w:val="00335CE7"/>
    <w:rsid w:val="003403A3"/>
    <w:rsid w:val="00341FFF"/>
    <w:rsid w:val="0034615D"/>
    <w:rsid w:val="00357185"/>
    <w:rsid w:val="00381681"/>
    <w:rsid w:val="003A5C70"/>
    <w:rsid w:val="003B65BD"/>
    <w:rsid w:val="003D1994"/>
    <w:rsid w:val="003E2DD6"/>
    <w:rsid w:val="0040525C"/>
    <w:rsid w:val="0042686F"/>
    <w:rsid w:val="00443869"/>
    <w:rsid w:val="004566E2"/>
    <w:rsid w:val="00485E78"/>
    <w:rsid w:val="00487A63"/>
    <w:rsid w:val="00490056"/>
    <w:rsid w:val="004A04C3"/>
    <w:rsid w:val="004B65F7"/>
    <w:rsid w:val="004D704B"/>
    <w:rsid w:val="004E0FF3"/>
    <w:rsid w:val="0055516A"/>
    <w:rsid w:val="00582B04"/>
    <w:rsid w:val="005912AE"/>
    <w:rsid w:val="005A5832"/>
    <w:rsid w:val="005A74ED"/>
    <w:rsid w:val="005C098E"/>
    <w:rsid w:val="005D778E"/>
    <w:rsid w:val="005F4897"/>
    <w:rsid w:val="0060064C"/>
    <w:rsid w:val="00624F65"/>
    <w:rsid w:val="0065432B"/>
    <w:rsid w:val="00664441"/>
    <w:rsid w:val="006960F3"/>
    <w:rsid w:val="006A3EA1"/>
    <w:rsid w:val="006E1CFD"/>
    <w:rsid w:val="006F63F7"/>
    <w:rsid w:val="00706D7A"/>
    <w:rsid w:val="007107CE"/>
    <w:rsid w:val="00714C7B"/>
    <w:rsid w:val="00733D09"/>
    <w:rsid w:val="00751075"/>
    <w:rsid w:val="007701C7"/>
    <w:rsid w:val="0078615D"/>
    <w:rsid w:val="00797134"/>
    <w:rsid w:val="007C232E"/>
    <w:rsid w:val="007C2D37"/>
    <w:rsid w:val="007E6E52"/>
    <w:rsid w:val="0080189F"/>
    <w:rsid w:val="00805FB6"/>
    <w:rsid w:val="008235CD"/>
    <w:rsid w:val="008331C1"/>
    <w:rsid w:val="0083557A"/>
    <w:rsid w:val="008513CB"/>
    <w:rsid w:val="008639C2"/>
    <w:rsid w:val="00982B28"/>
    <w:rsid w:val="009A4972"/>
    <w:rsid w:val="00A0706D"/>
    <w:rsid w:val="00A21D67"/>
    <w:rsid w:val="00A30633"/>
    <w:rsid w:val="00A34794"/>
    <w:rsid w:val="00A847AE"/>
    <w:rsid w:val="00A8748D"/>
    <w:rsid w:val="00A97F94"/>
    <w:rsid w:val="00AB73C8"/>
    <w:rsid w:val="00AB7CE2"/>
    <w:rsid w:val="00AE060A"/>
    <w:rsid w:val="00AE79FB"/>
    <w:rsid w:val="00B11105"/>
    <w:rsid w:val="00B176AE"/>
    <w:rsid w:val="00B2360D"/>
    <w:rsid w:val="00B43841"/>
    <w:rsid w:val="00B5527F"/>
    <w:rsid w:val="00B95CAC"/>
    <w:rsid w:val="00B972D2"/>
    <w:rsid w:val="00BC42BA"/>
    <w:rsid w:val="00BD7771"/>
    <w:rsid w:val="00BF2336"/>
    <w:rsid w:val="00BF4C12"/>
    <w:rsid w:val="00C00009"/>
    <w:rsid w:val="00C0546B"/>
    <w:rsid w:val="00C674FE"/>
    <w:rsid w:val="00C75633"/>
    <w:rsid w:val="00C9719A"/>
    <w:rsid w:val="00CE2EE1"/>
    <w:rsid w:val="00CE6A55"/>
    <w:rsid w:val="00CF3FFD"/>
    <w:rsid w:val="00D02198"/>
    <w:rsid w:val="00D771C7"/>
    <w:rsid w:val="00D77D0F"/>
    <w:rsid w:val="00DA1CF0"/>
    <w:rsid w:val="00DC24B4"/>
    <w:rsid w:val="00DF16DC"/>
    <w:rsid w:val="00E02604"/>
    <w:rsid w:val="00E45211"/>
    <w:rsid w:val="00E45D73"/>
    <w:rsid w:val="00E47BFD"/>
    <w:rsid w:val="00E64F8E"/>
    <w:rsid w:val="00EB1248"/>
    <w:rsid w:val="00EC614A"/>
    <w:rsid w:val="00ED12E1"/>
    <w:rsid w:val="00ED1802"/>
    <w:rsid w:val="00F068F4"/>
    <w:rsid w:val="00F118FA"/>
    <w:rsid w:val="00F270A6"/>
    <w:rsid w:val="00F36590"/>
    <w:rsid w:val="00F61B30"/>
    <w:rsid w:val="00F84366"/>
    <w:rsid w:val="00F85089"/>
    <w:rsid w:val="00FC4300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B1CE610-512B-4D1A-9C13-9C8DC8CC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9B8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79B8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"/>
    <w:basedOn w:val="DefaultParagraphFont"/>
    <w:unhideWhenUsed/>
    <w:qFormat/>
    <w:rsid w:val="00F118FA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BC42BA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C131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B04"/>
    <w:rPr>
      <w:color w:val="0000FF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Parttitle0">
    <w:name w:val="Part_title"/>
    <w:basedOn w:val="Normal"/>
    <w:next w:val="Normal"/>
    <w:qFormat/>
    <w:rsid w:val="004E0FF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eastAsia="Times New Roman"/>
      <w:b/>
      <w:bCs/>
      <w:sz w:val="26"/>
      <w:szCs w:val="36"/>
      <w:lang w:eastAsia="en-US" w:bidi="ar-EG"/>
    </w:rPr>
  </w:style>
  <w:style w:type="paragraph" w:customStyle="1" w:styleId="Annextitle0">
    <w:name w:val="Annex_title"/>
    <w:basedOn w:val="Normal"/>
    <w:link w:val="AnnextitleChar"/>
    <w:uiPriority w:val="99"/>
    <w:rsid w:val="004E0FF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AnnexNo0">
    <w:name w:val="Annex_No"/>
    <w:basedOn w:val="Normal"/>
    <w:link w:val="AnnexNoChar"/>
    <w:uiPriority w:val="99"/>
    <w:rsid w:val="004E0FF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26"/>
      <w:szCs w:val="36"/>
      <w:lang w:eastAsia="en-US" w:bidi="ar-EG"/>
    </w:rPr>
  </w:style>
  <w:style w:type="character" w:customStyle="1" w:styleId="AnnextitleChar">
    <w:name w:val="Annex_title Char"/>
    <w:basedOn w:val="DefaultParagraphFont"/>
    <w:link w:val="Annextitle0"/>
    <w:uiPriority w:val="99"/>
    <w:locked/>
    <w:rsid w:val="004E0FF3"/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0"/>
    <w:uiPriority w:val="99"/>
    <w:rsid w:val="004E0FF3"/>
    <w:rPr>
      <w:rFonts w:ascii="Calibri" w:eastAsia="Times New Roman" w:hAnsi="Calibri" w:cs="Traditional Arabic"/>
      <w:sz w:val="26"/>
      <w:szCs w:val="36"/>
      <w:lang w:eastAsia="en-US" w:bidi="ar-EG"/>
    </w:rPr>
  </w:style>
  <w:style w:type="paragraph" w:customStyle="1" w:styleId="Dash">
    <w:name w:val="Dash"/>
    <w:basedOn w:val="Normal"/>
    <w:qFormat/>
    <w:rsid w:val="00BC4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0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enumlev10">
    <w:name w:val="enumlev1"/>
    <w:basedOn w:val="Normal"/>
    <w:link w:val="enumlev1Char"/>
    <w:qFormat/>
    <w:rsid w:val="00BC42B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lang w:val="en-GB" w:eastAsia="en-US"/>
    </w:rPr>
  </w:style>
  <w:style w:type="paragraph" w:customStyle="1" w:styleId="Tablehead0">
    <w:name w:val="Table_head"/>
    <w:basedOn w:val="Normal"/>
    <w:next w:val="TableText"/>
    <w:link w:val="TableheadChar"/>
    <w:qFormat/>
    <w:rsid w:val="00BC4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BC42BA"/>
    <w:rPr>
      <w:rFonts w:ascii="Calibri" w:eastAsia="Times New Roman" w:hAnsi="Calibri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0"/>
    <w:rsid w:val="00BC42BA"/>
    <w:rPr>
      <w:rFonts w:ascii="Calibri" w:eastAsia="Times New Roman" w:hAnsi="Calibri" w:cs="Traditional Arabic"/>
      <w:b/>
      <w:szCs w:val="30"/>
      <w:lang w:val="en-GB" w:eastAsia="en-US"/>
    </w:rPr>
  </w:style>
  <w:style w:type="paragraph" w:customStyle="1" w:styleId="TableText">
    <w:name w:val="Table_Text"/>
    <w:basedOn w:val="Normal"/>
    <w:link w:val="TableTextChar"/>
    <w:rsid w:val="00BC4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PMingLiU" w:hAnsi="Times New Roman" w:cs="Times New Roman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BC42BA"/>
    <w:rPr>
      <w:rFonts w:ascii="Times New Roman" w:eastAsia="PMingLiU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lue\en\ITU-R\conferences\RRB\Documents\ai%204_1_compendium%20to%20be%20published%20as%20special%20topics_English.docx" TargetMode="External"/><Relationship Id="rId13" Type="http://schemas.openxmlformats.org/officeDocument/2006/relationships/hyperlink" Target="http://www.itu.int/md/R03-WRC03-C-0410/en" TargetMode="External"/><Relationship Id="rId18" Type="http://schemas.openxmlformats.org/officeDocument/2006/relationships/hyperlink" Target="http://www.itu.int/md/R07-WRC07-C-0004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2-WRC12-C-0554/en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md/R07-WRC07-C-0378/e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07-WRC07-C-0432/en" TargetMode="External"/><Relationship Id="rId20" Type="http://schemas.openxmlformats.org/officeDocument/2006/relationships/hyperlink" Target="http://www.itu.int/md/R12-WRC12-C-055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03-WRC03-C-0370/en" TargetMode="External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www.itu.int/md/R12-WRC12-C-0549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md/R03-WRC03-C-0410/en" TargetMode="External"/><Relationship Id="rId22" Type="http://schemas.openxmlformats.org/officeDocument/2006/relationships/hyperlink" Target="http://www.itu.int/md/R12-WRC12-C-0554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oo.gl/LCpvq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79D5-40F1-4AD3-8F9F-9CC35230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Gozal, Karine</cp:lastModifiedBy>
  <cp:revision>2</cp:revision>
  <cp:lastPrinted>2015-04-17T11:38:00Z</cp:lastPrinted>
  <dcterms:created xsi:type="dcterms:W3CDTF">2015-04-17T11:38:00Z</dcterms:created>
  <dcterms:modified xsi:type="dcterms:W3CDTF">2015-04-17T11:38:00Z</dcterms:modified>
</cp:coreProperties>
</file>