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84FFC" w:rsidTr="00D5799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84FFC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84FF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384FFC" w:rsidRDefault="00E53DCE" w:rsidP="00616BF4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84FFC" w:rsidTr="00D5799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384FFC" w:rsidRDefault="00616BF4" w:rsidP="001152EF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384FFC">
              <w:rPr>
                <w:lang w:val="ru-RU"/>
              </w:rPr>
              <w:t>Циркулярное письмо</w:t>
            </w:r>
          </w:p>
          <w:p w:rsidR="00E53DCE" w:rsidRPr="00384FFC" w:rsidRDefault="00E53DCE" w:rsidP="00723A1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84FFC">
              <w:rPr>
                <w:b/>
                <w:bCs/>
                <w:lang w:val="ru-RU"/>
              </w:rPr>
              <w:t>C</w:t>
            </w:r>
            <w:r w:rsidR="00616BF4" w:rsidRPr="00384FFC">
              <w:rPr>
                <w:b/>
                <w:bCs/>
                <w:lang w:val="ru-RU"/>
              </w:rPr>
              <w:t>R</w:t>
            </w:r>
            <w:r w:rsidRPr="00384FFC">
              <w:rPr>
                <w:b/>
                <w:bCs/>
                <w:lang w:val="ru-RU"/>
              </w:rPr>
              <w:t>/</w:t>
            </w:r>
            <w:r w:rsidR="00616BF4" w:rsidRPr="00384FFC">
              <w:rPr>
                <w:b/>
                <w:bCs/>
                <w:lang w:val="ru-RU"/>
              </w:rPr>
              <w:t>3</w:t>
            </w:r>
            <w:r w:rsidR="00AF676F" w:rsidRPr="00384FFC">
              <w:rPr>
                <w:b/>
                <w:bCs/>
                <w:lang w:val="ru-RU"/>
              </w:rPr>
              <w:t>8</w:t>
            </w:r>
            <w:r w:rsidR="00723A1E" w:rsidRPr="00384FFC">
              <w:rPr>
                <w:b/>
                <w:bCs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E53DCE" w:rsidRPr="00384FFC" w:rsidRDefault="00A170CA" w:rsidP="00D80473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8CD17A8FC1F46FC9A9A1D6CEA98E7E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80473" w:rsidRPr="00384FFC">
                  <w:rPr>
                    <w:rFonts w:cs="Arial"/>
                    <w:lang w:val="ru-RU"/>
                  </w:rPr>
                  <w:t>17 апреля</w:t>
                </w:r>
                <w:r w:rsidR="00AF676F" w:rsidRPr="00384FFC">
                  <w:rPr>
                    <w:rFonts w:cs="Arial"/>
                    <w:lang w:val="ru-RU"/>
                  </w:rPr>
                  <w:t xml:space="preserve"> 2015 года</w:t>
                </w:r>
              </w:sdtContent>
            </w:sdt>
          </w:p>
        </w:tc>
      </w:tr>
      <w:tr w:rsidR="00E53DCE" w:rsidRPr="00384FFC" w:rsidTr="00D5799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84FFC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384FFC" w:rsidTr="00D5799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84FFC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84FFC" w:rsidTr="00D5799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84FFC" w:rsidRDefault="00F26672" w:rsidP="00616BF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84FFC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384FFC" w:rsidTr="00D5799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84FFC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384FFC" w:rsidTr="00D5799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84FFC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A170CA" w:rsidTr="00D5799C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84FFC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384FF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84FFC" w:rsidRDefault="00723A1E" w:rsidP="00616BF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384FFC">
              <w:rPr>
                <w:b/>
                <w:bCs/>
                <w:szCs w:val="24"/>
                <w:lang w:val="ru-RU" w:eastAsia="zh-CN"/>
              </w:rPr>
              <w:t>Решения прошедших ВКР, касающиеся применения Регламента радиосвязи</w:t>
            </w:r>
          </w:p>
        </w:tc>
      </w:tr>
      <w:tr w:rsidR="00E53DCE" w:rsidRPr="00A170CA" w:rsidTr="00D5799C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84FF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84FF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A170CA" w:rsidTr="00D5799C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84FF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84FF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723A1E" w:rsidRPr="00671762" w:rsidRDefault="00E3726E" w:rsidP="00E3726E">
      <w:pPr>
        <w:pStyle w:val="Normalaftertitle"/>
        <w:spacing w:before="600"/>
        <w:rPr>
          <w:lang w:val="ru-RU" w:eastAsia="zh-CN"/>
        </w:rPr>
      </w:pPr>
      <w:r>
        <w:rPr>
          <w:lang w:val="ru-RU" w:eastAsia="zh-CN"/>
        </w:rPr>
        <w:t>На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>своем</w:t>
      </w:r>
      <w:r w:rsidRPr="00671762">
        <w:rPr>
          <w:lang w:val="ru-RU" w:eastAsia="zh-CN"/>
        </w:rPr>
        <w:t xml:space="preserve"> </w:t>
      </w:r>
      <w:r w:rsidR="006644C6" w:rsidRPr="00671762">
        <w:rPr>
          <w:lang w:val="ru-RU" w:eastAsia="zh-CN"/>
        </w:rPr>
        <w:t>68</w:t>
      </w:r>
      <w:r w:rsidRPr="00671762">
        <w:rPr>
          <w:lang w:val="ru-RU" w:eastAsia="zh-CN"/>
        </w:rPr>
        <w:t>-</w:t>
      </w:r>
      <w:r>
        <w:rPr>
          <w:lang w:val="ru-RU" w:eastAsia="zh-CN"/>
        </w:rPr>
        <w:t>м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>собрании</w:t>
      </w:r>
      <w:r w:rsidRPr="00671762">
        <w:rPr>
          <w:lang w:val="ru-RU" w:eastAsia="zh-CN"/>
        </w:rPr>
        <w:t xml:space="preserve"> </w:t>
      </w:r>
      <w:r w:rsidR="006644C6" w:rsidRPr="00671762">
        <w:rPr>
          <w:lang w:val="ru-RU" w:eastAsia="zh-CN"/>
        </w:rPr>
        <w:t>(16−</w:t>
      </w:r>
      <w:r w:rsidR="00723A1E" w:rsidRPr="00671762">
        <w:rPr>
          <w:lang w:val="ru-RU" w:eastAsia="zh-CN"/>
        </w:rPr>
        <w:t xml:space="preserve">20 </w:t>
      </w:r>
      <w:r w:rsidR="006644C6" w:rsidRPr="00384FFC">
        <w:rPr>
          <w:lang w:val="ru-RU" w:eastAsia="zh-CN"/>
        </w:rPr>
        <w:t>марта</w:t>
      </w:r>
      <w:r w:rsidR="00723A1E" w:rsidRPr="00671762">
        <w:rPr>
          <w:lang w:val="ru-RU" w:eastAsia="zh-CN"/>
        </w:rPr>
        <w:t xml:space="preserve"> 2015</w:t>
      </w:r>
      <w:r w:rsidR="006644C6" w:rsidRPr="00671762">
        <w:rPr>
          <w:lang w:val="ru-RU" w:eastAsia="zh-CN"/>
        </w:rPr>
        <w:t xml:space="preserve"> </w:t>
      </w:r>
      <w:r w:rsidR="006644C6" w:rsidRPr="00384FFC">
        <w:rPr>
          <w:lang w:val="ru-RU" w:eastAsia="zh-CN"/>
        </w:rPr>
        <w:t>г</w:t>
      </w:r>
      <w:r w:rsidR="006644C6" w:rsidRPr="00671762">
        <w:rPr>
          <w:lang w:val="ru-RU" w:eastAsia="zh-CN"/>
        </w:rPr>
        <w:t>.</w:t>
      </w:r>
      <w:r w:rsidR="00723A1E" w:rsidRPr="00671762">
        <w:rPr>
          <w:lang w:val="ru-RU" w:eastAsia="zh-CN"/>
        </w:rPr>
        <w:t xml:space="preserve">) </w:t>
      </w:r>
      <w:r>
        <w:rPr>
          <w:lang w:val="ru-RU" w:eastAsia="zh-CN"/>
        </w:rPr>
        <w:t>Комитет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рассмотрел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сводку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принятых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на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предыдущих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всемирных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конференциях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радиосвязи</w:t>
      </w:r>
      <w:r w:rsidR="00723A1E" w:rsidRPr="00E3726E">
        <w:rPr>
          <w:lang w:val="ru-RU" w:eastAsia="zh-CN"/>
        </w:rPr>
        <w:t xml:space="preserve"> (</w:t>
      </w:r>
      <w:r w:rsidR="006644C6" w:rsidRPr="00384FFC">
        <w:rPr>
          <w:lang w:val="ru-RU" w:eastAsia="zh-CN"/>
        </w:rPr>
        <w:t>ВКР</w:t>
      </w:r>
      <w:r w:rsidR="00723A1E" w:rsidRPr="00E3726E">
        <w:rPr>
          <w:lang w:val="ru-RU" w:eastAsia="zh-CN"/>
        </w:rPr>
        <w:t>)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решений</w:t>
      </w:r>
      <w:r w:rsidRPr="00E3726E">
        <w:rPr>
          <w:lang w:val="ru-RU" w:eastAsia="zh-CN"/>
        </w:rPr>
        <w:t xml:space="preserve">, </w:t>
      </w:r>
      <w:r>
        <w:rPr>
          <w:lang w:val="ru-RU" w:eastAsia="zh-CN"/>
        </w:rPr>
        <w:t>которые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носили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регламентарный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характер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и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для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которых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на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тот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момент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не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существовало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соответствующих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положений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в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Регламенте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радиосвязи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или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в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Правилах</w:t>
      </w:r>
      <w:r w:rsidRPr="00E3726E">
        <w:rPr>
          <w:lang w:val="ru-RU" w:eastAsia="zh-CN"/>
        </w:rPr>
        <w:t xml:space="preserve"> </w:t>
      </w:r>
      <w:r>
        <w:rPr>
          <w:lang w:val="ru-RU" w:eastAsia="zh-CN"/>
        </w:rPr>
        <w:t>процедуры</w:t>
      </w:r>
      <w:r w:rsidRPr="00E3726E">
        <w:rPr>
          <w:lang w:val="ru-RU" w:eastAsia="zh-CN"/>
        </w:rPr>
        <w:t>.</w:t>
      </w:r>
    </w:p>
    <w:p w:rsidR="00723A1E" w:rsidRPr="00671762" w:rsidRDefault="00671762" w:rsidP="008E0203">
      <w:pPr>
        <w:rPr>
          <w:lang w:val="ru-RU" w:eastAsia="zh-CN"/>
        </w:rPr>
      </w:pPr>
      <w:r w:rsidRPr="00671762">
        <w:rPr>
          <w:lang w:val="ru-RU" w:eastAsia="zh-CN"/>
        </w:rPr>
        <w:t xml:space="preserve">В своем обзоре </w:t>
      </w:r>
      <w:r w:rsidR="00723A1E" w:rsidRPr="00671762">
        <w:rPr>
          <w:lang w:val="ru-RU" w:eastAsia="zh-CN"/>
        </w:rPr>
        <w:t>(</w:t>
      </w:r>
      <w:r w:rsidRPr="00671762">
        <w:rPr>
          <w:lang w:val="ru-RU" w:eastAsia="zh-CN"/>
        </w:rPr>
        <w:t>см. данную</w:t>
      </w:r>
      <w:r w:rsidR="00723A1E" w:rsidRPr="00671762">
        <w:rPr>
          <w:lang w:val="ru-RU" w:eastAsia="zh-CN"/>
        </w:rPr>
        <w:t xml:space="preserve"> </w:t>
      </w:r>
      <w:hyperlink r:id="rId8" w:history="1">
        <w:r w:rsidR="00723A1E" w:rsidRPr="00671762">
          <w:rPr>
            <w:rStyle w:val="Hyperlink"/>
            <w:lang w:eastAsia="zh-CN"/>
          </w:rPr>
          <w:t>C</w:t>
        </w:r>
        <w:r w:rsidRPr="00671762">
          <w:rPr>
            <w:rStyle w:val="Hyperlink"/>
            <w:lang w:val="ru-RU" w:eastAsia="zh-CN"/>
          </w:rPr>
          <w:t>водку</w:t>
        </w:r>
      </w:hyperlink>
      <w:r w:rsidR="006E2076" w:rsidRPr="00671762">
        <w:rPr>
          <w:rStyle w:val="FootnoteReference"/>
          <w:position w:val="0"/>
          <w:sz w:val="22"/>
          <w:vertAlign w:val="superscript"/>
          <w:lang w:val="ru-RU" w:eastAsia="zh-CN"/>
        </w:rPr>
        <w:footnoteReference w:customMarkFollows="1" w:id="1"/>
        <w:t>1</w:t>
      </w:r>
      <w:r w:rsidR="00723A1E" w:rsidRPr="00671762">
        <w:rPr>
          <w:lang w:val="ru-RU" w:eastAsia="zh-CN"/>
        </w:rPr>
        <w:t>)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>Комитет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>определил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>ряд</w:t>
      </w:r>
      <w:r w:rsidRPr="00671762">
        <w:rPr>
          <w:lang w:val="ru-RU" w:eastAsia="zh-CN"/>
        </w:rPr>
        <w:t xml:space="preserve"> </w:t>
      </w:r>
      <w:r w:rsidR="008E0203">
        <w:rPr>
          <w:lang w:val="ru-RU" w:eastAsia="zh-CN"/>
        </w:rPr>
        <w:t xml:space="preserve">из этих </w:t>
      </w:r>
      <w:r>
        <w:rPr>
          <w:lang w:val="ru-RU" w:eastAsia="zh-CN"/>
        </w:rPr>
        <w:t>решений</w:t>
      </w:r>
      <w:r w:rsidR="00723A1E" w:rsidRPr="00671762">
        <w:rPr>
          <w:lang w:val="ru-RU" w:eastAsia="zh-CN"/>
        </w:rPr>
        <w:t xml:space="preserve"> </w:t>
      </w:r>
      <w:r w:rsidR="006644C6" w:rsidRPr="00671762">
        <w:rPr>
          <w:lang w:val="ru-RU" w:eastAsia="zh-CN"/>
        </w:rPr>
        <w:t>ВКР</w:t>
      </w:r>
      <w:r w:rsidRPr="00671762">
        <w:rPr>
          <w:lang w:val="ru-RU" w:eastAsia="zh-CN"/>
        </w:rPr>
        <w:t xml:space="preserve">, </w:t>
      </w:r>
      <w:r w:rsidR="008E0203">
        <w:rPr>
          <w:lang w:val="ru-RU" w:eastAsia="zh-CN"/>
        </w:rPr>
        <w:t xml:space="preserve">которые </w:t>
      </w:r>
      <w:r>
        <w:rPr>
          <w:lang w:val="ru-RU" w:eastAsia="zh-CN"/>
        </w:rPr>
        <w:t>имею</w:t>
      </w:r>
      <w:r w:rsidR="008E0203">
        <w:rPr>
          <w:lang w:val="ru-RU" w:eastAsia="zh-CN"/>
        </w:rPr>
        <w:t>т</w:t>
      </w:r>
      <w:r w:rsidRPr="00671762">
        <w:rPr>
          <w:lang w:val="ru-RU" w:eastAsia="zh-CN"/>
        </w:rPr>
        <w:t xml:space="preserve"> </w:t>
      </w:r>
      <w:r w:rsidRPr="00671762">
        <w:rPr>
          <w:color w:val="000000"/>
          <w:lang w:val="ru-RU"/>
        </w:rPr>
        <w:t xml:space="preserve">толковательный характер, </w:t>
      </w:r>
      <w:r>
        <w:rPr>
          <w:color w:val="000000"/>
          <w:lang w:val="ru-RU"/>
        </w:rPr>
        <w:t>но</w:t>
      </w:r>
      <w:r w:rsidRPr="0067176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671762">
        <w:rPr>
          <w:color w:val="000000"/>
          <w:lang w:val="ru-RU"/>
        </w:rPr>
        <w:t>-</w:t>
      </w:r>
      <w:r>
        <w:rPr>
          <w:color w:val="000000"/>
          <w:lang w:val="ru-RU"/>
        </w:rPr>
        <w:t>прежнему</w:t>
      </w:r>
      <w:r w:rsidRPr="0067176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сохраняю</w:t>
      </w:r>
      <w:r w:rsidR="008E0203">
        <w:rPr>
          <w:color w:val="000000"/>
          <w:lang w:val="ru-RU"/>
        </w:rPr>
        <w:t>т свою</w:t>
      </w:r>
      <w:r w:rsidRPr="0067176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актуальность</w:t>
      </w:r>
      <w:r w:rsidR="00723A1E" w:rsidRPr="00671762">
        <w:rPr>
          <w:lang w:val="ru-RU" w:eastAsia="zh-CN"/>
        </w:rPr>
        <w:t xml:space="preserve">. </w:t>
      </w:r>
      <w:r>
        <w:rPr>
          <w:lang w:val="ru-RU" w:eastAsia="zh-CN"/>
        </w:rPr>
        <w:t>Комитет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>просил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>Директора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>выпустить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>настоящее</w:t>
      </w:r>
      <w:r w:rsidRPr="00671762">
        <w:rPr>
          <w:lang w:val="ru-RU" w:eastAsia="zh-CN"/>
        </w:rPr>
        <w:t xml:space="preserve"> </w:t>
      </w:r>
      <w:r>
        <w:rPr>
          <w:lang w:val="ru-RU" w:eastAsia="zh-CN"/>
        </w:rPr>
        <w:t xml:space="preserve">циркулярное письмо, с тем чтобы </w:t>
      </w:r>
      <w:r w:rsidR="007A5600">
        <w:rPr>
          <w:lang w:val="ru-RU" w:eastAsia="zh-CN"/>
        </w:rPr>
        <w:t>привлечь</w:t>
      </w:r>
      <w:r>
        <w:rPr>
          <w:lang w:val="ru-RU" w:eastAsia="zh-CN"/>
        </w:rPr>
        <w:t xml:space="preserve"> внимание администраций к </w:t>
      </w:r>
      <w:r w:rsidR="00A6177E">
        <w:rPr>
          <w:lang w:val="ru-RU" w:eastAsia="zh-CN"/>
        </w:rPr>
        <w:t xml:space="preserve">этим </w:t>
      </w:r>
      <w:r>
        <w:rPr>
          <w:lang w:val="ru-RU" w:eastAsia="zh-CN"/>
        </w:rPr>
        <w:t>конкретным определенным решениям</w:t>
      </w:r>
      <w:r w:rsidR="00D5799C">
        <w:rPr>
          <w:lang w:val="ru-RU" w:eastAsia="zh-CN"/>
        </w:rPr>
        <w:t>.</w:t>
      </w:r>
    </w:p>
    <w:p w:rsidR="00AF676F" w:rsidRPr="00671762" w:rsidRDefault="00671762" w:rsidP="008E0203">
      <w:pPr>
        <w:rPr>
          <w:lang w:val="ru-RU"/>
        </w:rPr>
      </w:pPr>
      <w:r>
        <w:rPr>
          <w:lang w:val="ru-RU" w:eastAsia="zh-CN"/>
        </w:rPr>
        <w:t xml:space="preserve">Перечень </w:t>
      </w:r>
      <w:r w:rsidR="008E0203">
        <w:rPr>
          <w:lang w:val="ru-RU" w:eastAsia="zh-CN"/>
        </w:rPr>
        <w:t>указанных</w:t>
      </w:r>
      <w:r>
        <w:rPr>
          <w:lang w:val="ru-RU" w:eastAsia="zh-CN"/>
        </w:rPr>
        <w:t xml:space="preserve"> решений содержится в Приложении к настоящему письму.</w:t>
      </w:r>
    </w:p>
    <w:p w:rsidR="00AF676F" w:rsidRDefault="00AF676F" w:rsidP="00723A1E">
      <w:pPr>
        <w:spacing w:before="1080"/>
        <w:jc w:val="left"/>
        <w:rPr>
          <w:lang w:val="ru-RU"/>
        </w:rPr>
      </w:pPr>
      <w:r w:rsidRPr="00384FFC">
        <w:rPr>
          <w:lang w:val="ru-RU"/>
        </w:rPr>
        <w:t>Франсуа Ранси</w:t>
      </w:r>
      <w:r w:rsidRPr="00384FFC">
        <w:rPr>
          <w:lang w:val="ru-RU"/>
        </w:rPr>
        <w:br/>
        <w:t>Директор</w:t>
      </w:r>
    </w:p>
    <w:p w:rsidR="00384FFC" w:rsidRPr="00384FFC" w:rsidRDefault="00384FFC" w:rsidP="00384FFC">
      <w:pPr>
        <w:spacing w:before="720"/>
        <w:jc w:val="left"/>
        <w:rPr>
          <w:lang w:val="ru-RU"/>
        </w:rPr>
      </w:pPr>
      <w:r>
        <w:rPr>
          <w:lang w:val="ru-RU"/>
        </w:rPr>
        <w:t>Приложение</w:t>
      </w:r>
    </w:p>
    <w:p w:rsidR="00AF676F" w:rsidRPr="00384FFC" w:rsidRDefault="00AF676F" w:rsidP="00D5799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000"/>
        <w:rPr>
          <w:sz w:val="18"/>
          <w:szCs w:val="18"/>
          <w:lang w:val="ru-RU"/>
        </w:rPr>
      </w:pPr>
      <w:r w:rsidRPr="00384FFC">
        <w:rPr>
          <w:bCs/>
          <w:sz w:val="18"/>
          <w:szCs w:val="18"/>
          <w:u w:val="single"/>
          <w:lang w:val="ru-RU"/>
        </w:rPr>
        <w:t>Рассылка</w:t>
      </w:r>
      <w:r w:rsidRPr="00384FFC">
        <w:rPr>
          <w:bCs/>
          <w:sz w:val="18"/>
          <w:szCs w:val="18"/>
          <w:lang w:val="ru-RU"/>
        </w:rPr>
        <w:t>:</w:t>
      </w:r>
    </w:p>
    <w:p w:rsidR="00AF676F" w:rsidRPr="00384FFC" w:rsidRDefault="00AF676F" w:rsidP="00AF676F">
      <w:pPr>
        <w:tabs>
          <w:tab w:val="num" w:pos="2588"/>
        </w:tabs>
        <w:overflowPunct/>
        <w:autoSpaceDE/>
        <w:adjustRightInd/>
        <w:spacing w:before="60"/>
        <w:ind w:left="284" w:hanging="284"/>
        <w:textAlignment w:val="auto"/>
        <w:rPr>
          <w:sz w:val="18"/>
          <w:szCs w:val="18"/>
          <w:lang w:val="ru-RU"/>
        </w:rPr>
      </w:pPr>
      <w:r w:rsidRPr="00384FFC">
        <w:rPr>
          <w:sz w:val="18"/>
          <w:szCs w:val="18"/>
          <w:lang w:val="ru-RU"/>
        </w:rPr>
        <w:t>−</w:t>
      </w:r>
      <w:r w:rsidRPr="00384FFC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723A1E" w:rsidRPr="00384FFC" w:rsidRDefault="00AF676F" w:rsidP="00384FFC">
      <w:pPr>
        <w:tabs>
          <w:tab w:val="num" w:pos="2588"/>
        </w:tabs>
        <w:overflowPunct/>
        <w:autoSpaceDE/>
        <w:adjustRightInd/>
        <w:spacing w:before="0"/>
        <w:ind w:left="284" w:hanging="284"/>
        <w:textAlignment w:val="auto"/>
        <w:rPr>
          <w:sz w:val="18"/>
          <w:szCs w:val="18"/>
          <w:lang w:val="ru-RU"/>
        </w:rPr>
      </w:pPr>
      <w:bookmarkStart w:id="0" w:name="_GoBack"/>
      <w:r w:rsidRPr="00384FFC">
        <w:rPr>
          <w:sz w:val="18"/>
          <w:szCs w:val="18"/>
          <w:lang w:val="ru-RU"/>
        </w:rPr>
        <w:lastRenderedPageBreak/>
        <w:t>−</w:t>
      </w:r>
      <w:r w:rsidRPr="00384FF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23A1E" w:rsidRPr="00384FFC" w:rsidRDefault="00723A1E" w:rsidP="00AF676F">
      <w:pPr>
        <w:tabs>
          <w:tab w:val="num" w:pos="2588"/>
        </w:tabs>
        <w:overflowPunct/>
        <w:autoSpaceDE/>
        <w:adjustRightInd/>
        <w:spacing w:before="0"/>
        <w:ind w:left="284" w:hanging="284"/>
        <w:textAlignment w:val="auto"/>
        <w:rPr>
          <w:sz w:val="18"/>
          <w:szCs w:val="18"/>
          <w:lang w:val="ru-RU"/>
        </w:rPr>
        <w:sectPr w:rsidR="00723A1E" w:rsidRPr="00384FFC" w:rsidSect="00D579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bookmarkEnd w:id="0"/>
    <w:p w:rsidR="00D5799C" w:rsidRDefault="00D5799C" w:rsidP="00D5799C">
      <w:pPr>
        <w:pStyle w:val="AnnexNo"/>
        <w:spacing w:before="0"/>
      </w:pPr>
      <w:r>
        <w:lastRenderedPageBreak/>
        <w:t>ПРИЛОЖЕНИЕ</w:t>
      </w:r>
    </w:p>
    <w:p w:rsidR="006644C6" w:rsidRPr="00384FFC" w:rsidRDefault="006644C6" w:rsidP="00D5799C">
      <w:pPr>
        <w:pStyle w:val="Annextitle"/>
      </w:pPr>
      <w:r w:rsidRPr="00384FFC">
        <w:t>Сводка решений ВКР, не отраженных в Регламенте радиосвязи</w:t>
      </w:r>
    </w:p>
    <w:tbl>
      <w:tblPr>
        <w:tblStyle w:val="TableGrid"/>
        <w:tblW w:w="5000" w:type="pct"/>
        <w:tblInd w:w="2" w:type="dxa"/>
        <w:tblLayout w:type="fixed"/>
        <w:tblLook w:val="0420" w:firstRow="1" w:lastRow="0" w:firstColumn="0" w:lastColumn="0" w:noHBand="0" w:noVBand="1"/>
      </w:tblPr>
      <w:tblGrid>
        <w:gridCol w:w="559"/>
        <w:gridCol w:w="1278"/>
        <w:gridCol w:w="1700"/>
        <w:gridCol w:w="8387"/>
        <w:gridCol w:w="2632"/>
      </w:tblGrid>
      <w:tr w:rsidR="000E74BE" w:rsidRPr="00384FFC" w:rsidTr="00384FFC">
        <w:trPr>
          <w:tblHeader/>
        </w:trPr>
        <w:tc>
          <w:tcPr>
            <w:tcW w:w="192" w:type="pct"/>
            <w:vAlign w:val="center"/>
          </w:tcPr>
          <w:p w:rsidR="000E74BE" w:rsidRPr="00384FFC" w:rsidRDefault="000E74BE" w:rsidP="00384FF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Cs w:val="20"/>
                <w:lang w:val="ru-RU"/>
              </w:rPr>
            </w:pPr>
          </w:p>
        </w:tc>
        <w:tc>
          <w:tcPr>
            <w:tcW w:w="439" w:type="pct"/>
            <w:vAlign w:val="center"/>
          </w:tcPr>
          <w:p w:rsidR="000E74BE" w:rsidRPr="00384FFC" w:rsidRDefault="000E74BE" w:rsidP="00384FF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Cs w:val="20"/>
                <w:lang w:val="ru-RU"/>
              </w:rPr>
            </w:pPr>
            <w:r w:rsidRPr="00384FFC">
              <w:rPr>
                <w:szCs w:val="20"/>
                <w:lang w:val="ru-RU"/>
              </w:rPr>
              <w:t>ВКР</w:t>
            </w:r>
          </w:p>
        </w:tc>
        <w:tc>
          <w:tcPr>
            <w:tcW w:w="584" w:type="pct"/>
            <w:vAlign w:val="center"/>
          </w:tcPr>
          <w:p w:rsidR="000E74BE" w:rsidRPr="00384FFC" w:rsidRDefault="000E74BE" w:rsidP="00384FF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Cs w:val="20"/>
                <w:lang w:val="ru-RU"/>
              </w:rPr>
            </w:pPr>
            <w:r w:rsidRPr="00384FFC">
              <w:rPr>
                <w:szCs w:val="20"/>
                <w:lang w:val="ru-RU"/>
              </w:rPr>
              <w:t>Основание</w:t>
            </w:r>
          </w:p>
        </w:tc>
        <w:tc>
          <w:tcPr>
            <w:tcW w:w="2881" w:type="pct"/>
            <w:vAlign w:val="center"/>
          </w:tcPr>
          <w:p w:rsidR="000E74BE" w:rsidRPr="00384FFC" w:rsidRDefault="000E74BE" w:rsidP="00384FF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Cs w:val="20"/>
                <w:lang w:val="ru-RU"/>
              </w:rPr>
            </w:pPr>
            <w:r w:rsidRPr="00384FFC">
              <w:rPr>
                <w:szCs w:val="20"/>
                <w:lang w:val="ru-RU"/>
              </w:rPr>
              <w:t>Решение</w:t>
            </w:r>
          </w:p>
        </w:tc>
        <w:tc>
          <w:tcPr>
            <w:tcW w:w="904" w:type="pct"/>
            <w:vAlign w:val="center"/>
          </w:tcPr>
          <w:p w:rsidR="000E74BE" w:rsidRPr="00384FFC" w:rsidRDefault="00D5799C" w:rsidP="00384FF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Примечание</w:t>
            </w:r>
          </w:p>
        </w:tc>
      </w:tr>
      <w:tr w:rsidR="000E74BE" w:rsidRPr="00A170CA" w:rsidTr="00384FFC">
        <w:tc>
          <w:tcPr>
            <w:tcW w:w="192" w:type="pct"/>
          </w:tcPr>
          <w:p w:rsidR="000E74BE" w:rsidRPr="00A170CA" w:rsidRDefault="000E74BE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16</w:t>
            </w:r>
          </w:p>
        </w:tc>
        <w:tc>
          <w:tcPr>
            <w:tcW w:w="439" w:type="pct"/>
          </w:tcPr>
          <w:p w:rsidR="000E74BE" w:rsidRPr="00A170CA" w:rsidRDefault="000E74BE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ВКР-03</w:t>
            </w:r>
          </w:p>
        </w:tc>
        <w:tc>
          <w:tcPr>
            <w:tcW w:w="584" w:type="pct"/>
          </w:tcPr>
          <w:p w:rsidR="000E74BE" w:rsidRPr="00A170CA" w:rsidRDefault="000E74BE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14</w:t>
            </w:r>
            <w:r w:rsidRPr="00A170CA">
              <w:rPr>
                <w:rFonts w:eastAsia="Malgun Gothic"/>
                <w:sz w:val="22"/>
                <w:lang w:val="ru-RU" w:eastAsia="ko-KR"/>
              </w:rPr>
              <w:t>-е пленарное заседание</w:t>
            </w:r>
          </w:p>
          <w:p w:rsidR="000E74BE" w:rsidRPr="00A170CA" w:rsidRDefault="00A170CA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rStyle w:val="Hyperlink"/>
                <w:sz w:val="22"/>
                <w:lang w:val="ru-RU"/>
              </w:rPr>
            </w:pPr>
            <w:hyperlink r:id="rId15" w:history="1">
              <w:r w:rsidR="000E74BE" w:rsidRPr="00A170CA">
                <w:rPr>
                  <w:rStyle w:val="Hyperlink"/>
                  <w:sz w:val="22"/>
                  <w:lang w:val="ru-RU"/>
                </w:rPr>
                <w:t>Док. 410</w:t>
              </w:r>
            </w:hyperlink>
          </w:p>
        </w:tc>
        <w:tc>
          <w:tcPr>
            <w:tcW w:w="2881" w:type="pct"/>
          </w:tcPr>
          <w:p w:rsidR="000E74BE" w:rsidRPr="00A170CA" w:rsidRDefault="000E74BE" w:rsidP="00A170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jc w:val="both"/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При применении Резолюции </w:t>
            </w:r>
            <w:r w:rsidRPr="00A170CA">
              <w:rPr>
                <w:b/>
                <w:bCs/>
                <w:sz w:val="22"/>
                <w:lang w:val="ru-RU"/>
              </w:rPr>
              <w:t>539 (Пересм. ВКР-03)</w:t>
            </w:r>
            <w:r w:rsidRPr="00A170CA">
              <w:rPr>
                <w:sz w:val="22"/>
                <w:lang w:val="ru-RU"/>
              </w:rPr>
              <w:t xml:space="preserve">, когда заявляющая администрация должна добиваться согласия затронутой администрации в соответствии с первым подпунктом пункта 1 раздела </w:t>
            </w:r>
            <w:r w:rsidRPr="00A170CA">
              <w:rPr>
                <w:i/>
                <w:iCs/>
                <w:sz w:val="22"/>
                <w:lang w:val="ru-RU"/>
              </w:rPr>
              <w:t xml:space="preserve">поручает Бюро радиосвязи </w:t>
            </w:r>
            <w:r w:rsidRPr="00A170CA">
              <w:rPr>
                <w:sz w:val="22"/>
                <w:lang w:val="ru-RU"/>
              </w:rPr>
              <w:t>и заявляющая администрация не получает ответа на просьбу о согласии от затронутой администрации, эта администрация может просить о помощи Бюро. Если не</w:t>
            </w:r>
            <w:r w:rsidR="00D5799C" w:rsidRPr="00A170CA">
              <w:rPr>
                <w:sz w:val="22"/>
                <w:lang w:val="ru-RU"/>
              </w:rPr>
              <w:t>смотря на оказанную Бюро помощь</w:t>
            </w:r>
            <w:r w:rsidRPr="00A170CA">
              <w:rPr>
                <w:sz w:val="22"/>
                <w:lang w:val="ru-RU"/>
              </w:rPr>
              <w:t xml:space="preserve"> затронутая администрация по-прежнему не отвечает, это следует рассматривать как согласие администрации на превышение плотности потока мощности на территории ее страны.</w:t>
            </w:r>
          </w:p>
        </w:tc>
        <w:tc>
          <w:tcPr>
            <w:tcW w:w="904" w:type="pct"/>
          </w:tcPr>
          <w:p w:rsidR="000E74BE" w:rsidRPr="00A170CA" w:rsidRDefault="000E74BE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</w:p>
        </w:tc>
      </w:tr>
      <w:tr w:rsidR="007B5A2D" w:rsidRPr="00A170CA" w:rsidTr="00384FFC">
        <w:tc>
          <w:tcPr>
            <w:tcW w:w="192" w:type="pct"/>
            <w:tcBorders>
              <w:bottom w:val="single" w:sz="4" w:space="0" w:color="auto"/>
            </w:tcBorders>
          </w:tcPr>
          <w:p w:rsidR="007B5A2D" w:rsidRPr="00A170CA" w:rsidRDefault="007B5A2D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1</w:t>
            </w:r>
            <w:r w:rsidR="00384FFC" w:rsidRPr="00A170CA">
              <w:rPr>
                <w:sz w:val="22"/>
                <w:lang w:val="ru-RU"/>
              </w:rPr>
              <w:t>7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7B5A2D" w:rsidRPr="00A170CA" w:rsidRDefault="007B5A2D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ВКР-03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7B5A2D" w:rsidRPr="00A170CA" w:rsidRDefault="007B5A2D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14</w:t>
            </w:r>
            <w:r w:rsidRPr="00A170CA">
              <w:rPr>
                <w:rFonts w:eastAsia="Malgun Gothic"/>
                <w:sz w:val="22"/>
                <w:lang w:val="ru-RU"/>
              </w:rPr>
              <w:t>-е пленарное заседание</w:t>
            </w:r>
          </w:p>
          <w:p w:rsidR="007B5A2D" w:rsidRPr="00A170CA" w:rsidRDefault="00A170CA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rStyle w:val="Hyperlink"/>
                <w:sz w:val="22"/>
                <w:lang w:val="ru-RU"/>
              </w:rPr>
            </w:pPr>
            <w:hyperlink r:id="rId16" w:history="1">
              <w:r w:rsidR="007B5A2D" w:rsidRPr="00A170CA">
                <w:rPr>
                  <w:rStyle w:val="Hyperlink"/>
                  <w:sz w:val="22"/>
                  <w:lang w:val="ru-RU"/>
                </w:rPr>
                <w:t>Док. 410</w:t>
              </w:r>
            </w:hyperlink>
            <w:r w:rsidR="007B5A2D" w:rsidRPr="00A170CA">
              <w:rPr>
                <w:sz w:val="22"/>
                <w:lang w:val="ru-RU"/>
              </w:rPr>
              <w:br/>
            </w:r>
            <w:hyperlink r:id="rId17" w:history="1">
              <w:r w:rsidR="007B5A2D" w:rsidRPr="00A170CA">
                <w:rPr>
                  <w:rStyle w:val="Hyperlink"/>
                  <w:sz w:val="22"/>
                  <w:lang w:val="ru-RU"/>
                </w:rPr>
                <w:t>Док. 370</w:t>
              </w:r>
            </w:hyperlink>
          </w:p>
        </w:tc>
        <w:tc>
          <w:tcPr>
            <w:tcW w:w="2881" w:type="pct"/>
            <w:tcBorders>
              <w:bottom w:val="single" w:sz="4" w:space="0" w:color="auto"/>
            </w:tcBorders>
          </w:tcPr>
          <w:p w:rsidR="007B5A2D" w:rsidRPr="00A170CA" w:rsidRDefault="007B5A2D" w:rsidP="00A170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jc w:val="both"/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1</w:t>
            </w:r>
            <w:r w:rsidRPr="00A170CA">
              <w:rPr>
                <w:sz w:val="22"/>
                <w:lang w:val="ru-RU"/>
              </w:rPr>
              <w:tab/>
            </w:r>
            <w:r w:rsidR="007A5600" w:rsidRPr="00A170CA">
              <w:rPr>
                <w:sz w:val="22"/>
                <w:lang w:val="ru-RU"/>
              </w:rPr>
              <w:t>При применении примечани</w:t>
            </w:r>
            <w:r w:rsidR="00502F03" w:rsidRPr="00A170CA">
              <w:rPr>
                <w:sz w:val="22"/>
                <w:lang w:val="ru-RU"/>
              </w:rPr>
              <w:t>й</w:t>
            </w:r>
            <w:r w:rsidR="007A5600" w:rsidRPr="00A170CA">
              <w:rPr>
                <w:sz w:val="22"/>
                <w:lang w:val="ru-RU"/>
              </w:rPr>
              <w:t xml:space="preserve"> </w:t>
            </w:r>
            <w:r w:rsidRPr="00A170CA">
              <w:rPr>
                <w:sz w:val="22"/>
                <w:lang w:val="ru-RU"/>
              </w:rPr>
              <w:t>4</w:t>
            </w:r>
            <w:r w:rsidRPr="00A170CA">
              <w:rPr>
                <w:i/>
                <w:iCs/>
                <w:sz w:val="22"/>
              </w:rPr>
              <w:t>bis</w:t>
            </w:r>
            <w:r w:rsidRPr="00A170CA">
              <w:rPr>
                <w:sz w:val="22"/>
                <w:lang w:val="ru-RU"/>
              </w:rPr>
              <w:t xml:space="preserve"> и 8</w:t>
            </w:r>
            <w:r w:rsidRPr="00A170CA">
              <w:rPr>
                <w:i/>
                <w:iCs/>
                <w:sz w:val="22"/>
              </w:rPr>
              <w:t>bis</w:t>
            </w:r>
            <w:r w:rsidRPr="00A170CA">
              <w:rPr>
                <w:i/>
                <w:iCs/>
                <w:sz w:val="22"/>
                <w:lang w:val="ru-RU"/>
              </w:rPr>
              <w:t xml:space="preserve"> </w:t>
            </w:r>
            <w:r w:rsidRPr="00A170CA">
              <w:rPr>
                <w:sz w:val="22"/>
                <w:lang w:val="ru-RU"/>
              </w:rPr>
              <w:t>(</w:t>
            </w:r>
            <w:r w:rsidR="007A5600" w:rsidRPr="00A170CA">
              <w:rPr>
                <w:sz w:val="22"/>
                <w:lang w:val="ru-RU"/>
              </w:rPr>
              <w:t>в настоящее время</w:t>
            </w:r>
            <w:r w:rsidR="007A5600" w:rsidRPr="00A170CA">
              <w:rPr>
                <w:sz w:val="22"/>
              </w:rPr>
              <w:t> </w:t>
            </w:r>
            <w:r w:rsidRPr="00A170CA">
              <w:rPr>
                <w:sz w:val="22"/>
                <w:lang w:val="ru-RU"/>
              </w:rPr>
              <w:t>5 и 14)</w:t>
            </w:r>
            <w:r w:rsidR="007A5600" w:rsidRPr="00A170CA">
              <w:rPr>
                <w:sz w:val="22"/>
                <w:lang w:val="ru-RU"/>
              </w:rPr>
              <w:t>, добавленных</w:t>
            </w:r>
            <w:r w:rsidRPr="00A170CA">
              <w:rPr>
                <w:sz w:val="22"/>
                <w:lang w:val="ru-RU"/>
              </w:rPr>
              <w:t xml:space="preserve"> </w:t>
            </w:r>
            <w:r w:rsidR="007A5600" w:rsidRPr="00A170CA">
              <w:rPr>
                <w:sz w:val="22"/>
                <w:lang w:val="ru-RU"/>
              </w:rPr>
              <w:t>к</w:t>
            </w:r>
            <w:r w:rsidRPr="00A170CA">
              <w:rPr>
                <w:sz w:val="22"/>
                <w:lang w:val="ru-RU"/>
              </w:rPr>
              <w:t xml:space="preserve"> </w:t>
            </w:r>
            <w:r w:rsidR="00D5799C" w:rsidRPr="00A170CA">
              <w:rPr>
                <w:sz w:val="22"/>
                <w:lang w:val="ru-RU"/>
              </w:rPr>
              <w:t>§</w:t>
            </w:r>
            <w:r w:rsidRPr="00A170CA">
              <w:rPr>
                <w:sz w:val="22"/>
                <w:lang w:val="ru-RU"/>
              </w:rPr>
              <w:t>§</w:t>
            </w:r>
            <w:r w:rsidR="007A5600" w:rsidRPr="00A170CA">
              <w:rPr>
                <w:sz w:val="22"/>
              </w:rPr>
              <w:t> </w:t>
            </w:r>
            <w:r w:rsidRPr="00A170CA">
              <w:rPr>
                <w:sz w:val="22"/>
                <w:lang w:val="ru-RU"/>
              </w:rPr>
              <w:t xml:space="preserve">4.1.1 и 4.2.2 </w:t>
            </w:r>
            <w:r w:rsidR="0092023B" w:rsidRPr="00A170CA">
              <w:rPr>
                <w:sz w:val="22"/>
                <w:lang w:val="ru-RU"/>
              </w:rPr>
              <w:t>Приложения</w:t>
            </w:r>
            <w:r w:rsidR="0092023B" w:rsidRPr="00A170CA">
              <w:rPr>
                <w:sz w:val="22"/>
              </w:rPr>
              <w:t> </w:t>
            </w:r>
            <w:r w:rsidRPr="00A170CA">
              <w:rPr>
                <w:b/>
                <w:bCs/>
                <w:sz w:val="22"/>
                <w:lang w:val="ru-RU"/>
              </w:rPr>
              <w:t>30</w:t>
            </w:r>
            <w:r w:rsidRPr="00A170CA">
              <w:rPr>
                <w:b/>
                <w:bCs/>
                <w:sz w:val="22"/>
              </w:rPr>
              <w:t>A</w:t>
            </w:r>
            <w:r w:rsidR="0092023B" w:rsidRPr="00A170CA">
              <w:rPr>
                <w:sz w:val="22"/>
                <w:lang w:val="ru-RU"/>
              </w:rPr>
              <w:t>, соответственно</w:t>
            </w:r>
            <w:r w:rsidRPr="00A170CA">
              <w:rPr>
                <w:sz w:val="22"/>
                <w:lang w:val="ru-RU"/>
              </w:rPr>
              <w:t xml:space="preserve">, </w:t>
            </w:r>
            <w:r w:rsidR="007A5600" w:rsidRPr="00A170CA">
              <w:rPr>
                <w:sz w:val="22"/>
                <w:lang w:val="ru-RU"/>
              </w:rPr>
              <w:t xml:space="preserve">проведение координации согласно </w:t>
            </w:r>
            <w:r w:rsidRPr="00A170CA">
              <w:rPr>
                <w:sz w:val="22"/>
                <w:lang w:val="ru-RU"/>
              </w:rPr>
              <w:t>п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 xml:space="preserve">9.17 </w:t>
            </w:r>
            <w:r w:rsidRPr="00A170CA">
              <w:rPr>
                <w:sz w:val="22"/>
                <w:lang w:val="ru-RU"/>
              </w:rPr>
              <w:t xml:space="preserve">и </w:t>
            </w:r>
            <w:r w:rsidRPr="00A170CA">
              <w:rPr>
                <w:b/>
                <w:bCs/>
                <w:sz w:val="22"/>
                <w:lang w:val="ru-RU"/>
              </w:rPr>
              <w:t>9.17</w:t>
            </w:r>
            <w:r w:rsidRPr="00A170CA">
              <w:rPr>
                <w:b/>
                <w:bCs/>
                <w:sz w:val="22"/>
              </w:rPr>
              <w:t>A</w:t>
            </w:r>
            <w:r w:rsidRPr="00A170CA">
              <w:rPr>
                <w:sz w:val="22"/>
                <w:lang w:val="ru-RU"/>
              </w:rPr>
              <w:t xml:space="preserve"> </w:t>
            </w:r>
            <w:r w:rsidR="007A5600" w:rsidRPr="00A170CA">
              <w:rPr>
                <w:sz w:val="22"/>
                <w:lang w:val="ru-RU"/>
              </w:rPr>
              <w:t>требуется, если координационная зона земной станции фидерной линии выходит за пределы координационной зоны земной станции фидерной линии</w:t>
            </w:r>
            <w:r w:rsidR="00C122EA" w:rsidRPr="00A170CA">
              <w:rPr>
                <w:sz w:val="22"/>
                <w:lang w:val="ru-RU"/>
              </w:rPr>
              <w:t>, связанной со спутниковой сетью, скоординированной в соответствии с бывшими</w:t>
            </w:r>
            <w:r w:rsidRPr="00A170CA">
              <w:rPr>
                <w:sz w:val="22"/>
                <w:lang w:val="ru-RU"/>
              </w:rPr>
              <w:t xml:space="preserve"> §§ 4.2.1.2, 4.2.1.3, 4.2.3.2 и 4.2.3.3 </w:t>
            </w:r>
            <w:r w:rsidR="0092023B" w:rsidRPr="00A170CA">
              <w:rPr>
                <w:sz w:val="22"/>
                <w:lang w:val="ru-RU"/>
              </w:rPr>
              <w:t>Приложения</w:t>
            </w:r>
            <w:r w:rsidR="0092023B" w:rsidRPr="00A170CA">
              <w:rPr>
                <w:sz w:val="22"/>
              </w:rPr>
              <w:t> </w:t>
            </w:r>
            <w:r w:rsidRPr="00A170CA">
              <w:rPr>
                <w:b/>
                <w:bCs/>
                <w:sz w:val="22"/>
                <w:lang w:val="ru-RU"/>
              </w:rPr>
              <w:t>30</w:t>
            </w:r>
            <w:r w:rsidRPr="00A170CA">
              <w:rPr>
                <w:b/>
                <w:bCs/>
                <w:sz w:val="22"/>
              </w:rPr>
              <w:t>A</w:t>
            </w:r>
            <w:r w:rsidRPr="00A170CA">
              <w:rPr>
                <w:sz w:val="22"/>
                <w:lang w:val="ru-RU"/>
              </w:rPr>
              <w:t xml:space="preserve"> (</w:t>
            </w:r>
            <w:r w:rsidR="00D51D00" w:rsidRPr="00A170CA">
              <w:rPr>
                <w:sz w:val="22"/>
                <w:lang w:val="ru-RU"/>
              </w:rPr>
              <w:t>ВКР</w:t>
            </w:r>
            <w:r w:rsidRPr="00A170CA">
              <w:rPr>
                <w:sz w:val="22"/>
                <w:lang w:val="ru-RU"/>
              </w:rPr>
              <w:t>-97).</w:t>
            </w:r>
          </w:p>
          <w:p w:rsidR="007B5A2D" w:rsidRPr="00A170CA" w:rsidRDefault="007B5A2D" w:rsidP="00A170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jc w:val="both"/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2</w:t>
            </w:r>
            <w:r w:rsidRPr="00A170CA">
              <w:rPr>
                <w:sz w:val="22"/>
                <w:lang w:val="ru-RU"/>
              </w:rPr>
              <w:tab/>
            </w:r>
            <w:r w:rsidR="00520973" w:rsidRPr="00A170CA">
              <w:rPr>
                <w:sz w:val="22"/>
                <w:lang w:val="ru-RU"/>
              </w:rPr>
              <w:t xml:space="preserve">Методика, используемая для рассмотрения в отношении четвертого и пятого пунктов </w:t>
            </w:r>
            <w:r w:rsidRPr="00A170CA">
              <w:rPr>
                <w:sz w:val="22"/>
                <w:lang w:val="ru-RU"/>
              </w:rPr>
              <w:t>§</w:t>
            </w:r>
            <w:r w:rsidRPr="00A170CA">
              <w:rPr>
                <w:sz w:val="22"/>
              </w:rPr>
              <w:t> </w:t>
            </w:r>
            <w:r w:rsidRPr="00A170CA">
              <w:rPr>
                <w:sz w:val="22"/>
                <w:lang w:val="ru-RU"/>
              </w:rPr>
              <w:t>5.2.1</w:t>
            </w:r>
            <w:r w:rsidRPr="00A170CA">
              <w:rPr>
                <w:sz w:val="22"/>
              </w:rPr>
              <w:t> d</w:t>
            </w:r>
            <w:r w:rsidRPr="00A170CA">
              <w:rPr>
                <w:sz w:val="22"/>
                <w:lang w:val="ru-RU"/>
              </w:rPr>
              <w:t xml:space="preserve">) </w:t>
            </w:r>
            <w:r w:rsidR="00D51D00" w:rsidRPr="00A170CA">
              <w:rPr>
                <w:sz w:val="22"/>
                <w:lang w:val="ru-RU"/>
              </w:rPr>
              <w:t>Приложений</w:t>
            </w:r>
            <w:r w:rsidRPr="00A170CA">
              <w:rPr>
                <w:sz w:val="22"/>
                <w:lang w:val="ru-RU"/>
              </w:rPr>
              <w:t xml:space="preserve"> </w:t>
            </w:r>
            <w:r w:rsidRPr="00A170CA">
              <w:rPr>
                <w:b/>
                <w:bCs/>
                <w:sz w:val="22"/>
                <w:lang w:val="ru-RU"/>
              </w:rPr>
              <w:t>30</w:t>
            </w:r>
            <w:r w:rsidRPr="00A170CA">
              <w:rPr>
                <w:sz w:val="22"/>
                <w:lang w:val="ru-RU"/>
              </w:rPr>
              <w:t xml:space="preserve"> и </w:t>
            </w:r>
            <w:r w:rsidRPr="00A170CA">
              <w:rPr>
                <w:b/>
                <w:bCs/>
                <w:sz w:val="22"/>
                <w:lang w:val="ru-RU"/>
              </w:rPr>
              <w:t>30</w:t>
            </w:r>
            <w:r w:rsidRPr="00A170CA">
              <w:rPr>
                <w:b/>
                <w:bCs/>
                <w:sz w:val="22"/>
              </w:rPr>
              <w:t>A</w:t>
            </w:r>
            <w:r w:rsidRPr="00A170CA">
              <w:rPr>
                <w:sz w:val="22"/>
                <w:lang w:val="ru-RU"/>
              </w:rPr>
              <w:t xml:space="preserve">, соответственно, </w:t>
            </w:r>
            <w:r w:rsidR="008A0E45" w:rsidRPr="00A170CA">
              <w:rPr>
                <w:sz w:val="22"/>
                <w:lang w:val="ru-RU"/>
              </w:rPr>
              <w:t>должна быть той же, что и методика, используемая для присвоений РСС и связанных с ней фидерных линий</w:t>
            </w:r>
            <w:r w:rsidRPr="00A170CA">
              <w:rPr>
                <w:sz w:val="22"/>
                <w:lang w:val="ru-RU"/>
              </w:rPr>
              <w:t>.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7B5A2D" w:rsidRPr="00A170CA" w:rsidRDefault="007B5A2D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</w:p>
        </w:tc>
      </w:tr>
      <w:tr w:rsidR="007B5A2D" w:rsidRPr="00A170CA" w:rsidTr="00384FFC">
        <w:tc>
          <w:tcPr>
            <w:tcW w:w="192" w:type="pct"/>
          </w:tcPr>
          <w:p w:rsidR="007B5A2D" w:rsidRPr="00A170CA" w:rsidRDefault="007B5A2D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22</w:t>
            </w:r>
          </w:p>
        </w:tc>
        <w:tc>
          <w:tcPr>
            <w:tcW w:w="439" w:type="pct"/>
          </w:tcPr>
          <w:p w:rsidR="007B5A2D" w:rsidRPr="00A170CA" w:rsidRDefault="007B5A2D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ВКР-07</w:t>
            </w:r>
          </w:p>
        </w:tc>
        <w:tc>
          <w:tcPr>
            <w:tcW w:w="584" w:type="pct"/>
          </w:tcPr>
          <w:p w:rsidR="007B5A2D" w:rsidRPr="00A170CA" w:rsidRDefault="007B5A2D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10</w:t>
            </w:r>
            <w:r w:rsidRPr="00A170CA">
              <w:rPr>
                <w:rFonts w:eastAsia="Malgun Gothic"/>
                <w:sz w:val="22"/>
                <w:lang w:val="ru-RU"/>
              </w:rPr>
              <w:t>-е пленарное заседание</w:t>
            </w:r>
          </w:p>
          <w:p w:rsidR="007B5A2D" w:rsidRPr="00A170CA" w:rsidRDefault="00A170CA" w:rsidP="00D5799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hyperlink r:id="rId18" w:history="1">
              <w:r w:rsidR="007B5A2D" w:rsidRPr="00A170CA">
                <w:rPr>
                  <w:rStyle w:val="Hyperlink"/>
                  <w:sz w:val="22"/>
                  <w:lang w:val="ru-RU"/>
                </w:rPr>
                <w:t>Док. 432</w:t>
              </w:r>
            </w:hyperlink>
            <w:r w:rsidR="007B5A2D" w:rsidRPr="00A170CA">
              <w:rPr>
                <w:sz w:val="22"/>
                <w:lang w:val="ru-RU"/>
              </w:rPr>
              <w:br/>
            </w:r>
            <w:hyperlink r:id="rId19" w:history="1">
              <w:r w:rsidR="007B5A2D" w:rsidRPr="00A170CA">
                <w:rPr>
                  <w:rStyle w:val="Hyperlink"/>
                  <w:sz w:val="22"/>
                  <w:lang w:val="ru-RU"/>
                </w:rPr>
                <w:t>Док. 378</w:t>
              </w:r>
            </w:hyperlink>
            <w:r w:rsidR="007B5A2D" w:rsidRPr="00A170CA">
              <w:rPr>
                <w:sz w:val="22"/>
                <w:lang w:val="ru-RU"/>
              </w:rPr>
              <w:br/>
            </w:r>
            <w:hyperlink r:id="rId20" w:history="1">
              <w:r w:rsidR="0097435F" w:rsidRPr="00A170CA">
                <w:rPr>
                  <w:rStyle w:val="Hyperlink"/>
                  <w:sz w:val="22"/>
                  <w:lang w:val="ru-RU"/>
                </w:rPr>
                <w:t>Дополнительный документ </w:t>
              </w:r>
              <w:r w:rsidR="007B5A2D" w:rsidRPr="00A170CA">
                <w:rPr>
                  <w:rStyle w:val="Hyperlink"/>
                  <w:sz w:val="22"/>
                  <w:lang w:val="ru-RU"/>
                </w:rPr>
                <w:t>2 к</w:t>
              </w:r>
              <w:r w:rsidR="00D5799C" w:rsidRPr="00A170CA">
                <w:rPr>
                  <w:rStyle w:val="Hyperlink"/>
                  <w:sz w:val="22"/>
                  <w:lang w:val="ru-RU"/>
                </w:rPr>
                <w:t> </w:t>
              </w:r>
              <w:r w:rsidR="007B5A2D" w:rsidRPr="00A170CA">
                <w:rPr>
                  <w:rStyle w:val="Hyperlink"/>
                  <w:sz w:val="22"/>
                  <w:lang w:val="ru-RU"/>
                </w:rPr>
                <w:t>Док.</w:t>
              </w:r>
              <w:r w:rsidR="0097435F" w:rsidRPr="00A170CA">
                <w:rPr>
                  <w:rStyle w:val="Hyperlink"/>
                  <w:sz w:val="22"/>
                  <w:lang w:val="ru-RU"/>
                </w:rPr>
                <w:t> </w:t>
              </w:r>
              <w:r w:rsidR="007B5A2D" w:rsidRPr="00A170CA">
                <w:rPr>
                  <w:rStyle w:val="Hyperlink"/>
                  <w:sz w:val="22"/>
                  <w:lang w:val="ru-RU"/>
                </w:rPr>
                <w:t>4</w:t>
              </w:r>
            </w:hyperlink>
          </w:p>
        </w:tc>
        <w:tc>
          <w:tcPr>
            <w:tcW w:w="2881" w:type="pct"/>
          </w:tcPr>
          <w:p w:rsidR="007B5A2D" w:rsidRPr="00A170CA" w:rsidRDefault="00D5799C" w:rsidP="00A170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jc w:val="both"/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1</w:t>
            </w:r>
            <w:r w:rsidRPr="00A170CA">
              <w:rPr>
                <w:sz w:val="22"/>
                <w:lang w:val="ru-RU"/>
              </w:rPr>
              <w:tab/>
            </w:r>
            <w:r w:rsidR="0002358B" w:rsidRPr="00A170CA">
              <w:rPr>
                <w:sz w:val="22"/>
                <w:lang w:val="ru-RU"/>
              </w:rPr>
              <w:t>Пункты</w:t>
            </w:r>
            <w:r w:rsidR="0092023B" w:rsidRPr="00A170CA">
              <w:rPr>
                <w:sz w:val="22"/>
                <w:lang w:val="ru-RU"/>
              </w:rPr>
              <w:t xml:space="preserve"> </w:t>
            </w:r>
            <w:r w:rsidR="0092023B" w:rsidRPr="00A170CA">
              <w:rPr>
                <w:b/>
                <w:bCs/>
                <w:sz w:val="22"/>
                <w:lang w:val="ru-RU"/>
              </w:rPr>
              <w:t>5.219</w:t>
            </w:r>
            <w:r w:rsidR="0092023B" w:rsidRPr="00A170CA">
              <w:rPr>
                <w:sz w:val="22"/>
                <w:lang w:val="ru-RU"/>
              </w:rPr>
              <w:t xml:space="preserve"> и </w:t>
            </w:r>
            <w:r w:rsidR="0092023B" w:rsidRPr="00A170CA">
              <w:rPr>
                <w:b/>
                <w:bCs/>
                <w:sz w:val="22"/>
                <w:lang w:val="ru-RU"/>
              </w:rPr>
              <w:t>5.220</w:t>
            </w:r>
            <w:r w:rsidR="0002358B" w:rsidRPr="00A170CA">
              <w:rPr>
                <w:sz w:val="22"/>
                <w:lang w:val="ru-RU"/>
              </w:rPr>
              <w:t>,</w:t>
            </w:r>
            <w:r w:rsidR="0092023B" w:rsidRPr="00A170CA">
              <w:rPr>
                <w:sz w:val="22"/>
                <w:lang w:val="ru-RU"/>
              </w:rPr>
              <w:t xml:space="preserve"> формулировка "… не должна ограничивать развитие и использование…" относится к эксплуатации, и от Бюро не ожидается </w:t>
            </w:r>
            <w:r w:rsidR="0002358B" w:rsidRPr="00A170CA">
              <w:rPr>
                <w:sz w:val="22"/>
                <w:lang w:val="ru-RU"/>
              </w:rPr>
              <w:t>каких-либо</w:t>
            </w:r>
            <w:r w:rsidR="0092023B" w:rsidRPr="00A170CA">
              <w:rPr>
                <w:sz w:val="22"/>
                <w:lang w:val="ru-RU"/>
              </w:rPr>
              <w:t xml:space="preserve"> мер регламентарного характера. </w:t>
            </w:r>
            <w:r w:rsidR="0002358B" w:rsidRPr="00A170CA">
              <w:rPr>
                <w:sz w:val="22"/>
                <w:lang w:val="ru-RU"/>
              </w:rPr>
              <w:t>Пункты </w:t>
            </w:r>
            <w:r w:rsidR="0092023B" w:rsidRPr="00A170CA">
              <w:rPr>
                <w:b/>
                <w:bCs/>
                <w:sz w:val="22"/>
                <w:lang w:val="ru-RU"/>
              </w:rPr>
              <w:t>5.286С</w:t>
            </w:r>
            <w:r w:rsidR="0092023B" w:rsidRPr="00A170CA">
              <w:rPr>
                <w:sz w:val="22"/>
                <w:lang w:val="ru-RU"/>
              </w:rPr>
              <w:t xml:space="preserve">, </w:t>
            </w:r>
            <w:r w:rsidR="0092023B" w:rsidRPr="00A170CA">
              <w:rPr>
                <w:b/>
                <w:bCs/>
                <w:sz w:val="22"/>
                <w:lang w:val="ru-RU"/>
              </w:rPr>
              <w:t>5.392</w:t>
            </w:r>
            <w:r w:rsidR="0092023B" w:rsidRPr="00A170CA">
              <w:rPr>
                <w:sz w:val="22"/>
                <w:lang w:val="ru-RU"/>
              </w:rPr>
              <w:t xml:space="preserve"> и </w:t>
            </w:r>
            <w:r w:rsidR="0092023B" w:rsidRPr="00A170CA">
              <w:rPr>
                <w:b/>
                <w:bCs/>
                <w:sz w:val="22"/>
                <w:lang w:val="ru-RU"/>
              </w:rPr>
              <w:t>5.532</w:t>
            </w:r>
            <w:r w:rsidR="0092023B" w:rsidRPr="00A170CA">
              <w:rPr>
                <w:sz w:val="22"/>
                <w:lang w:val="ru-RU"/>
              </w:rPr>
              <w:t xml:space="preserve"> содержат положения эксплуатационного характера, которые не </w:t>
            </w:r>
            <w:r w:rsidR="00D043C4" w:rsidRPr="00A170CA">
              <w:rPr>
                <w:sz w:val="22"/>
                <w:lang w:val="ru-RU"/>
              </w:rPr>
              <w:t>затрагивают</w:t>
            </w:r>
            <w:r w:rsidR="0092023B" w:rsidRPr="00A170CA">
              <w:rPr>
                <w:sz w:val="22"/>
                <w:lang w:val="ru-RU"/>
              </w:rPr>
              <w:t xml:space="preserve"> регламентарный статус служб, упомянутых в этих положениях.</w:t>
            </w:r>
          </w:p>
        </w:tc>
        <w:tc>
          <w:tcPr>
            <w:tcW w:w="904" w:type="pct"/>
          </w:tcPr>
          <w:p w:rsidR="007B5A2D" w:rsidRPr="00A170CA" w:rsidRDefault="007B5A2D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</w:p>
        </w:tc>
      </w:tr>
      <w:tr w:rsidR="0092023B" w:rsidRPr="00A170CA" w:rsidTr="00384FFC">
        <w:tc>
          <w:tcPr>
            <w:tcW w:w="192" w:type="pct"/>
          </w:tcPr>
          <w:p w:rsidR="0092023B" w:rsidRPr="00A170CA" w:rsidRDefault="0092023B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27</w:t>
            </w:r>
          </w:p>
        </w:tc>
        <w:tc>
          <w:tcPr>
            <w:tcW w:w="439" w:type="pct"/>
          </w:tcPr>
          <w:p w:rsidR="0092023B" w:rsidRPr="00A170CA" w:rsidRDefault="0092023B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ВКР-12</w:t>
            </w:r>
          </w:p>
        </w:tc>
        <w:tc>
          <w:tcPr>
            <w:tcW w:w="584" w:type="pct"/>
          </w:tcPr>
          <w:p w:rsidR="0092023B" w:rsidRPr="00A170CA" w:rsidRDefault="0092023B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8</w:t>
            </w:r>
            <w:r w:rsidRPr="00A170CA">
              <w:rPr>
                <w:rFonts w:eastAsia="Malgun Gothic"/>
                <w:sz w:val="22"/>
                <w:lang w:val="ru-RU"/>
              </w:rPr>
              <w:t>-е пленарное заседание</w:t>
            </w:r>
            <w:r w:rsidRPr="00A170CA">
              <w:rPr>
                <w:sz w:val="22"/>
                <w:lang w:val="ru-RU"/>
              </w:rPr>
              <w:t xml:space="preserve"> </w:t>
            </w:r>
          </w:p>
          <w:p w:rsidR="0092023B" w:rsidRPr="00A170CA" w:rsidRDefault="00A170CA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rStyle w:val="Hyperlink"/>
                <w:sz w:val="22"/>
                <w:lang w:val="ru-RU"/>
              </w:rPr>
            </w:pPr>
            <w:hyperlink r:id="rId21" w:history="1">
              <w:r w:rsidR="0092023B" w:rsidRPr="00A170CA">
                <w:rPr>
                  <w:rStyle w:val="Hyperlink"/>
                  <w:sz w:val="22"/>
                  <w:lang w:val="ru-RU"/>
                </w:rPr>
                <w:t>Док. 549</w:t>
              </w:r>
            </w:hyperlink>
          </w:p>
        </w:tc>
        <w:tc>
          <w:tcPr>
            <w:tcW w:w="2881" w:type="pct"/>
          </w:tcPr>
          <w:p w:rsidR="0092023B" w:rsidRPr="00A170CA" w:rsidRDefault="0092023B" w:rsidP="00A170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jc w:val="both"/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 xml:space="preserve">В отношении применения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9.11A</w:t>
            </w:r>
            <w:r w:rsidRPr="00A170CA">
              <w:rPr>
                <w:sz w:val="22"/>
                <w:lang w:val="ru-RU"/>
              </w:rPr>
              <w:t xml:space="preserve"> в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5.D103</w:t>
            </w:r>
            <w:r w:rsidRPr="00A170CA">
              <w:rPr>
                <w:sz w:val="22"/>
                <w:lang w:val="ru-RU"/>
              </w:rPr>
              <w:t xml:space="preserve"> (</w:t>
            </w:r>
            <w:r w:rsidR="00F91978" w:rsidRPr="00A170CA">
              <w:rPr>
                <w:sz w:val="22"/>
                <w:lang w:val="ru-RU"/>
              </w:rPr>
              <w:t>в настоящее время</w:t>
            </w:r>
            <w:r w:rsidRPr="00A170CA">
              <w:rPr>
                <w:sz w:val="22"/>
                <w:lang w:val="ru-RU"/>
              </w:rPr>
              <w:t xml:space="preserve"> </w:t>
            </w:r>
            <w:r w:rsidRPr="00A170CA">
              <w:rPr>
                <w:b/>
                <w:bCs/>
                <w:sz w:val="22"/>
                <w:lang w:val="ru-RU"/>
              </w:rPr>
              <w:t>5.433D</w:t>
            </w:r>
            <w:r w:rsidRPr="00A170CA">
              <w:rPr>
                <w:sz w:val="22"/>
                <w:lang w:val="ru-RU"/>
              </w:rPr>
              <w:t xml:space="preserve">) и прекращения действия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9.21</w:t>
            </w:r>
            <w:r w:rsidRPr="00A170CA">
              <w:rPr>
                <w:sz w:val="22"/>
                <w:lang w:val="ru-RU"/>
              </w:rPr>
              <w:t xml:space="preserve"> в полосе частот 5030−5091</w:t>
            </w:r>
            <w:r w:rsidR="00F91978" w:rsidRPr="00A170CA">
              <w:rPr>
                <w:sz w:val="22"/>
                <w:lang w:val="ru-RU"/>
              </w:rPr>
              <w:t> </w:t>
            </w:r>
            <w:r w:rsidRPr="00A170CA">
              <w:rPr>
                <w:sz w:val="22"/>
                <w:lang w:val="ru-RU"/>
              </w:rPr>
              <w:t xml:space="preserve">МГц относительно ВПС(R)С, должна применяться следующая переходная мера. Требования координации спутниковых сетей, для которых полная информация для координации получена до </w:t>
            </w:r>
            <w:r w:rsidR="00D043C4" w:rsidRPr="00A170CA">
              <w:rPr>
                <w:sz w:val="22"/>
                <w:lang w:val="ru-RU"/>
              </w:rPr>
              <w:t>вступления в силу</w:t>
            </w:r>
            <w:r w:rsidRPr="00A170CA">
              <w:rPr>
                <w:sz w:val="22"/>
                <w:lang w:val="ru-RU"/>
              </w:rPr>
              <w:t xml:space="preserve">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5.D103</w:t>
            </w:r>
            <w:r w:rsidRPr="00A170CA">
              <w:rPr>
                <w:sz w:val="22"/>
                <w:lang w:val="ru-RU"/>
              </w:rPr>
              <w:t xml:space="preserve">, устанавливаются в соответствии с действующими положениями, в том числе с положениями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9.21</w:t>
            </w:r>
            <w:r w:rsidRPr="00A170CA">
              <w:rPr>
                <w:sz w:val="22"/>
                <w:lang w:val="ru-RU"/>
              </w:rPr>
              <w:t xml:space="preserve">. Кроме того, при применении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11.31</w:t>
            </w:r>
            <w:r w:rsidRPr="00A170CA">
              <w:rPr>
                <w:sz w:val="22"/>
                <w:lang w:val="ru-RU"/>
              </w:rPr>
              <w:t xml:space="preserve"> обработка информации о заявлении этих спутниковых сетей, полученной после даты вступления в силу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5.D103</w:t>
            </w:r>
            <w:r w:rsidRPr="00A170CA">
              <w:rPr>
                <w:sz w:val="22"/>
                <w:lang w:val="ru-RU"/>
              </w:rPr>
              <w:t xml:space="preserve">, должна продолжаться в соответствии с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9.21</w:t>
            </w:r>
            <w:r w:rsidRPr="00A170CA">
              <w:rPr>
                <w:sz w:val="22"/>
                <w:lang w:val="ru-RU"/>
              </w:rPr>
              <w:t xml:space="preserve">, а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9.11A</w:t>
            </w:r>
            <w:r w:rsidRPr="00A170CA">
              <w:rPr>
                <w:sz w:val="22"/>
                <w:lang w:val="ru-RU"/>
              </w:rPr>
              <w:t xml:space="preserve"> не должен применяться при применении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11.32</w:t>
            </w:r>
            <w:r w:rsidRPr="00A170CA">
              <w:rPr>
                <w:sz w:val="22"/>
                <w:lang w:val="ru-RU"/>
              </w:rPr>
              <w:t>.</w:t>
            </w:r>
          </w:p>
        </w:tc>
        <w:tc>
          <w:tcPr>
            <w:tcW w:w="904" w:type="pct"/>
          </w:tcPr>
          <w:p w:rsidR="0092023B" w:rsidRPr="00A170CA" w:rsidRDefault="0092023B" w:rsidP="00A170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jc w:val="both"/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Существует 18 сетей, к которым относятся эти переходные меры.</w:t>
            </w:r>
          </w:p>
        </w:tc>
      </w:tr>
      <w:tr w:rsidR="00D51D00" w:rsidRPr="00A170CA" w:rsidTr="00384FFC">
        <w:tc>
          <w:tcPr>
            <w:tcW w:w="192" w:type="pct"/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30</w:t>
            </w:r>
          </w:p>
        </w:tc>
        <w:tc>
          <w:tcPr>
            <w:tcW w:w="439" w:type="pct"/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ВКР-12</w:t>
            </w:r>
          </w:p>
        </w:tc>
        <w:tc>
          <w:tcPr>
            <w:tcW w:w="584" w:type="pct"/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9</w:t>
            </w:r>
            <w:r w:rsidRPr="00A170CA">
              <w:rPr>
                <w:rFonts w:eastAsia="Malgun Gothic"/>
                <w:sz w:val="22"/>
                <w:lang w:val="ru-RU"/>
              </w:rPr>
              <w:t>-е пленарное заседание</w:t>
            </w:r>
            <w:r w:rsidRPr="00A170CA">
              <w:rPr>
                <w:sz w:val="22"/>
                <w:lang w:val="ru-RU"/>
              </w:rPr>
              <w:t xml:space="preserve"> </w:t>
            </w:r>
          </w:p>
          <w:p w:rsidR="00D51D00" w:rsidRPr="00A170CA" w:rsidRDefault="00A170CA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rStyle w:val="Hyperlink"/>
                <w:sz w:val="22"/>
                <w:lang w:val="ru-RU"/>
              </w:rPr>
            </w:pPr>
            <w:hyperlink r:id="rId22" w:history="1">
              <w:r w:rsidR="00D51D00" w:rsidRPr="00A170CA">
                <w:rPr>
                  <w:rStyle w:val="Hyperlink"/>
                  <w:sz w:val="22"/>
                  <w:lang w:val="ru-RU"/>
                </w:rPr>
                <w:t>Док. 550</w:t>
              </w:r>
            </w:hyperlink>
          </w:p>
        </w:tc>
        <w:tc>
          <w:tcPr>
            <w:tcW w:w="2881" w:type="pct"/>
          </w:tcPr>
          <w:p w:rsidR="00D51D00" w:rsidRPr="00A170CA" w:rsidRDefault="00D51D00" w:rsidP="00A170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jc w:val="both"/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При принятии изменений к п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11.41</w:t>
            </w:r>
            <w:r w:rsidRPr="00A170CA">
              <w:rPr>
                <w:sz w:val="22"/>
                <w:lang w:val="ru-RU"/>
              </w:rPr>
              <w:t xml:space="preserve"> и </w:t>
            </w:r>
            <w:r w:rsidRPr="00A170CA">
              <w:rPr>
                <w:b/>
                <w:bCs/>
                <w:sz w:val="22"/>
                <w:lang w:val="ru-RU"/>
              </w:rPr>
              <w:t>11.42</w:t>
            </w:r>
            <w:r w:rsidRPr="00A170CA">
              <w:rPr>
                <w:sz w:val="22"/>
                <w:lang w:val="ru-RU"/>
              </w:rPr>
              <w:t xml:space="preserve">, а также при добавлении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11.42А</w:t>
            </w:r>
            <w:r w:rsidRPr="00A170CA">
              <w:rPr>
                <w:sz w:val="22"/>
                <w:lang w:val="ru-RU"/>
              </w:rPr>
              <w:t xml:space="preserve"> ВКР-12 признает, что, применяя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11.41</w:t>
            </w:r>
            <w:r w:rsidRPr="00A170CA">
              <w:rPr>
                <w:sz w:val="22"/>
                <w:lang w:val="ru-RU"/>
              </w:rPr>
              <w:t xml:space="preserve"> для внесения присвоения в МСРЧ в соответствии с данным положением, заявляющая администрация обязывается соблюдать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11.42</w:t>
            </w:r>
            <w:r w:rsidRPr="00A170CA">
              <w:rPr>
                <w:sz w:val="22"/>
                <w:lang w:val="ru-RU"/>
              </w:rPr>
              <w:t>, измененный настоящей Конференцией, в отношении частотных присвоений космическим и наземным службам, имеющим распределения в одной и той же полосе частот на равных основаниях.</w:t>
            </w:r>
          </w:p>
        </w:tc>
        <w:tc>
          <w:tcPr>
            <w:tcW w:w="904" w:type="pct"/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</w:p>
        </w:tc>
      </w:tr>
      <w:tr w:rsidR="00D51D00" w:rsidRPr="00A170CA" w:rsidTr="00384FFC">
        <w:tc>
          <w:tcPr>
            <w:tcW w:w="192" w:type="pct"/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34</w:t>
            </w:r>
          </w:p>
        </w:tc>
        <w:tc>
          <w:tcPr>
            <w:tcW w:w="439" w:type="pct"/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ВКР-12</w:t>
            </w:r>
          </w:p>
        </w:tc>
        <w:tc>
          <w:tcPr>
            <w:tcW w:w="584" w:type="pct"/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13</w:t>
            </w:r>
            <w:r w:rsidRPr="00A170CA">
              <w:rPr>
                <w:rFonts w:eastAsia="Malgun Gothic"/>
                <w:sz w:val="22"/>
                <w:lang w:val="ru-RU"/>
              </w:rPr>
              <w:t>-е пленарное заседание</w:t>
            </w:r>
            <w:r w:rsidRPr="00A170CA">
              <w:rPr>
                <w:sz w:val="22"/>
                <w:lang w:val="ru-RU"/>
              </w:rPr>
              <w:t xml:space="preserve"> </w:t>
            </w:r>
          </w:p>
          <w:p w:rsidR="00D51D00" w:rsidRPr="00A170CA" w:rsidRDefault="00A170CA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rStyle w:val="Hyperlink"/>
                <w:sz w:val="22"/>
                <w:lang w:val="ru-RU"/>
              </w:rPr>
            </w:pPr>
            <w:hyperlink r:id="rId23" w:history="1">
              <w:r w:rsidR="00D51D00" w:rsidRPr="00A170CA">
                <w:rPr>
                  <w:rStyle w:val="Hyperlink"/>
                  <w:sz w:val="22"/>
                  <w:lang w:val="ru-RU"/>
                </w:rPr>
                <w:t>Док. 554</w:t>
              </w:r>
            </w:hyperlink>
          </w:p>
        </w:tc>
        <w:tc>
          <w:tcPr>
            <w:tcW w:w="2881" w:type="pct"/>
          </w:tcPr>
          <w:p w:rsidR="00D51D00" w:rsidRPr="00A170CA" w:rsidRDefault="00F91978" w:rsidP="00A170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jc w:val="both"/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А</w:t>
            </w:r>
            <w:r w:rsidR="00D51D00" w:rsidRPr="00A170CA">
              <w:rPr>
                <w:sz w:val="22"/>
                <w:lang w:val="ru-RU"/>
              </w:rPr>
              <w:t>дминистрация может вводить в действие или продолжать использовать частотные присвоения одной из своих спутниковых сетей путем использования космической станции, находящейся в сфере ответственности другой администрации или межправительственной организации, при условии, что эта другая администрация или межправительственная организация, будучи проинформированной, в течение 90 дней с даты получения информации, не представляет возражений против использования данной космической станции для этих целей. Это требование не должно иметь обратной силы и применяется к присвоениям, введенным в действие после окончания ВКР-12</w:t>
            </w:r>
            <w:r w:rsidR="00D5799C" w:rsidRPr="00A170CA">
              <w:rPr>
                <w:sz w:val="22"/>
                <w:lang w:val="ru-RU"/>
              </w:rPr>
              <w:t>.</w:t>
            </w:r>
          </w:p>
        </w:tc>
        <w:tc>
          <w:tcPr>
            <w:tcW w:w="904" w:type="pct"/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</w:p>
        </w:tc>
      </w:tr>
      <w:tr w:rsidR="00D51D00" w:rsidRPr="00A170CA" w:rsidTr="00384FFC">
        <w:tc>
          <w:tcPr>
            <w:tcW w:w="192" w:type="pct"/>
            <w:tcBorders>
              <w:bottom w:val="single" w:sz="2" w:space="0" w:color="auto"/>
            </w:tcBorders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36</w:t>
            </w:r>
          </w:p>
        </w:tc>
        <w:tc>
          <w:tcPr>
            <w:tcW w:w="439" w:type="pct"/>
            <w:tcBorders>
              <w:bottom w:val="single" w:sz="2" w:space="0" w:color="auto"/>
            </w:tcBorders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ВКР-12</w:t>
            </w:r>
          </w:p>
        </w:tc>
        <w:tc>
          <w:tcPr>
            <w:tcW w:w="584" w:type="pct"/>
            <w:tcBorders>
              <w:bottom w:val="single" w:sz="2" w:space="0" w:color="auto"/>
            </w:tcBorders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>13</w:t>
            </w:r>
            <w:r w:rsidRPr="00A170CA">
              <w:rPr>
                <w:rFonts w:eastAsia="Malgun Gothic"/>
                <w:sz w:val="22"/>
                <w:lang w:val="ru-RU"/>
              </w:rPr>
              <w:t>-е пленарное заседание</w:t>
            </w:r>
            <w:r w:rsidRPr="00A170CA">
              <w:rPr>
                <w:sz w:val="22"/>
                <w:lang w:val="ru-RU"/>
              </w:rPr>
              <w:t xml:space="preserve"> </w:t>
            </w:r>
          </w:p>
          <w:p w:rsidR="00D51D00" w:rsidRPr="00A170CA" w:rsidRDefault="00A170CA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rStyle w:val="Hyperlink"/>
                <w:sz w:val="22"/>
                <w:lang w:val="ru-RU"/>
              </w:rPr>
            </w:pPr>
            <w:hyperlink r:id="rId24" w:history="1">
              <w:r w:rsidR="00D51D00" w:rsidRPr="00A170CA">
                <w:rPr>
                  <w:rStyle w:val="Hyperlink"/>
                  <w:sz w:val="22"/>
                  <w:lang w:val="ru-RU"/>
                </w:rPr>
                <w:t>Док. 554</w:t>
              </w:r>
            </w:hyperlink>
          </w:p>
        </w:tc>
        <w:tc>
          <w:tcPr>
            <w:tcW w:w="2881" w:type="pct"/>
            <w:tcBorders>
              <w:bottom w:val="single" w:sz="2" w:space="0" w:color="auto"/>
            </w:tcBorders>
          </w:tcPr>
          <w:p w:rsidR="00D51D00" w:rsidRPr="00A170CA" w:rsidRDefault="00D51D00" w:rsidP="00A170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jc w:val="both"/>
              <w:rPr>
                <w:sz w:val="22"/>
                <w:lang w:val="ru-RU"/>
              </w:rPr>
            </w:pPr>
            <w:r w:rsidRPr="00A170CA">
              <w:rPr>
                <w:sz w:val="22"/>
                <w:lang w:val="ru-RU"/>
              </w:rPr>
              <w:t xml:space="preserve">Бюро, применяя </w:t>
            </w:r>
            <w:r w:rsidR="00D043C4" w:rsidRPr="00A170CA">
              <w:rPr>
                <w:sz w:val="22"/>
                <w:lang w:val="ru-RU"/>
              </w:rPr>
              <w:t>п. </w:t>
            </w:r>
            <w:r w:rsidRPr="00A170CA">
              <w:rPr>
                <w:b/>
                <w:bCs/>
                <w:sz w:val="22"/>
                <w:lang w:val="ru-RU"/>
              </w:rPr>
              <w:t>13.6</w:t>
            </w:r>
            <w:r w:rsidRPr="00A170CA">
              <w:rPr>
                <w:sz w:val="22"/>
                <w:lang w:val="ru-RU"/>
              </w:rPr>
              <w:t>, просит администрации предоставить информацию о характеристиках и использовании спутниковых сетей. В своем ответе администрациям необходимо предоставить БР информацию о фактическом использовании заявленных характеристик коммерческих спутниковых сетей</w:t>
            </w:r>
            <w:r w:rsidR="00384FFC" w:rsidRPr="00A170CA">
              <w:rPr>
                <w:sz w:val="22"/>
                <w:lang w:val="ru-RU"/>
              </w:rPr>
              <w:t>.</w:t>
            </w:r>
          </w:p>
        </w:tc>
        <w:tc>
          <w:tcPr>
            <w:tcW w:w="904" w:type="pct"/>
            <w:tcBorders>
              <w:bottom w:val="single" w:sz="2" w:space="0" w:color="auto"/>
            </w:tcBorders>
          </w:tcPr>
          <w:p w:rsidR="00D51D00" w:rsidRPr="00A170CA" w:rsidRDefault="00D51D00" w:rsidP="00384F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</w:tabs>
              <w:rPr>
                <w:sz w:val="22"/>
                <w:lang w:val="ru-RU"/>
              </w:rPr>
            </w:pPr>
          </w:p>
        </w:tc>
      </w:tr>
    </w:tbl>
    <w:p w:rsidR="00384FFC" w:rsidRPr="00384FFC" w:rsidRDefault="00384FFC" w:rsidP="00384FFC">
      <w:pPr>
        <w:spacing w:before="720"/>
        <w:jc w:val="center"/>
        <w:rPr>
          <w:lang w:val="ru-RU"/>
        </w:rPr>
      </w:pPr>
      <w:r w:rsidRPr="00384FFC">
        <w:rPr>
          <w:lang w:val="ru-RU"/>
        </w:rPr>
        <w:t>______________</w:t>
      </w:r>
    </w:p>
    <w:sectPr w:rsidR="00384FFC" w:rsidRPr="00384FFC" w:rsidSect="00D5799C">
      <w:footerReference w:type="default" r:id="rId25"/>
      <w:headerReference w:type="first" r:id="rId26"/>
      <w:pgSz w:w="16834" w:h="11907" w:orient="landscape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F4" w:rsidRDefault="00616BF4">
      <w:r>
        <w:separator/>
      </w:r>
    </w:p>
  </w:endnote>
  <w:endnote w:type="continuationSeparator" w:id="0">
    <w:p w:rsidR="00616BF4" w:rsidRDefault="0061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BF4" w:rsidRPr="00493F59" w:rsidRDefault="00616BF4" w:rsidP="00616BF4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FILENAME \p  \* MERGEFORMAT </w:instrText>
    </w:r>
    <w:r w:rsidRPr="00493F59">
      <w:rPr>
        <w:sz w:val="16"/>
        <w:szCs w:val="16"/>
      </w:rPr>
      <w:fldChar w:fldCharType="separate"/>
    </w:r>
    <w:r w:rsidR="00A170CA">
      <w:rPr>
        <w:noProof/>
        <w:sz w:val="16"/>
        <w:szCs w:val="16"/>
      </w:rPr>
      <w:t>R:\REFTXT\REFTXT2015\ITU-R\BR\DIR\CR\300\380R.DOCX</w:t>
    </w:r>
    <w:r w:rsidRPr="00493F59">
      <w:rPr>
        <w:noProof/>
        <w:sz w:val="16"/>
        <w:szCs w:val="16"/>
      </w:rPr>
      <w:fldChar w:fldCharType="end"/>
    </w:r>
    <w:r w:rsidRPr="004634D9">
      <w:rPr>
        <w:noProof/>
        <w:sz w:val="16"/>
        <w:szCs w:val="16"/>
      </w:rPr>
      <w:t xml:space="preserve"> (374700)</w:t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SAVEDATE \@ DD.MM.YY </w:instrText>
    </w:r>
    <w:r w:rsidRPr="00493F59">
      <w:rPr>
        <w:sz w:val="16"/>
        <w:szCs w:val="16"/>
      </w:rPr>
      <w:fldChar w:fldCharType="separate"/>
    </w:r>
    <w:r w:rsidR="00A170CA">
      <w:rPr>
        <w:noProof/>
        <w:sz w:val="16"/>
        <w:szCs w:val="16"/>
      </w:rPr>
      <w:t>17.04.15</w:t>
    </w:r>
    <w:r w:rsidRPr="00493F59">
      <w:rPr>
        <w:sz w:val="16"/>
        <w:szCs w:val="16"/>
      </w:rPr>
      <w:fldChar w:fldCharType="end"/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PRINTDATE \@ DD.MM.YY </w:instrText>
    </w:r>
    <w:r w:rsidRPr="00493F59">
      <w:rPr>
        <w:sz w:val="16"/>
        <w:szCs w:val="16"/>
      </w:rPr>
      <w:fldChar w:fldCharType="separate"/>
    </w:r>
    <w:r w:rsidR="00A170CA">
      <w:rPr>
        <w:noProof/>
        <w:sz w:val="16"/>
        <w:szCs w:val="16"/>
      </w:rPr>
      <w:t>17.04.15</w:t>
    </w:r>
    <w:r w:rsidRPr="00493F5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3E6D6CEF96204CF7BDB78D659B96D580"/>
      </w:placeholder>
      <w:temporary/>
      <w:showingPlcHdr/>
      <w15:appearance w15:val="hidden"/>
    </w:sdtPr>
    <w:sdtEndPr/>
    <w:sdtContent>
      <w:p w:rsidR="00723A1E" w:rsidRDefault="00723A1E">
        <w:pPr>
          <w:pStyle w:val="Footer"/>
        </w:pPr>
        <w:r>
          <w:t>[Type here]</w:t>
        </w:r>
      </w:p>
    </w:sdtContent>
  </w:sdt>
  <w:p w:rsidR="00723A1E" w:rsidRDefault="00723A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DF" w:rsidRPr="0097405F" w:rsidRDefault="00E064DF" w:rsidP="00AF676F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1E" w:rsidRPr="00A170CA" w:rsidRDefault="00723A1E" w:rsidP="00A17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F4" w:rsidRDefault="00616BF4">
      <w:r>
        <w:t>____________________</w:t>
      </w:r>
    </w:p>
  </w:footnote>
  <w:footnote w:type="continuationSeparator" w:id="0">
    <w:p w:rsidR="00616BF4" w:rsidRDefault="00616BF4">
      <w:r>
        <w:continuationSeparator/>
      </w:r>
    </w:p>
  </w:footnote>
  <w:footnote w:id="1">
    <w:p w:rsidR="006E2076" w:rsidRPr="006E2076" w:rsidRDefault="006E2076">
      <w:pPr>
        <w:pStyle w:val="FootnoteText"/>
        <w:rPr>
          <w:lang w:val="ru-RU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ru-RU"/>
        </w:rPr>
        <w:tab/>
      </w:r>
      <w:hyperlink r:id="rId1" w:history="1">
        <w:r w:rsidRPr="00C03B38">
          <w:rPr>
            <w:rStyle w:val="Hyperlink"/>
          </w:rPr>
          <w:t>http://goo.gl/LCpvqH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1B42C9" w:rsidP="00795D41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723A1E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23A1E" w:rsidRDefault="00723A1E" w:rsidP="00723A1E">
    <w:pPr>
      <w:pStyle w:val="Header"/>
      <w:tabs>
        <w:tab w:val="clear" w:pos="794"/>
        <w:tab w:val="clear" w:pos="4820"/>
        <w:tab w:val="clear" w:pos="9639"/>
      </w:tabs>
      <w:jc w:val="center"/>
      <w:rPr>
        <w:iCs/>
        <w:sz w:val="18"/>
        <w:szCs w:val="18"/>
        <w:lang w:val="ru-RU"/>
      </w:rPr>
    </w:pPr>
    <w:r>
      <w:rPr>
        <w:iCs/>
        <w:sz w:val="18"/>
        <w:szCs w:val="18"/>
        <w:lang w:val="ru-RU"/>
      </w:rPr>
      <w:t xml:space="preserve">- </w:t>
    </w:r>
    <w:r w:rsidR="001B42C9" w:rsidRPr="00723A1E">
      <w:rPr>
        <w:iCs/>
        <w:sz w:val="18"/>
        <w:szCs w:val="18"/>
      </w:rPr>
      <w:fldChar w:fldCharType="begin"/>
    </w:r>
    <w:r w:rsidR="00E915AF" w:rsidRPr="00723A1E">
      <w:rPr>
        <w:iCs/>
        <w:sz w:val="18"/>
        <w:szCs w:val="18"/>
      </w:rPr>
      <w:instrText xml:space="preserve"> PAGE  \* MERGEFORMAT </w:instrText>
    </w:r>
    <w:r w:rsidR="001B42C9" w:rsidRPr="00723A1E">
      <w:rPr>
        <w:iCs/>
        <w:sz w:val="18"/>
        <w:szCs w:val="18"/>
      </w:rPr>
      <w:fldChar w:fldCharType="separate"/>
    </w:r>
    <w:r w:rsidR="00A170CA">
      <w:rPr>
        <w:iCs/>
        <w:noProof/>
        <w:sz w:val="18"/>
        <w:szCs w:val="18"/>
      </w:rPr>
      <w:t>3</w:t>
    </w:r>
    <w:r w:rsidR="001B42C9" w:rsidRPr="00723A1E">
      <w:rPr>
        <w:iCs/>
        <w:sz w:val="18"/>
        <w:szCs w:val="18"/>
      </w:rPr>
      <w:fldChar w:fldCharType="end"/>
    </w:r>
    <w:r>
      <w:rPr>
        <w:iCs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975D8" w:rsidTr="00D5799C">
      <w:trPr>
        <w:jc w:val="center"/>
      </w:trPr>
      <w:tc>
        <w:tcPr>
          <w:tcW w:w="4889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FD75243" wp14:editId="727BABA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D7430C9" wp14:editId="3D8034B5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975D8" w:rsidRDefault="00E915AF" w:rsidP="00A975D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723A1E" w:rsidTr="00DD215D">
      <w:tc>
        <w:tcPr>
          <w:tcW w:w="4889" w:type="dxa"/>
        </w:tcPr>
        <w:p w:rsidR="00723A1E" w:rsidRDefault="00723A1E" w:rsidP="00A975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E387DF6" wp14:editId="38451E55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723A1E" w:rsidRDefault="00723A1E" w:rsidP="00A975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EA98629" wp14:editId="588CA038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3A1E" w:rsidRPr="00A975D8" w:rsidRDefault="00723A1E" w:rsidP="00A97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16BF4"/>
    <w:rsid w:val="00006A31"/>
    <w:rsid w:val="00006C82"/>
    <w:rsid w:val="00010E30"/>
    <w:rsid w:val="00015C76"/>
    <w:rsid w:val="0002358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74B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4186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77E42"/>
    <w:rsid w:val="00380A6E"/>
    <w:rsid w:val="003836D4"/>
    <w:rsid w:val="00384FFC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34D9"/>
    <w:rsid w:val="00480F51"/>
    <w:rsid w:val="00481124"/>
    <w:rsid w:val="004815EB"/>
    <w:rsid w:val="00487569"/>
    <w:rsid w:val="00493F5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F03"/>
    <w:rsid w:val="00505309"/>
    <w:rsid w:val="0050789B"/>
    <w:rsid w:val="00517EDF"/>
    <w:rsid w:val="0052097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BF4"/>
    <w:rsid w:val="0064371D"/>
    <w:rsid w:val="00650543"/>
    <w:rsid w:val="00650B2A"/>
    <w:rsid w:val="00651777"/>
    <w:rsid w:val="006550F8"/>
    <w:rsid w:val="006644C6"/>
    <w:rsid w:val="00671762"/>
    <w:rsid w:val="00675C14"/>
    <w:rsid w:val="006829F3"/>
    <w:rsid w:val="006A518B"/>
    <w:rsid w:val="006B0590"/>
    <w:rsid w:val="006B49DA"/>
    <w:rsid w:val="006C53F8"/>
    <w:rsid w:val="006C7CDE"/>
    <w:rsid w:val="006E2076"/>
    <w:rsid w:val="007234B1"/>
    <w:rsid w:val="00723A1E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95D41"/>
    <w:rsid w:val="007A5600"/>
    <w:rsid w:val="007B3DB1"/>
    <w:rsid w:val="007B5A2D"/>
    <w:rsid w:val="007D183E"/>
    <w:rsid w:val="007D43D0"/>
    <w:rsid w:val="007E1833"/>
    <w:rsid w:val="007E229B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A0E45"/>
    <w:rsid w:val="008B35A3"/>
    <w:rsid w:val="008B37E1"/>
    <w:rsid w:val="008B45F8"/>
    <w:rsid w:val="008C2E74"/>
    <w:rsid w:val="008D43F5"/>
    <w:rsid w:val="008D5409"/>
    <w:rsid w:val="008E006D"/>
    <w:rsid w:val="008E0203"/>
    <w:rsid w:val="008E38B4"/>
    <w:rsid w:val="008F4F21"/>
    <w:rsid w:val="00904D4A"/>
    <w:rsid w:val="009076D7"/>
    <w:rsid w:val="009151BA"/>
    <w:rsid w:val="0092023B"/>
    <w:rsid w:val="00925023"/>
    <w:rsid w:val="009277BC"/>
    <w:rsid w:val="00927D57"/>
    <w:rsid w:val="00931A51"/>
    <w:rsid w:val="00947185"/>
    <w:rsid w:val="009518B3"/>
    <w:rsid w:val="00963D9D"/>
    <w:rsid w:val="0097435F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70CA"/>
    <w:rsid w:val="00A20FBC"/>
    <w:rsid w:val="00A31370"/>
    <w:rsid w:val="00A34D6F"/>
    <w:rsid w:val="00A41F91"/>
    <w:rsid w:val="00A6177E"/>
    <w:rsid w:val="00A63355"/>
    <w:rsid w:val="00A7596D"/>
    <w:rsid w:val="00A963DF"/>
    <w:rsid w:val="00A975D8"/>
    <w:rsid w:val="00AA7E01"/>
    <w:rsid w:val="00AC0C22"/>
    <w:rsid w:val="00AC3896"/>
    <w:rsid w:val="00AD2CF2"/>
    <w:rsid w:val="00AE2D88"/>
    <w:rsid w:val="00AE6F6F"/>
    <w:rsid w:val="00AF3325"/>
    <w:rsid w:val="00AF34D9"/>
    <w:rsid w:val="00AF676F"/>
    <w:rsid w:val="00AF70DA"/>
    <w:rsid w:val="00B019D3"/>
    <w:rsid w:val="00B34CF9"/>
    <w:rsid w:val="00B37559"/>
    <w:rsid w:val="00B4054B"/>
    <w:rsid w:val="00B45250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22EA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43C4"/>
    <w:rsid w:val="00D10BA0"/>
    <w:rsid w:val="00D21694"/>
    <w:rsid w:val="00D24EB5"/>
    <w:rsid w:val="00D35AB9"/>
    <w:rsid w:val="00D41571"/>
    <w:rsid w:val="00D416A0"/>
    <w:rsid w:val="00D47672"/>
    <w:rsid w:val="00D5123C"/>
    <w:rsid w:val="00D5157E"/>
    <w:rsid w:val="00D51D00"/>
    <w:rsid w:val="00D55560"/>
    <w:rsid w:val="00D5799C"/>
    <w:rsid w:val="00D61C5A"/>
    <w:rsid w:val="00D6790C"/>
    <w:rsid w:val="00D73277"/>
    <w:rsid w:val="00D76586"/>
    <w:rsid w:val="00D80473"/>
    <w:rsid w:val="00D82657"/>
    <w:rsid w:val="00D87E20"/>
    <w:rsid w:val="00DA4037"/>
    <w:rsid w:val="00DE66A5"/>
    <w:rsid w:val="00DF2B50"/>
    <w:rsid w:val="00E01059"/>
    <w:rsid w:val="00E04C86"/>
    <w:rsid w:val="00E064DF"/>
    <w:rsid w:val="00E17344"/>
    <w:rsid w:val="00E20F30"/>
    <w:rsid w:val="00E2189C"/>
    <w:rsid w:val="00E25BB1"/>
    <w:rsid w:val="00E27BBA"/>
    <w:rsid w:val="00E30E3F"/>
    <w:rsid w:val="00E35E8F"/>
    <w:rsid w:val="00E3726E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91978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1F4969A-95C6-42E2-A194-516D56A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59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23A1E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3A1E"/>
    <w:rPr>
      <w:sz w:val="22"/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0E74BE"/>
    <w:pPr>
      <w:keepNext/>
      <w:keepLines/>
      <w:snapToGrid w:val="0"/>
      <w:spacing w:before="360" w:after="120"/>
      <w:jc w:val="center"/>
    </w:pPr>
    <w:rPr>
      <w:rFonts w:cs="Times New Roman"/>
      <w:b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D579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D5799C"/>
    <w:rPr>
      <w:rFonts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6644C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6644C6"/>
    <w:rPr>
      <w:rFonts w:cs="Times New Roman"/>
      <w:b/>
      <w:sz w:val="26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0E74B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B5A2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384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lue\en\ITU-R\conferences\RRB\Documents\ai%204_1_compendium%20to%20be%20published%20as%20special%20topics_English.docx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itu.int/md/R07-WRC07-C-0432/en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itu.int/md/R12-WRC12-C-0549/en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md/R03-WRC03-C-0370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03-WRC03-C-0410/en" TargetMode="External"/><Relationship Id="rId20" Type="http://schemas.openxmlformats.org/officeDocument/2006/relationships/hyperlink" Target="http://www.itu.int/md/R07-WRC07-C-0004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md/R12-WRC12-C-055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03-WRC03-C-0410/en" TargetMode="External"/><Relationship Id="rId23" Type="http://schemas.openxmlformats.org/officeDocument/2006/relationships/hyperlink" Target="http://www.itu.int/md/R12-WRC12-C-0554/en" TargetMode="External"/><Relationship Id="rId28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yperlink" Target="http://www.itu.int/md/R07-WRC07-C-0378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itu.int/md/R12-WRC12-C-0550/en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oo.gl/LCpvqH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D17A8FC1F46FC9A9A1D6CEA9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0A56-B98D-492D-AD0A-068ADD062FB1}"/>
      </w:docPartPr>
      <w:docPartBody>
        <w:p w:rsidR="006B0C42" w:rsidRDefault="006B0C42">
          <w:pPr>
            <w:pStyle w:val="A8CD17A8FC1F46FC9A9A1D6CEA98E7E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3E6D6CEF96204CF7BDB78D659B96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5C7B-F223-448B-9FA7-6DC9CFF22C5E}"/>
      </w:docPartPr>
      <w:docPartBody>
        <w:p w:rsidR="00602B66" w:rsidRDefault="0041444E" w:rsidP="0041444E">
          <w:pPr>
            <w:pStyle w:val="3E6D6CEF96204CF7BDB78D659B96D58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42"/>
    <w:rsid w:val="0041444E"/>
    <w:rsid w:val="00602B66"/>
    <w:rsid w:val="006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D17A8FC1F46FC9A9A1D6CEA98E7EF">
    <w:name w:val="A8CD17A8FC1F46FC9A9A1D6CEA98E7EF"/>
  </w:style>
  <w:style w:type="paragraph" w:customStyle="1" w:styleId="3E6D6CEF96204CF7BDB78D659B96D580">
    <w:name w:val="3E6D6CEF96204CF7BDB78D659B96D580"/>
    <w:rsid w:val="00414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5918-E0FB-430A-A826-79CFA5DA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0</TotalTime>
  <Pages>3</Pages>
  <Words>683</Words>
  <Characters>5191</Characters>
  <Application>Microsoft Office Word</Application>
  <DocSecurity>4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Tsarapkina, Yulia</dc:creator>
  <cp:lastModifiedBy>Gozal, Karine</cp:lastModifiedBy>
  <cp:revision>2</cp:revision>
  <cp:lastPrinted>2015-04-17T11:42:00Z</cp:lastPrinted>
  <dcterms:created xsi:type="dcterms:W3CDTF">2015-04-17T11:42:00Z</dcterms:created>
  <dcterms:modified xsi:type="dcterms:W3CDTF">2015-04-17T11:42:00Z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