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A86A44" w:rsidRPr="00EE2C9E" w:rsidTr="00EF7A21">
        <w:tc>
          <w:tcPr>
            <w:tcW w:w="9889" w:type="dxa"/>
            <w:gridSpan w:val="3"/>
            <w:shd w:val="clear" w:color="auto" w:fill="auto"/>
          </w:tcPr>
          <w:p w:rsidR="00A86A44" w:rsidRPr="00EE2C9E" w:rsidRDefault="005C4D50" w:rsidP="00EF7A21">
            <w:pPr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r w:rsidRPr="00EE2C9E">
              <w:rPr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A86A44" w:rsidRPr="00EE2C9E" w:rsidTr="00EF7A21">
        <w:tc>
          <w:tcPr>
            <w:tcW w:w="9889" w:type="dxa"/>
            <w:gridSpan w:val="3"/>
            <w:shd w:val="clear" w:color="auto" w:fill="auto"/>
          </w:tcPr>
          <w:p w:rsidR="00A86A44" w:rsidRPr="00EE2C9E" w:rsidRDefault="00A86A44" w:rsidP="00A72ECD">
            <w:pPr>
              <w:spacing w:before="60"/>
              <w:jc w:val="left"/>
            </w:pPr>
          </w:p>
        </w:tc>
      </w:tr>
      <w:tr w:rsidR="00A86A44" w:rsidRPr="00587278" w:rsidTr="00EF7A21">
        <w:tc>
          <w:tcPr>
            <w:tcW w:w="5353" w:type="dxa"/>
            <w:gridSpan w:val="2"/>
            <w:shd w:val="clear" w:color="auto" w:fill="auto"/>
          </w:tcPr>
          <w:p w:rsidR="005C4D50" w:rsidRPr="00587278" w:rsidRDefault="005C4D50" w:rsidP="00A72ECD">
            <w:pPr>
              <w:spacing w:before="120"/>
              <w:jc w:val="left"/>
              <w:rPr>
                <w:sz w:val="24"/>
                <w:szCs w:val="24"/>
              </w:rPr>
            </w:pPr>
            <w:r w:rsidRPr="00587278">
              <w:rPr>
                <w:sz w:val="24"/>
                <w:szCs w:val="24"/>
              </w:rPr>
              <w:t>Carta Circular</w:t>
            </w:r>
          </w:p>
          <w:p w:rsidR="00A86A44" w:rsidRPr="00587278" w:rsidRDefault="005C4D50" w:rsidP="002E54EE">
            <w:pPr>
              <w:spacing w:before="0"/>
              <w:jc w:val="left"/>
              <w:rPr>
                <w:sz w:val="24"/>
                <w:szCs w:val="24"/>
              </w:rPr>
            </w:pPr>
            <w:r w:rsidRPr="00587278">
              <w:rPr>
                <w:b/>
                <w:bCs/>
                <w:sz w:val="24"/>
                <w:szCs w:val="24"/>
              </w:rPr>
              <w:t>CR/38</w:t>
            </w:r>
            <w:r w:rsidR="002E54EE" w:rsidRPr="00587278">
              <w:rPr>
                <w:b/>
                <w:bCs/>
                <w:sz w:val="24"/>
                <w:szCs w:val="24"/>
              </w:rPr>
              <w:t>5</w:t>
            </w:r>
          </w:p>
          <w:p w:rsidR="00A86A44" w:rsidRPr="00587278" w:rsidRDefault="00A86A44" w:rsidP="007D212C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86A44" w:rsidRPr="00587278" w:rsidRDefault="00AE77F3" w:rsidP="0005738B">
            <w:pPr>
              <w:spacing w:before="120"/>
              <w:ind w:right="57"/>
              <w:jc w:val="right"/>
              <w:rPr>
                <w:sz w:val="24"/>
                <w:szCs w:val="24"/>
              </w:rPr>
            </w:pPr>
            <w:r w:rsidRPr="00587278">
              <w:rPr>
                <w:sz w:val="24"/>
                <w:szCs w:val="24"/>
              </w:rPr>
              <w:t xml:space="preserve">Ginebra,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6F79A6180E214C0EA37925180497D0C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90F9B" w:rsidRPr="00587278">
                  <w:rPr>
                    <w:rFonts w:cs="Arial"/>
                    <w:sz w:val="24"/>
                    <w:szCs w:val="24"/>
                  </w:rPr>
                  <w:t>2</w:t>
                </w:r>
                <w:r w:rsidR="0005738B">
                  <w:rPr>
                    <w:rFonts w:cs="Arial"/>
                    <w:sz w:val="24"/>
                    <w:szCs w:val="24"/>
                  </w:rPr>
                  <w:t>7</w:t>
                </w:r>
                <w:r w:rsidR="003C450E" w:rsidRPr="00587278">
                  <w:rPr>
                    <w:rFonts w:cs="Arial"/>
                    <w:sz w:val="24"/>
                    <w:szCs w:val="24"/>
                  </w:rPr>
                  <w:t xml:space="preserve"> </w:t>
                </w:r>
                <w:r w:rsidR="0040352D" w:rsidRPr="00587278">
                  <w:rPr>
                    <w:rFonts w:cs="Arial"/>
                    <w:sz w:val="24"/>
                    <w:szCs w:val="24"/>
                  </w:rPr>
                  <w:t xml:space="preserve">de </w:t>
                </w:r>
                <w:r w:rsidR="002E54EE" w:rsidRPr="00587278">
                  <w:rPr>
                    <w:rFonts w:cs="Arial"/>
                    <w:sz w:val="24"/>
                    <w:szCs w:val="24"/>
                  </w:rPr>
                  <w:t>agosto</w:t>
                </w:r>
                <w:r w:rsidR="0040352D" w:rsidRPr="00587278">
                  <w:rPr>
                    <w:rFonts w:cs="Arial"/>
                    <w:sz w:val="24"/>
                    <w:szCs w:val="24"/>
                  </w:rPr>
                  <w:t xml:space="preserve"> de</w:t>
                </w:r>
                <w:r w:rsidR="003C450E" w:rsidRPr="00587278">
                  <w:rPr>
                    <w:rFonts w:cs="Arial"/>
                    <w:sz w:val="24"/>
                    <w:szCs w:val="24"/>
                  </w:rPr>
                  <w:t xml:space="preserve"> 2015</w:t>
                </w:r>
              </w:sdtContent>
            </w:sdt>
          </w:p>
        </w:tc>
      </w:tr>
      <w:tr w:rsidR="005C4D50" w:rsidRPr="00587278" w:rsidTr="00EF7A21">
        <w:tc>
          <w:tcPr>
            <w:tcW w:w="9889" w:type="dxa"/>
            <w:gridSpan w:val="3"/>
            <w:shd w:val="clear" w:color="auto" w:fill="auto"/>
          </w:tcPr>
          <w:p w:rsidR="005C4D50" w:rsidRPr="00587278" w:rsidRDefault="005C4D50" w:rsidP="0069449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bookmarkStart w:id="0" w:name="Formula"/>
            <w:bookmarkStart w:id="1" w:name="MainStory"/>
            <w:bookmarkStart w:id="2" w:name="CurrentLocation"/>
            <w:bookmarkEnd w:id="0"/>
            <w:bookmarkEnd w:id="1"/>
            <w:bookmarkEnd w:id="2"/>
            <w:r w:rsidRPr="00587278">
              <w:rPr>
                <w:b/>
                <w:sz w:val="24"/>
                <w:szCs w:val="24"/>
              </w:rPr>
              <w:t>A las Administraciones de los Estados Miembros de la UIT</w:t>
            </w:r>
          </w:p>
        </w:tc>
      </w:tr>
      <w:tr w:rsidR="005C4D50" w:rsidRPr="00587278" w:rsidTr="00EF7A21">
        <w:tc>
          <w:tcPr>
            <w:tcW w:w="9889" w:type="dxa"/>
            <w:gridSpan w:val="3"/>
            <w:shd w:val="clear" w:color="auto" w:fill="auto"/>
          </w:tcPr>
          <w:p w:rsidR="005C4D50" w:rsidRPr="00587278" w:rsidRDefault="005C4D50" w:rsidP="00A72ECD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C4D50" w:rsidRPr="00587278" w:rsidTr="00EF7A21">
        <w:tc>
          <w:tcPr>
            <w:tcW w:w="1526" w:type="dxa"/>
            <w:shd w:val="clear" w:color="auto" w:fill="auto"/>
          </w:tcPr>
          <w:p w:rsidR="005C4D50" w:rsidRPr="00587278" w:rsidRDefault="005C4D50" w:rsidP="00FF153B">
            <w:pPr>
              <w:tabs>
                <w:tab w:val="clear" w:pos="1588"/>
                <w:tab w:val="left" w:pos="1560"/>
              </w:tabs>
              <w:spacing w:before="40"/>
              <w:jc w:val="left"/>
              <w:rPr>
                <w:sz w:val="24"/>
                <w:szCs w:val="24"/>
              </w:rPr>
            </w:pPr>
            <w:r w:rsidRPr="00587278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C4D50" w:rsidRPr="00587278" w:rsidRDefault="002E54EE" w:rsidP="00FF153B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587278">
              <w:rPr>
                <w:b/>
                <w:bCs/>
                <w:sz w:val="24"/>
                <w:szCs w:val="24"/>
              </w:rPr>
              <w:t>Notificación de asignaciones de frecuencias a los servicios terrenales</w:t>
            </w:r>
            <w:r w:rsidR="00711975">
              <w:rPr>
                <w:b/>
                <w:bCs/>
                <w:sz w:val="24"/>
                <w:szCs w:val="24"/>
              </w:rPr>
              <w:t xml:space="preserve"> </w:t>
            </w:r>
            <w:r w:rsidRPr="00587278">
              <w:rPr>
                <w:b/>
                <w:bCs/>
                <w:sz w:val="24"/>
                <w:szCs w:val="24"/>
              </w:rPr>
              <w:t>-</w:t>
            </w:r>
            <w:r w:rsidR="00711975">
              <w:rPr>
                <w:b/>
                <w:bCs/>
                <w:sz w:val="24"/>
                <w:szCs w:val="24"/>
              </w:rPr>
              <w:br/>
            </w:r>
            <w:r w:rsidRPr="00587278">
              <w:rPr>
                <w:b/>
                <w:bCs/>
                <w:sz w:val="24"/>
                <w:szCs w:val="24"/>
              </w:rPr>
              <w:t>Nueva herramienta de validación en línea</w:t>
            </w:r>
          </w:p>
        </w:tc>
      </w:tr>
      <w:tr w:rsidR="005C4D50" w:rsidRPr="00587278" w:rsidTr="00EF7A21">
        <w:tc>
          <w:tcPr>
            <w:tcW w:w="1526" w:type="dxa"/>
            <w:shd w:val="clear" w:color="auto" w:fill="auto"/>
          </w:tcPr>
          <w:p w:rsidR="005C4D50" w:rsidRPr="00587278" w:rsidRDefault="005C4D50" w:rsidP="00A72EC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C4D50" w:rsidRPr="00587278" w:rsidRDefault="005C4D50" w:rsidP="00EF7A2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5C4D50" w:rsidRPr="00587278" w:rsidTr="00EF7A21">
        <w:tc>
          <w:tcPr>
            <w:tcW w:w="1526" w:type="dxa"/>
            <w:shd w:val="clear" w:color="auto" w:fill="auto"/>
          </w:tcPr>
          <w:p w:rsidR="005C4D50" w:rsidRPr="00587278" w:rsidRDefault="005C4D50" w:rsidP="00A72EC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C4D50" w:rsidRPr="00587278" w:rsidRDefault="005C4D50" w:rsidP="00EF7A2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EF7A21" w:rsidRPr="00587278" w:rsidRDefault="001303C7" w:rsidP="00711975">
      <w:pPr>
        <w:rPr>
          <w:rFonts w:eastAsia="SimSun"/>
          <w:sz w:val="24"/>
          <w:szCs w:val="24"/>
          <w:lang w:eastAsia="zh-CN"/>
        </w:rPr>
      </w:pPr>
      <w:r w:rsidRPr="00587278">
        <w:rPr>
          <w:rFonts w:eastAsia="SimSun"/>
          <w:sz w:val="24"/>
          <w:szCs w:val="24"/>
          <w:lang w:eastAsia="zh-CN"/>
        </w:rPr>
        <w:t xml:space="preserve">El objeto de la presente Carta Circular es anunciar que ya está disponible una nueva herramienta complementaria para llevar a cabo la validación de las notificaciones </w:t>
      </w:r>
      <w:r w:rsidR="00711975">
        <w:rPr>
          <w:rFonts w:eastAsia="SimSun"/>
          <w:sz w:val="24"/>
          <w:szCs w:val="24"/>
          <w:lang w:eastAsia="zh-CN"/>
        </w:rPr>
        <w:t xml:space="preserve">electrónicas </w:t>
      </w:r>
      <w:r w:rsidRPr="00587278">
        <w:rPr>
          <w:rFonts w:eastAsia="SimSun"/>
          <w:sz w:val="24"/>
          <w:szCs w:val="24"/>
          <w:lang w:eastAsia="zh-CN"/>
        </w:rPr>
        <w:t xml:space="preserve">de asignaciones de frecuencias </w:t>
      </w:r>
      <w:r w:rsidR="00711975">
        <w:rPr>
          <w:rFonts w:eastAsia="SimSun"/>
          <w:sz w:val="24"/>
          <w:szCs w:val="24"/>
          <w:lang w:eastAsia="zh-CN"/>
        </w:rPr>
        <w:t xml:space="preserve">a los servicios </w:t>
      </w:r>
      <w:r w:rsidRPr="00587278">
        <w:rPr>
          <w:rFonts w:eastAsia="SimSun"/>
          <w:sz w:val="24"/>
          <w:szCs w:val="24"/>
          <w:lang w:eastAsia="zh-CN"/>
        </w:rPr>
        <w:t>terrenales antes de su presentación para actualizar el Registro Internacional de Frecu</w:t>
      </w:r>
      <w:r w:rsidR="00A72ECD" w:rsidRPr="00587278">
        <w:rPr>
          <w:rFonts w:eastAsia="SimSun"/>
          <w:sz w:val="24"/>
          <w:szCs w:val="24"/>
          <w:lang w:eastAsia="zh-CN"/>
        </w:rPr>
        <w:t>encias o los Planes Terrenales.</w:t>
      </w:r>
    </w:p>
    <w:p w:rsidR="00EF7A21" w:rsidRPr="00587278" w:rsidRDefault="001303C7" w:rsidP="00771CB3">
      <w:pPr>
        <w:jc w:val="left"/>
        <w:rPr>
          <w:rFonts w:eastAsia="SimSun" w:cs="Arial"/>
          <w:sz w:val="24"/>
          <w:szCs w:val="24"/>
          <w:lang w:eastAsia="zh-CN"/>
        </w:rPr>
      </w:pPr>
      <w:r w:rsidRPr="00587278">
        <w:rPr>
          <w:rFonts w:eastAsia="SimSun"/>
          <w:sz w:val="24"/>
          <w:szCs w:val="24"/>
          <w:lang w:eastAsia="zh-CN"/>
        </w:rPr>
        <w:t>Esta</w:t>
      </w:r>
      <w:r w:rsidRPr="00587278">
        <w:rPr>
          <w:rFonts w:eastAsia="SimSun" w:cs="Arial"/>
          <w:sz w:val="24"/>
          <w:szCs w:val="24"/>
          <w:lang w:eastAsia="zh-CN"/>
        </w:rPr>
        <w:t xml:space="preserve"> herramienta se basa en una interfaz web desarrollada por la BR, y puede accederse a e</w:t>
      </w:r>
      <w:r w:rsidR="00771CB3">
        <w:rPr>
          <w:rFonts w:eastAsia="SimSun" w:cs="Arial"/>
          <w:sz w:val="24"/>
          <w:szCs w:val="24"/>
          <w:lang w:eastAsia="zh-CN"/>
        </w:rPr>
        <w:t>lla en el sitio web de la UIT</w:t>
      </w:r>
      <w:r w:rsidR="00EF7A21" w:rsidRPr="00587278">
        <w:rPr>
          <w:rFonts w:eastAsia="SimSun" w:cs="Arial"/>
          <w:sz w:val="24"/>
          <w:szCs w:val="24"/>
          <w:lang w:eastAsia="zh-CN"/>
        </w:rPr>
        <w:t>:</w:t>
      </w:r>
      <w:r w:rsidR="00771CB3">
        <w:rPr>
          <w:rFonts w:eastAsia="SimSun" w:cs="Arial"/>
          <w:sz w:val="24"/>
          <w:szCs w:val="24"/>
          <w:lang w:eastAsia="zh-CN"/>
        </w:rPr>
        <w:t xml:space="preserve"> </w:t>
      </w:r>
      <w:hyperlink r:id="rId7" w:history="1">
        <w:r w:rsidR="00EF7A21" w:rsidRPr="00587278">
          <w:rPr>
            <w:rFonts w:eastAsia="SimSun" w:cs="Arial"/>
            <w:color w:val="0563C1"/>
            <w:sz w:val="24"/>
            <w:szCs w:val="24"/>
            <w:u w:val="single"/>
            <w:lang w:eastAsia="zh-CN"/>
          </w:rPr>
          <w:t>http://www.itu.int/ITU-R/terrestrial/OnlineValidation/Login.aspx</w:t>
        </w:r>
      </w:hyperlink>
      <w:r w:rsidR="00EF7A21" w:rsidRPr="00587278">
        <w:rPr>
          <w:rFonts w:eastAsia="SimSun" w:cs="Arial"/>
          <w:color w:val="0563C1"/>
          <w:sz w:val="24"/>
          <w:szCs w:val="24"/>
          <w:u w:val="single"/>
          <w:lang w:eastAsia="zh-CN"/>
        </w:rPr>
        <w:t>.</w:t>
      </w:r>
    </w:p>
    <w:p w:rsidR="00EF7A21" w:rsidRPr="00587278" w:rsidRDefault="001303C7" w:rsidP="00711975">
      <w:pPr>
        <w:rPr>
          <w:rFonts w:eastAsia="SimSun"/>
          <w:sz w:val="24"/>
          <w:szCs w:val="24"/>
          <w:lang w:eastAsia="zh-CN"/>
        </w:rPr>
      </w:pPr>
      <w:r w:rsidRPr="00587278">
        <w:rPr>
          <w:rFonts w:eastAsia="SimSun"/>
          <w:sz w:val="24"/>
          <w:szCs w:val="24"/>
          <w:lang w:eastAsia="zh-CN"/>
        </w:rPr>
        <w:t xml:space="preserve">Permite una validación completa de todos los </w:t>
      </w:r>
      <w:r w:rsidR="00711975">
        <w:rPr>
          <w:rFonts w:eastAsia="SimSun"/>
          <w:sz w:val="24"/>
          <w:szCs w:val="24"/>
          <w:lang w:eastAsia="zh-CN"/>
        </w:rPr>
        <w:t>da</w:t>
      </w:r>
      <w:r w:rsidRPr="00587278">
        <w:rPr>
          <w:rFonts w:eastAsia="SimSun"/>
          <w:sz w:val="24"/>
          <w:szCs w:val="24"/>
          <w:lang w:eastAsia="zh-CN"/>
        </w:rPr>
        <w:t>tos informativos que han de notificarse para cada clase de estación con arreglo a lo dispuesto en el Apéndice 4 del Reglamento de Radiocomunicac</w:t>
      </w:r>
      <w:r w:rsidR="00A72ECD" w:rsidRPr="00587278">
        <w:rPr>
          <w:rFonts w:eastAsia="SimSun"/>
          <w:sz w:val="24"/>
          <w:szCs w:val="24"/>
          <w:lang w:eastAsia="zh-CN"/>
        </w:rPr>
        <w:t>iones y los distintos Acuerdos.</w:t>
      </w:r>
    </w:p>
    <w:p w:rsidR="00EF7A21" w:rsidRPr="00587278" w:rsidRDefault="001303C7" w:rsidP="00711975">
      <w:pPr>
        <w:rPr>
          <w:rFonts w:eastAsia="SimSun" w:cs="Arial"/>
          <w:sz w:val="24"/>
          <w:szCs w:val="24"/>
          <w:highlight w:val="yellow"/>
          <w:lang w:eastAsia="zh-CN"/>
        </w:rPr>
      </w:pPr>
      <w:r w:rsidRPr="00587278">
        <w:rPr>
          <w:sz w:val="24"/>
          <w:szCs w:val="24"/>
        </w:rPr>
        <w:t>Permite</w:t>
      </w:r>
      <w:r w:rsidRPr="00587278">
        <w:rPr>
          <w:rFonts w:eastAsia="SimSun" w:cs="Arial"/>
          <w:sz w:val="24"/>
          <w:szCs w:val="24"/>
          <w:lang w:eastAsia="zh-CN"/>
        </w:rPr>
        <w:t xml:space="preserve"> cargar tantos archivos como se desee en modo por lotes (</w:t>
      </w:r>
      <w:proofErr w:type="spellStart"/>
      <w:r w:rsidRPr="00587278">
        <w:rPr>
          <w:rFonts w:eastAsia="SimSun" w:cs="Arial"/>
          <w:sz w:val="24"/>
          <w:szCs w:val="24"/>
          <w:lang w:eastAsia="zh-CN"/>
        </w:rPr>
        <w:t>batch</w:t>
      </w:r>
      <w:proofErr w:type="spellEnd"/>
      <w:r w:rsidRPr="00587278">
        <w:rPr>
          <w:rFonts w:eastAsia="SimSun" w:cs="Arial"/>
          <w:sz w:val="24"/>
          <w:szCs w:val="24"/>
          <w:lang w:eastAsia="zh-CN"/>
        </w:rPr>
        <w:t xml:space="preserve"> </w:t>
      </w:r>
      <w:proofErr w:type="spellStart"/>
      <w:r w:rsidRPr="00587278">
        <w:rPr>
          <w:rFonts w:eastAsia="SimSun" w:cs="Arial"/>
          <w:sz w:val="24"/>
          <w:szCs w:val="24"/>
          <w:lang w:eastAsia="zh-CN"/>
        </w:rPr>
        <w:t>mode</w:t>
      </w:r>
      <w:proofErr w:type="spellEnd"/>
      <w:r w:rsidRPr="00587278">
        <w:rPr>
          <w:rFonts w:eastAsia="SimSun" w:cs="Arial"/>
          <w:sz w:val="24"/>
          <w:szCs w:val="24"/>
          <w:lang w:eastAsia="zh-CN"/>
        </w:rPr>
        <w:t>) y, al final de la validación de cada archivo, se envía por correo</w:t>
      </w:r>
      <w:r w:rsidR="00711975">
        <w:rPr>
          <w:rFonts w:eastAsia="SimSun" w:cs="Arial"/>
          <w:sz w:val="24"/>
          <w:szCs w:val="24"/>
          <w:lang w:eastAsia="zh-CN"/>
        </w:rPr>
        <w:t xml:space="preserve"> </w:t>
      </w:r>
      <w:r w:rsidRPr="00587278">
        <w:rPr>
          <w:rFonts w:eastAsia="SimSun" w:cs="Arial"/>
          <w:sz w:val="24"/>
          <w:szCs w:val="24"/>
          <w:lang w:eastAsia="zh-CN"/>
        </w:rPr>
        <w:t>e</w:t>
      </w:r>
      <w:r w:rsidR="00711975">
        <w:rPr>
          <w:rFonts w:eastAsia="SimSun" w:cs="Arial"/>
          <w:sz w:val="24"/>
          <w:szCs w:val="24"/>
          <w:lang w:eastAsia="zh-CN"/>
        </w:rPr>
        <w:t>lectrónico</w:t>
      </w:r>
      <w:r w:rsidRPr="00587278">
        <w:rPr>
          <w:rFonts w:eastAsia="SimSun" w:cs="Arial"/>
          <w:sz w:val="24"/>
          <w:szCs w:val="24"/>
          <w:lang w:eastAsia="zh-CN"/>
        </w:rPr>
        <w:t xml:space="preserve"> al usuario un informe de validación completo. </w:t>
      </w:r>
      <w:r w:rsidRPr="00587278">
        <w:rPr>
          <w:sz w:val="24"/>
          <w:szCs w:val="24"/>
        </w:rPr>
        <w:t>Sírvase</w:t>
      </w:r>
      <w:r w:rsidRPr="00587278">
        <w:rPr>
          <w:rFonts w:eastAsia="SimSun" w:cs="Arial"/>
          <w:sz w:val="24"/>
          <w:szCs w:val="24"/>
          <w:lang w:eastAsia="zh-CN"/>
        </w:rPr>
        <w:t xml:space="preserve"> observar que todos los usuarios TIES pueden acceder gratuitamente a este nuevo servicio web</w:t>
      </w:r>
      <w:r w:rsidR="00EF7A21" w:rsidRPr="00587278">
        <w:rPr>
          <w:rFonts w:eastAsia="SimSun" w:cs="Arial"/>
          <w:sz w:val="24"/>
          <w:szCs w:val="24"/>
          <w:lang w:eastAsia="zh-CN"/>
        </w:rPr>
        <w:t>.</w:t>
      </w:r>
    </w:p>
    <w:p w:rsidR="00EF7A21" w:rsidRPr="00587278" w:rsidRDefault="00771CB3" w:rsidP="00771CB3">
      <w:pPr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U</w:t>
      </w:r>
      <w:r w:rsidRPr="00587278">
        <w:rPr>
          <w:rFonts w:eastAsia="SimSun" w:cs="Arial"/>
          <w:sz w:val="24"/>
          <w:szCs w:val="24"/>
          <w:lang w:eastAsia="zh-CN"/>
        </w:rPr>
        <w:t xml:space="preserve">na versión provisional de esta aplicación </w:t>
      </w:r>
      <w:r>
        <w:rPr>
          <w:rFonts w:eastAsia="SimSun" w:cs="Arial"/>
          <w:sz w:val="24"/>
          <w:szCs w:val="24"/>
          <w:lang w:eastAsia="zh-CN"/>
        </w:rPr>
        <w:t>se presentó d</w:t>
      </w:r>
      <w:r w:rsidR="00457C3C" w:rsidRPr="00587278">
        <w:rPr>
          <w:rFonts w:eastAsia="SimSun" w:cs="Arial"/>
          <w:sz w:val="24"/>
          <w:szCs w:val="24"/>
          <w:lang w:eastAsia="zh-CN"/>
        </w:rPr>
        <w:t>urante el Seminario Mundial de Radiocomunicaciones 2014 (</w:t>
      </w:r>
      <w:r w:rsidR="00711975">
        <w:rPr>
          <w:rFonts w:eastAsia="SimSun" w:cs="Arial"/>
          <w:sz w:val="24"/>
          <w:szCs w:val="24"/>
          <w:lang w:eastAsia="zh-CN"/>
        </w:rPr>
        <w:t>WRS</w:t>
      </w:r>
      <w:r w:rsidR="00457C3C" w:rsidRPr="00587278">
        <w:rPr>
          <w:rFonts w:eastAsia="SimSun" w:cs="Arial"/>
          <w:sz w:val="24"/>
          <w:szCs w:val="24"/>
          <w:lang w:eastAsia="zh-CN"/>
        </w:rPr>
        <w:t xml:space="preserve">-14) y los Seminarios Regionales de </w:t>
      </w:r>
      <w:r w:rsidR="00457C3C" w:rsidRPr="00587278">
        <w:rPr>
          <w:sz w:val="24"/>
          <w:szCs w:val="24"/>
        </w:rPr>
        <w:t>Radiocomunicaciones</w:t>
      </w:r>
      <w:r w:rsidR="00457C3C" w:rsidRPr="00587278">
        <w:rPr>
          <w:rFonts w:eastAsia="SimSun" w:cs="Arial"/>
          <w:sz w:val="24"/>
          <w:szCs w:val="24"/>
          <w:lang w:eastAsia="zh-CN"/>
        </w:rPr>
        <w:t xml:space="preserve"> celebrados en</w:t>
      </w:r>
      <w:r>
        <w:rPr>
          <w:rFonts w:eastAsia="SimSun" w:cs="Arial"/>
          <w:sz w:val="24"/>
          <w:szCs w:val="24"/>
          <w:lang w:eastAsia="zh-CN"/>
        </w:rPr>
        <w:t xml:space="preserve"> 2015</w:t>
      </w:r>
      <w:r w:rsidR="00457C3C" w:rsidRPr="00587278">
        <w:rPr>
          <w:rFonts w:eastAsia="SimSun" w:cs="Arial"/>
          <w:sz w:val="24"/>
          <w:szCs w:val="24"/>
          <w:lang w:eastAsia="zh-CN"/>
        </w:rPr>
        <w:t>. Desde entonces, ha sido ampliamente utilizada por algunas administraciones y la información global sobre su uti</w:t>
      </w:r>
      <w:r w:rsidR="00A72ECD" w:rsidRPr="00587278">
        <w:rPr>
          <w:rFonts w:eastAsia="SimSun" w:cs="Arial"/>
          <w:sz w:val="24"/>
          <w:szCs w:val="24"/>
          <w:lang w:eastAsia="zh-CN"/>
        </w:rPr>
        <w:t>lización fue muy satisfactoria.</w:t>
      </w:r>
    </w:p>
    <w:p w:rsidR="00EF7A21" w:rsidRPr="00587278" w:rsidRDefault="00457C3C" w:rsidP="00771CB3">
      <w:pPr>
        <w:rPr>
          <w:rFonts w:eastAsia="SimSun" w:cs="Arial"/>
          <w:sz w:val="24"/>
          <w:szCs w:val="24"/>
          <w:lang w:eastAsia="zh-CN"/>
        </w:rPr>
      </w:pPr>
      <w:r w:rsidRPr="00587278">
        <w:rPr>
          <w:rFonts w:eastAsia="SimSun" w:cs="Arial"/>
          <w:sz w:val="24"/>
          <w:szCs w:val="24"/>
          <w:lang w:eastAsia="zh-CN"/>
        </w:rPr>
        <w:t xml:space="preserve">Con el </w:t>
      </w:r>
      <w:r w:rsidRPr="00587278">
        <w:rPr>
          <w:rFonts w:eastAsia="SimSun"/>
          <w:sz w:val="24"/>
          <w:szCs w:val="24"/>
          <w:lang w:eastAsia="zh-CN"/>
        </w:rPr>
        <w:t>fin</w:t>
      </w:r>
      <w:r w:rsidRPr="00587278">
        <w:rPr>
          <w:rFonts w:eastAsia="SimSun" w:cs="Arial"/>
          <w:sz w:val="24"/>
          <w:szCs w:val="24"/>
          <w:lang w:eastAsia="zh-CN"/>
        </w:rPr>
        <w:t xml:space="preserve"> de acelerar la tramitación de las notificaciones, se invita a todos los notificadores a utilizar esta nueva herramienta para verificar y, en su caso, corregir los archivos de notificación antes de someterlos a la BR a través de WISFAT. Puede solicitar más asistencia acerca del uso de este nuevo servicio </w:t>
      </w:r>
      <w:r w:rsidR="009E204C" w:rsidRPr="00587278">
        <w:rPr>
          <w:rFonts w:eastAsia="SimSun" w:cs="Arial"/>
          <w:sz w:val="24"/>
          <w:szCs w:val="24"/>
          <w:lang w:eastAsia="zh-CN"/>
        </w:rPr>
        <w:t xml:space="preserve">en la dirección </w:t>
      </w:r>
      <w:hyperlink r:id="rId8" w:history="1">
        <w:r w:rsidR="00EF7A21" w:rsidRPr="00587278">
          <w:rPr>
            <w:rFonts w:eastAsia="SimSun" w:cs="Arial"/>
            <w:color w:val="0563C1"/>
            <w:sz w:val="24"/>
            <w:szCs w:val="24"/>
            <w:u w:val="single"/>
            <w:lang w:eastAsia="zh-CN"/>
          </w:rPr>
          <w:t>brtpr_dp@itu.int</w:t>
        </w:r>
      </w:hyperlink>
      <w:r w:rsidR="00EF7A21" w:rsidRPr="00587278">
        <w:rPr>
          <w:rFonts w:eastAsia="SimSun" w:cs="Arial"/>
          <w:color w:val="0563C1"/>
          <w:sz w:val="24"/>
          <w:szCs w:val="24"/>
          <w:u w:val="single"/>
          <w:lang w:eastAsia="zh-CN"/>
        </w:rPr>
        <w:t>.</w:t>
      </w:r>
    </w:p>
    <w:p w:rsidR="00EF7A21" w:rsidRPr="00587278" w:rsidRDefault="009E204C" w:rsidP="00EA7315">
      <w:pPr>
        <w:rPr>
          <w:rFonts w:eastAsia="SimSun"/>
          <w:sz w:val="24"/>
          <w:szCs w:val="24"/>
        </w:rPr>
      </w:pPr>
      <w:r w:rsidRPr="00587278">
        <w:rPr>
          <w:rFonts w:eastAsia="SimSun" w:cs="Arial"/>
          <w:sz w:val="24"/>
          <w:szCs w:val="24"/>
          <w:lang w:eastAsia="zh-CN"/>
        </w:rPr>
        <w:t>La Oficina se mantiene a disposición de su Administración para facilitarle cualquier aclaración que pueda necesitar respecto del asunto tratado en la presente Carta Circular</w:t>
      </w:r>
      <w:r w:rsidR="00EF7A21" w:rsidRPr="00587278">
        <w:rPr>
          <w:rFonts w:eastAsia="SimSun"/>
          <w:sz w:val="24"/>
          <w:szCs w:val="24"/>
        </w:rPr>
        <w:t>.</w:t>
      </w:r>
    </w:p>
    <w:p w:rsidR="00EF7A21" w:rsidRPr="00587278" w:rsidRDefault="00EF7A21" w:rsidP="00496A1C">
      <w:pPr>
        <w:spacing w:before="720"/>
        <w:jc w:val="left"/>
        <w:rPr>
          <w:rFonts w:eastAsia="SimSun"/>
          <w:sz w:val="24"/>
          <w:szCs w:val="24"/>
          <w:lang w:eastAsia="zh-CN"/>
        </w:rPr>
      </w:pPr>
      <w:r w:rsidRPr="00587278">
        <w:rPr>
          <w:rFonts w:eastAsia="SimSun"/>
          <w:sz w:val="24"/>
          <w:szCs w:val="24"/>
          <w:lang w:eastAsia="zh-CN"/>
        </w:rPr>
        <w:t>François Rancy</w:t>
      </w:r>
      <w:r w:rsidR="00A72ECD" w:rsidRPr="00587278">
        <w:rPr>
          <w:rFonts w:eastAsia="SimSun"/>
          <w:sz w:val="24"/>
          <w:szCs w:val="24"/>
          <w:lang w:eastAsia="zh-CN"/>
        </w:rPr>
        <w:br/>
      </w:r>
      <w:r w:rsidRPr="00587278">
        <w:rPr>
          <w:sz w:val="24"/>
          <w:szCs w:val="24"/>
        </w:rPr>
        <w:t>Director</w:t>
      </w:r>
    </w:p>
    <w:p w:rsidR="00EF7A21" w:rsidRPr="00EE2C9E" w:rsidRDefault="00E5625D" w:rsidP="007D21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 w:line="240" w:lineRule="auto"/>
        <w:jc w:val="left"/>
        <w:textAlignment w:val="auto"/>
        <w:rPr>
          <w:rFonts w:eastAsia="SimSun"/>
          <w:b/>
          <w:bCs/>
          <w:sz w:val="18"/>
          <w:szCs w:val="18"/>
          <w:lang w:eastAsia="zh-CN"/>
        </w:rPr>
      </w:pPr>
      <w:r>
        <w:rPr>
          <w:rFonts w:eastAsia="SimSun"/>
          <w:b/>
          <w:bCs/>
          <w:sz w:val="18"/>
          <w:szCs w:val="18"/>
          <w:lang w:eastAsia="zh-CN"/>
        </w:rPr>
        <w:br/>
      </w:r>
      <w:r w:rsidR="00EF7A21" w:rsidRPr="00EE2C9E">
        <w:rPr>
          <w:rFonts w:eastAsia="SimSun"/>
          <w:b/>
          <w:bCs/>
          <w:sz w:val="18"/>
          <w:szCs w:val="18"/>
          <w:lang w:eastAsia="zh-CN"/>
        </w:rPr>
        <w:t>Distribu</w:t>
      </w:r>
      <w:r w:rsidR="009E204C" w:rsidRPr="00EE2C9E">
        <w:rPr>
          <w:rFonts w:eastAsia="SimSun"/>
          <w:b/>
          <w:bCs/>
          <w:sz w:val="18"/>
          <w:szCs w:val="18"/>
          <w:lang w:eastAsia="zh-CN"/>
        </w:rPr>
        <w:t>ció</w:t>
      </w:r>
      <w:r w:rsidR="00EF7A21" w:rsidRPr="00EE2C9E">
        <w:rPr>
          <w:rFonts w:eastAsia="SimSun"/>
          <w:b/>
          <w:bCs/>
          <w:sz w:val="18"/>
          <w:szCs w:val="18"/>
          <w:lang w:eastAsia="zh-CN"/>
        </w:rPr>
        <w:t>n:</w:t>
      </w:r>
    </w:p>
    <w:p w:rsidR="005C4D50" w:rsidRPr="00EE2C9E" w:rsidRDefault="00EF7A21" w:rsidP="00A72ECD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sz w:val="18"/>
          <w:szCs w:val="18"/>
          <w:lang w:eastAsia="zh-CN"/>
        </w:rPr>
      </w:pPr>
      <w:r w:rsidRPr="00EE2C9E">
        <w:rPr>
          <w:rFonts w:eastAsia="SimSun" w:cs="Arial"/>
          <w:sz w:val="18"/>
          <w:szCs w:val="18"/>
          <w:lang w:eastAsia="zh-CN"/>
        </w:rPr>
        <w:t>–</w:t>
      </w:r>
      <w:r w:rsidRPr="00EE2C9E">
        <w:rPr>
          <w:rFonts w:eastAsia="SimSun" w:cs="Arial"/>
          <w:sz w:val="18"/>
          <w:szCs w:val="18"/>
          <w:lang w:eastAsia="zh-CN"/>
        </w:rPr>
        <w:tab/>
      </w:r>
      <w:r w:rsidR="009E204C" w:rsidRPr="00EE2C9E">
        <w:rPr>
          <w:rFonts w:eastAsia="SimSun" w:cs="Arial"/>
          <w:sz w:val="18"/>
          <w:szCs w:val="18"/>
          <w:lang w:eastAsia="zh-CN"/>
        </w:rPr>
        <w:t>Administraciones de los Estados Miembros de la UIT</w:t>
      </w:r>
      <w:r w:rsidRPr="00EE2C9E">
        <w:rPr>
          <w:rFonts w:eastAsia="SimSun" w:cs="Arial"/>
          <w:sz w:val="18"/>
          <w:szCs w:val="18"/>
          <w:lang w:eastAsia="zh-CN"/>
        </w:rPr>
        <w:br/>
        <w:t>–</w:t>
      </w:r>
      <w:r w:rsidRPr="00EE2C9E">
        <w:rPr>
          <w:rFonts w:eastAsia="SimSun" w:cs="Arial"/>
          <w:sz w:val="18"/>
          <w:szCs w:val="18"/>
          <w:lang w:eastAsia="zh-CN"/>
        </w:rPr>
        <w:tab/>
        <w:t>M</w:t>
      </w:r>
      <w:r w:rsidR="009E204C" w:rsidRPr="00EE2C9E">
        <w:rPr>
          <w:rFonts w:eastAsia="SimSun" w:cs="Arial"/>
          <w:sz w:val="18"/>
          <w:szCs w:val="18"/>
          <w:lang w:eastAsia="zh-CN"/>
        </w:rPr>
        <w:t>iembros de la Junta del Reglamento de Radiocomunicaciones</w:t>
      </w:r>
    </w:p>
    <w:sectPr w:rsidR="005C4D50" w:rsidRPr="00EE2C9E" w:rsidSect="00AE77F3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871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4C" w:rsidRDefault="009E204C">
      <w:r>
        <w:separator/>
      </w:r>
    </w:p>
  </w:endnote>
  <w:endnote w:type="continuationSeparator" w:id="0">
    <w:p w:rsidR="009E204C" w:rsidRDefault="009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CD" w:rsidRPr="00A72ECD" w:rsidRDefault="00A72ECD" w:rsidP="00A72ECD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</w:rPr>
    </w:pPr>
    <w:r w:rsidRPr="00A72ECD">
      <w:rPr>
        <w:sz w:val="16"/>
        <w:szCs w:val="16"/>
      </w:rPr>
      <w:fldChar w:fldCharType="begin"/>
    </w:r>
    <w:r w:rsidRPr="00A72ECD">
      <w:rPr>
        <w:sz w:val="16"/>
        <w:szCs w:val="16"/>
      </w:rPr>
      <w:instrText xml:space="preserve"> FILENAME \p  \* MERGEFORMAT </w:instrText>
    </w:r>
    <w:r w:rsidRPr="00A72ECD">
      <w:rPr>
        <w:sz w:val="16"/>
        <w:szCs w:val="16"/>
      </w:rPr>
      <w:fldChar w:fldCharType="separate"/>
    </w:r>
    <w:r w:rsidR="00496A1C">
      <w:rPr>
        <w:noProof/>
        <w:sz w:val="16"/>
        <w:szCs w:val="16"/>
      </w:rPr>
      <w:t>P:\ESP\ITU-R\BR\DIR\CR\300\385S.docx</w:t>
    </w:r>
    <w:r w:rsidRPr="00A72ECD">
      <w:rPr>
        <w:noProof/>
        <w:sz w:val="16"/>
        <w:szCs w:val="16"/>
      </w:rPr>
      <w:fldChar w:fldCharType="end"/>
    </w:r>
    <w:r w:rsidRPr="00A72ECD">
      <w:rPr>
        <w:noProof/>
        <w:sz w:val="16"/>
        <w:szCs w:val="16"/>
      </w:rPr>
      <w:t xml:space="preserve"> (385764)</w:t>
    </w:r>
    <w:r w:rsidRPr="00A72ECD">
      <w:rPr>
        <w:sz w:val="16"/>
        <w:szCs w:val="16"/>
      </w:rPr>
      <w:tab/>
    </w:r>
    <w:r w:rsidRPr="00A72ECD">
      <w:rPr>
        <w:sz w:val="16"/>
        <w:szCs w:val="16"/>
      </w:rPr>
      <w:fldChar w:fldCharType="begin"/>
    </w:r>
    <w:r w:rsidRPr="00A72ECD">
      <w:rPr>
        <w:sz w:val="16"/>
        <w:szCs w:val="16"/>
      </w:rPr>
      <w:instrText xml:space="preserve"> SAVEDATE \@ DD.MM.YY </w:instrText>
    </w:r>
    <w:r w:rsidRPr="00A72ECD">
      <w:rPr>
        <w:sz w:val="16"/>
        <w:szCs w:val="16"/>
      </w:rPr>
      <w:fldChar w:fldCharType="separate"/>
    </w:r>
    <w:r w:rsidR="0005738B">
      <w:rPr>
        <w:noProof/>
        <w:sz w:val="16"/>
        <w:szCs w:val="16"/>
      </w:rPr>
      <w:t>25.08.15</w:t>
    </w:r>
    <w:r w:rsidRPr="00A72ECD">
      <w:rPr>
        <w:sz w:val="16"/>
        <w:szCs w:val="16"/>
      </w:rPr>
      <w:fldChar w:fldCharType="end"/>
    </w:r>
    <w:r w:rsidRPr="00A72ECD">
      <w:rPr>
        <w:sz w:val="16"/>
        <w:szCs w:val="16"/>
      </w:rPr>
      <w:tab/>
    </w:r>
    <w:r w:rsidRPr="00A72ECD">
      <w:rPr>
        <w:sz w:val="16"/>
        <w:szCs w:val="16"/>
      </w:rPr>
      <w:fldChar w:fldCharType="begin"/>
    </w:r>
    <w:r w:rsidRPr="00A72ECD">
      <w:rPr>
        <w:sz w:val="16"/>
        <w:szCs w:val="16"/>
      </w:rPr>
      <w:instrText xml:space="preserve"> PRINTDATE \@ DD.MM.YY </w:instrText>
    </w:r>
    <w:r w:rsidRPr="00A72ECD">
      <w:rPr>
        <w:sz w:val="16"/>
        <w:szCs w:val="16"/>
      </w:rPr>
      <w:fldChar w:fldCharType="separate"/>
    </w:r>
    <w:r w:rsidR="00496A1C">
      <w:rPr>
        <w:noProof/>
        <w:sz w:val="16"/>
        <w:szCs w:val="16"/>
      </w:rPr>
      <w:t>31.07.15</w:t>
    </w:r>
    <w:r w:rsidRPr="00A72EC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4C" w:rsidRDefault="009E204C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6F590F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6F590F">
      <w:rPr>
        <w:color w:val="3E8EDE"/>
        <w:sz w:val="18"/>
        <w:szCs w:val="18"/>
      </w:rPr>
      <w:t>Nations</w:t>
    </w:r>
    <w:proofErr w:type="spellEnd"/>
    <w:r w:rsidRPr="006F590F">
      <w:rPr>
        <w:color w:val="3E8EDE"/>
        <w:sz w:val="18"/>
        <w:szCs w:val="18"/>
      </w:rPr>
      <w:t>, CH</w:t>
    </w:r>
    <w:r w:rsidRPr="006F590F">
      <w:rPr>
        <w:color w:val="3E8EDE"/>
        <w:sz w:val="18"/>
        <w:szCs w:val="18"/>
      </w:rPr>
      <w:noBreakHyphen/>
      <w:t>1211 Ginebra 20, Suiza</w:t>
    </w:r>
    <w:r w:rsidRPr="006F590F">
      <w:rPr>
        <w:color w:val="3E8EDE"/>
        <w:sz w:val="18"/>
        <w:szCs w:val="18"/>
      </w:rPr>
      <w:br/>
      <w:t>Tel</w:t>
    </w:r>
    <w:r w:rsidR="00500D47">
      <w:rPr>
        <w:color w:val="3E8EDE"/>
        <w:sz w:val="18"/>
        <w:szCs w:val="18"/>
      </w:rPr>
      <w:t>.</w:t>
    </w:r>
    <w:r w:rsidRPr="006F590F">
      <w:rPr>
        <w:color w:val="3E8EDE"/>
        <w:sz w:val="18"/>
        <w:szCs w:val="18"/>
      </w:rPr>
      <w:t xml:space="preserve">: +41 22 730 5111 • Fax: +41 22 733 7256 • </w:t>
    </w:r>
    <w:r>
      <w:rPr>
        <w:color w:val="3E8EDE"/>
        <w:sz w:val="18"/>
        <w:szCs w:val="18"/>
      </w:rPr>
      <w:br/>
    </w:r>
    <w:r w:rsidRPr="006F590F">
      <w:rPr>
        <w:color w:val="3E8EDE"/>
        <w:sz w:val="18"/>
        <w:szCs w:val="18"/>
      </w:rPr>
      <w:t xml:space="preserve">Correo-e: </w:t>
    </w:r>
    <w:hyperlink r:id="rId1" w:history="1">
      <w:r w:rsidRPr="006F590F">
        <w:rPr>
          <w:color w:val="3E8EDE"/>
          <w:sz w:val="18"/>
          <w:szCs w:val="18"/>
        </w:rPr>
        <w:t>itumail@itu.int</w:t>
      </w:r>
    </w:hyperlink>
    <w:r w:rsidRPr="006F590F">
      <w:rPr>
        <w:color w:val="3E8EDE"/>
        <w:sz w:val="18"/>
        <w:szCs w:val="18"/>
      </w:rPr>
      <w:t xml:space="preserve"> • </w:t>
    </w:r>
    <w:hyperlink r:id="rId2" w:history="1">
      <w:r w:rsidRPr="006F590F">
        <w:rPr>
          <w:color w:val="3E8EDE"/>
          <w:sz w:val="18"/>
          <w:szCs w:val="18"/>
        </w:rPr>
        <w:t>www.itu.int</w:t>
      </w:r>
    </w:hyperlink>
    <w:r w:rsidRPr="006F590F">
      <w:rPr>
        <w:color w:val="3E8EDE"/>
        <w:sz w:val="18"/>
        <w:szCs w:val="18"/>
      </w:rPr>
      <w:t xml:space="preserve"> • </w:t>
    </w:r>
    <w:hyperlink r:id="rId3" w:history="1">
      <w:r w:rsidR="008A4FBB" w:rsidRPr="00A61241">
        <w:rPr>
          <w:rStyle w:val="Hyperlink"/>
          <w:sz w:val="18"/>
          <w:szCs w:val="18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4C" w:rsidRDefault="009E204C">
      <w:r>
        <w:t>____________________</w:t>
      </w:r>
    </w:p>
  </w:footnote>
  <w:footnote w:type="continuationSeparator" w:id="0">
    <w:p w:rsidR="009E204C" w:rsidRDefault="009E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4C" w:rsidRPr="00AE77F3" w:rsidRDefault="009E204C" w:rsidP="00AE77F3">
    <w:pPr>
      <w:pStyle w:val="Header"/>
    </w:pPr>
    <w:r>
      <w:ptab w:relativeTo="margin" w:alignment="center" w:leader="none"/>
    </w:r>
    <w:r>
      <w:t xml:space="preserve">- </w:t>
    </w:r>
    <w:r w:rsidRPr="0040352D">
      <w:rPr>
        <w:sz w:val="18"/>
        <w:szCs w:val="18"/>
      </w:rPr>
      <w:fldChar w:fldCharType="begin"/>
    </w:r>
    <w:r w:rsidRPr="0040352D">
      <w:rPr>
        <w:sz w:val="18"/>
        <w:szCs w:val="18"/>
      </w:rPr>
      <w:instrText xml:space="preserve"> PAGE   \* MERGEFORMAT </w:instrText>
    </w:r>
    <w:r w:rsidRPr="0040352D">
      <w:rPr>
        <w:sz w:val="18"/>
        <w:szCs w:val="18"/>
      </w:rPr>
      <w:fldChar w:fldCharType="separate"/>
    </w:r>
    <w:r w:rsidR="00771CB3">
      <w:rPr>
        <w:noProof/>
        <w:sz w:val="18"/>
        <w:szCs w:val="18"/>
      </w:rPr>
      <w:t>2</w:t>
    </w:r>
    <w:r w:rsidRPr="0040352D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204C" w:rsidRPr="006F590F" w:rsidTr="00EF7A21">
      <w:tc>
        <w:tcPr>
          <w:tcW w:w="4889" w:type="dxa"/>
        </w:tcPr>
        <w:p w:rsidR="009E204C" w:rsidRPr="006F590F" w:rsidRDefault="009E204C" w:rsidP="00EF7A2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6F590F">
            <w:rPr>
              <w:b/>
              <w:bCs/>
              <w:noProof/>
              <w:lang w:val="en-GB" w:eastAsia="zh-CN"/>
            </w:rPr>
            <w:drawing>
              <wp:inline distT="0" distB="0" distL="0" distR="0" wp14:anchorId="03F90F68" wp14:editId="04D0AD2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204C" w:rsidRPr="006F590F" w:rsidRDefault="009E204C" w:rsidP="00EF7A2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6F590F">
            <w:rPr>
              <w:noProof/>
              <w:lang w:val="en-GB" w:eastAsia="zh-CN"/>
            </w:rPr>
            <w:drawing>
              <wp:inline distT="0" distB="0" distL="0" distR="0" wp14:anchorId="548E5BC5" wp14:editId="746388C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204C" w:rsidRPr="00090F9B" w:rsidRDefault="009E204C" w:rsidP="00090F9B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C4D50"/>
    <w:rsid w:val="00010E30"/>
    <w:rsid w:val="00023857"/>
    <w:rsid w:val="00026CF8"/>
    <w:rsid w:val="0005738B"/>
    <w:rsid w:val="00057E74"/>
    <w:rsid w:val="00070258"/>
    <w:rsid w:val="00072B9B"/>
    <w:rsid w:val="00072E16"/>
    <w:rsid w:val="0007323C"/>
    <w:rsid w:val="00086D03"/>
    <w:rsid w:val="00090F9B"/>
    <w:rsid w:val="000A7051"/>
    <w:rsid w:val="000C03C7"/>
    <w:rsid w:val="000D786F"/>
    <w:rsid w:val="000E3DEE"/>
    <w:rsid w:val="00103C76"/>
    <w:rsid w:val="0011265F"/>
    <w:rsid w:val="001303C7"/>
    <w:rsid w:val="00154BF7"/>
    <w:rsid w:val="0016308F"/>
    <w:rsid w:val="00196710"/>
    <w:rsid w:val="00197324"/>
    <w:rsid w:val="001B1CE8"/>
    <w:rsid w:val="001D7070"/>
    <w:rsid w:val="001E0DF6"/>
    <w:rsid w:val="001F303C"/>
    <w:rsid w:val="001F5A49"/>
    <w:rsid w:val="00200936"/>
    <w:rsid w:val="00201097"/>
    <w:rsid w:val="00201B6E"/>
    <w:rsid w:val="002240B2"/>
    <w:rsid w:val="00235A29"/>
    <w:rsid w:val="00243821"/>
    <w:rsid w:val="002861E6"/>
    <w:rsid w:val="002A2700"/>
    <w:rsid w:val="002B0880"/>
    <w:rsid w:val="002D5322"/>
    <w:rsid w:val="002D6688"/>
    <w:rsid w:val="002E54EE"/>
    <w:rsid w:val="002E7E4D"/>
    <w:rsid w:val="002F0890"/>
    <w:rsid w:val="002F3598"/>
    <w:rsid w:val="003370B8"/>
    <w:rsid w:val="003666FF"/>
    <w:rsid w:val="003741EE"/>
    <w:rsid w:val="00376793"/>
    <w:rsid w:val="003B2BDA"/>
    <w:rsid w:val="003B55EC"/>
    <w:rsid w:val="003C4471"/>
    <w:rsid w:val="003C450E"/>
    <w:rsid w:val="003E504F"/>
    <w:rsid w:val="0040352D"/>
    <w:rsid w:val="004326DB"/>
    <w:rsid w:val="0043682E"/>
    <w:rsid w:val="00457C3C"/>
    <w:rsid w:val="004815EB"/>
    <w:rsid w:val="00486DE0"/>
    <w:rsid w:val="00496920"/>
    <w:rsid w:val="00496A1C"/>
    <w:rsid w:val="004B5BA4"/>
    <w:rsid w:val="004B7C9A"/>
    <w:rsid w:val="004C4BA6"/>
    <w:rsid w:val="004E0DC4"/>
    <w:rsid w:val="004E0FB5"/>
    <w:rsid w:val="004E43BB"/>
    <w:rsid w:val="004F178E"/>
    <w:rsid w:val="00500D47"/>
    <w:rsid w:val="00505309"/>
    <w:rsid w:val="0050789B"/>
    <w:rsid w:val="00515771"/>
    <w:rsid w:val="005242A4"/>
    <w:rsid w:val="005323E5"/>
    <w:rsid w:val="00542A47"/>
    <w:rsid w:val="00543DF8"/>
    <w:rsid w:val="00546101"/>
    <w:rsid w:val="00553DD7"/>
    <w:rsid w:val="0057469A"/>
    <w:rsid w:val="00580814"/>
    <w:rsid w:val="00587278"/>
    <w:rsid w:val="005A03A3"/>
    <w:rsid w:val="005A15B8"/>
    <w:rsid w:val="005B214C"/>
    <w:rsid w:val="005B5FF1"/>
    <w:rsid w:val="005C4551"/>
    <w:rsid w:val="005C4D50"/>
    <w:rsid w:val="005C6B83"/>
    <w:rsid w:val="00602D53"/>
    <w:rsid w:val="00612D2E"/>
    <w:rsid w:val="00651777"/>
    <w:rsid w:val="00652E69"/>
    <w:rsid w:val="00690C51"/>
    <w:rsid w:val="00694497"/>
    <w:rsid w:val="006A0A47"/>
    <w:rsid w:val="006B0590"/>
    <w:rsid w:val="006B49DA"/>
    <w:rsid w:val="006C3036"/>
    <w:rsid w:val="006F590F"/>
    <w:rsid w:val="00707216"/>
    <w:rsid w:val="00711975"/>
    <w:rsid w:val="007234B1"/>
    <w:rsid w:val="00730B9A"/>
    <w:rsid w:val="00771CB3"/>
    <w:rsid w:val="007921A7"/>
    <w:rsid w:val="007A1708"/>
    <w:rsid w:val="007A5C27"/>
    <w:rsid w:val="007B3DB1"/>
    <w:rsid w:val="007D183E"/>
    <w:rsid w:val="007D212C"/>
    <w:rsid w:val="007E3F13"/>
    <w:rsid w:val="007F06D0"/>
    <w:rsid w:val="00800012"/>
    <w:rsid w:val="00811D34"/>
    <w:rsid w:val="0081513E"/>
    <w:rsid w:val="00816E74"/>
    <w:rsid w:val="00823210"/>
    <w:rsid w:val="00843445"/>
    <w:rsid w:val="00847D46"/>
    <w:rsid w:val="00854131"/>
    <w:rsid w:val="0085652D"/>
    <w:rsid w:val="0087694B"/>
    <w:rsid w:val="008802FB"/>
    <w:rsid w:val="008A4FBB"/>
    <w:rsid w:val="008D3D42"/>
    <w:rsid w:val="008F4F21"/>
    <w:rsid w:val="009015F8"/>
    <w:rsid w:val="00904D4A"/>
    <w:rsid w:val="009151BA"/>
    <w:rsid w:val="009277BC"/>
    <w:rsid w:val="00927D57"/>
    <w:rsid w:val="00936628"/>
    <w:rsid w:val="00941D23"/>
    <w:rsid w:val="0095010C"/>
    <w:rsid w:val="00963D9D"/>
    <w:rsid w:val="00965617"/>
    <w:rsid w:val="00981B54"/>
    <w:rsid w:val="009842C3"/>
    <w:rsid w:val="009A6BB6"/>
    <w:rsid w:val="009C161F"/>
    <w:rsid w:val="009E204C"/>
    <w:rsid w:val="009E4AEC"/>
    <w:rsid w:val="009E5BD8"/>
    <w:rsid w:val="009E681E"/>
    <w:rsid w:val="00A34D6F"/>
    <w:rsid w:val="00A41F91"/>
    <w:rsid w:val="00A72ECD"/>
    <w:rsid w:val="00A86A44"/>
    <w:rsid w:val="00A963DF"/>
    <w:rsid w:val="00AB7507"/>
    <w:rsid w:val="00AB7B13"/>
    <w:rsid w:val="00AC3896"/>
    <w:rsid w:val="00AE6CFA"/>
    <w:rsid w:val="00AE77F3"/>
    <w:rsid w:val="00AF3325"/>
    <w:rsid w:val="00B34CF9"/>
    <w:rsid w:val="00B67004"/>
    <w:rsid w:val="00B8117B"/>
    <w:rsid w:val="00B90C45"/>
    <w:rsid w:val="00B933BE"/>
    <w:rsid w:val="00BA4E26"/>
    <w:rsid w:val="00BB4069"/>
    <w:rsid w:val="00BD3929"/>
    <w:rsid w:val="00BD7E5E"/>
    <w:rsid w:val="00BE6574"/>
    <w:rsid w:val="00BF4AF2"/>
    <w:rsid w:val="00C06412"/>
    <w:rsid w:val="00C54AC2"/>
    <w:rsid w:val="00C57E2C"/>
    <w:rsid w:val="00C608B7"/>
    <w:rsid w:val="00C66F24"/>
    <w:rsid w:val="00C9291E"/>
    <w:rsid w:val="00CA30FC"/>
    <w:rsid w:val="00CA3F44"/>
    <w:rsid w:val="00CA4E58"/>
    <w:rsid w:val="00CB3771"/>
    <w:rsid w:val="00CB5153"/>
    <w:rsid w:val="00CC0DA0"/>
    <w:rsid w:val="00CF6752"/>
    <w:rsid w:val="00D03415"/>
    <w:rsid w:val="00D05EC2"/>
    <w:rsid w:val="00D10BA0"/>
    <w:rsid w:val="00D24EB5"/>
    <w:rsid w:val="00D3457B"/>
    <w:rsid w:val="00D41571"/>
    <w:rsid w:val="00D416A0"/>
    <w:rsid w:val="00D47672"/>
    <w:rsid w:val="00D5123C"/>
    <w:rsid w:val="00D51C9E"/>
    <w:rsid w:val="00D55560"/>
    <w:rsid w:val="00D61C5A"/>
    <w:rsid w:val="00DE66A5"/>
    <w:rsid w:val="00DF1C92"/>
    <w:rsid w:val="00DF2B50"/>
    <w:rsid w:val="00E003F5"/>
    <w:rsid w:val="00E04C86"/>
    <w:rsid w:val="00E20F30"/>
    <w:rsid w:val="00E24C1D"/>
    <w:rsid w:val="00E27BBA"/>
    <w:rsid w:val="00E34CD1"/>
    <w:rsid w:val="00E35E8F"/>
    <w:rsid w:val="00E438E8"/>
    <w:rsid w:val="00E520E2"/>
    <w:rsid w:val="00E5625D"/>
    <w:rsid w:val="00E64254"/>
    <w:rsid w:val="00E93426"/>
    <w:rsid w:val="00EA15B3"/>
    <w:rsid w:val="00EA7315"/>
    <w:rsid w:val="00EB2358"/>
    <w:rsid w:val="00EB3EB8"/>
    <w:rsid w:val="00EE2C9E"/>
    <w:rsid w:val="00EF71D4"/>
    <w:rsid w:val="00EF7A21"/>
    <w:rsid w:val="00F42C8C"/>
    <w:rsid w:val="00F468C5"/>
    <w:rsid w:val="00F52F39"/>
    <w:rsid w:val="00F55EAB"/>
    <w:rsid w:val="00F70367"/>
    <w:rsid w:val="00F914DD"/>
    <w:rsid w:val="00FA2358"/>
    <w:rsid w:val="00FB2592"/>
    <w:rsid w:val="00FB2810"/>
    <w:rsid w:val="00FC2947"/>
    <w:rsid w:val="00FD561E"/>
    <w:rsid w:val="00FE0818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FF1A815-B3FE-4D49-A6F5-C750460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5C4D50"/>
    <w:rPr>
      <w:b/>
      <w:sz w:val="24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"/>
    <w:rsid w:val="005C4D5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Reasons">
    <w:name w:val="Reasons"/>
    <w:basedOn w:val="Normal"/>
    <w:qFormat/>
    <w:rsid w:val="005C4D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AE77F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C450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pr_dp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ITU-R/terrestrial/OnlineValidation/Login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ITU\Letter-Fax-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79A6180E214C0EA37925180497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0E39-9AB7-4F15-8F68-1BC818CD294F}"/>
      </w:docPartPr>
      <w:docPartBody>
        <w:p w:rsidR="00A049EB" w:rsidRDefault="009D1C96" w:rsidP="009D1C96">
          <w:pPr>
            <w:pStyle w:val="6F79A6180E214C0EA37925180497D0C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96"/>
    <w:rsid w:val="009D1C96"/>
    <w:rsid w:val="00A049EB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C96"/>
    <w:rPr>
      <w:color w:val="808080"/>
    </w:rPr>
  </w:style>
  <w:style w:type="paragraph" w:customStyle="1" w:styleId="2EC20A9D0B874421B6779E54E6B8A8BF">
    <w:name w:val="2EC20A9D0B874421B6779E54E6B8A8BF"/>
  </w:style>
  <w:style w:type="paragraph" w:customStyle="1" w:styleId="6F79A6180E214C0EA37925180497D0C0">
    <w:name w:val="6F79A6180E214C0EA37925180497D0C0"/>
    <w:rsid w:val="009D1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Letter-Fax-S.dotm</Template>
  <TotalTime>38</TotalTime>
  <Pages>1</Pages>
  <Words>345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2470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Christe-Baldan, Susana</dc:creator>
  <cp:keywords>.Book 1,,Book 1</cp:keywords>
  <dc:description>ASM                                 1.12.04      SP_x000d_
Corr. BAT                         8.12.04      SP</dc:description>
  <cp:lastModifiedBy>Gimenez, Christine</cp:lastModifiedBy>
  <cp:revision>31</cp:revision>
  <cp:lastPrinted>2015-07-31T07:51:00Z</cp:lastPrinted>
  <dcterms:created xsi:type="dcterms:W3CDTF">2015-08-03T07:52:00Z</dcterms:created>
  <dcterms:modified xsi:type="dcterms:W3CDTF">2015-08-27T07:08:00Z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