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BA1EB1" w:rsidTr="006160CB">
        <w:tc>
          <w:tcPr>
            <w:tcW w:w="9889" w:type="dxa"/>
            <w:gridSpan w:val="3"/>
            <w:shd w:val="clear" w:color="auto" w:fill="auto"/>
          </w:tcPr>
          <w:p w:rsidR="00E53DCE" w:rsidRPr="00BA1EB1" w:rsidRDefault="00A96D3A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</w:pPr>
            <w:r w:rsidRPr="00BA1EB1"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  <w:t>Oficina de Radiocomunicaciones (BR)</w:t>
            </w:r>
          </w:p>
          <w:p w:rsidR="00E53DCE" w:rsidRPr="00BA1EB1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</w:pPr>
          </w:p>
          <w:p w:rsidR="00E53DCE" w:rsidRPr="00BA1EB1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s-ES_tradnl"/>
              </w:rPr>
            </w:pPr>
          </w:p>
        </w:tc>
      </w:tr>
      <w:tr w:rsidR="00E53DCE" w:rsidRPr="00FC3DD5" w:rsidTr="006160CB">
        <w:tc>
          <w:tcPr>
            <w:tcW w:w="7054" w:type="dxa"/>
            <w:gridSpan w:val="2"/>
            <w:shd w:val="clear" w:color="auto" w:fill="auto"/>
          </w:tcPr>
          <w:p w:rsidR="00E53DCE" w:rsidRPr="00FC3DD5" w:rsidRDefault="00ED06A0" w:rsidP="006160CB">
            <w:pPr>
              <w:spacing w:before="0"/>
              <w:jc w:val="left"/>
              <w:rPr>
                <w:sz w:val="24"/>
                <w:szCs w:val="24"/>
                <w:lang w:val="es-ES_tradnl"/>
              </w:rPr>
            </w:pPr>
            <w:r w:rsidRPr="00FC3DD5">
              <w:rPr>
                <w:sz w:val="24"/>
                <w:szCs w:val="24"/>
                <w:lang w:val="es-ES_tradnl"/>
              </w:rPr>
              <w:t>Carta Circular</w:t>
            </w:r>
          </w:p>
          <w:p w:rsidR="00E53DCE" w:rsidRPr="00FC3DD5" w:rsidRDefault="00E53DCE" w:rsidP="009602C7">
            <w:pPr>
              <w:spacing w:before="0"/>
              <w:jc w:val="left"/>
              <w:rPr>
                <w:b/>
                <w:bCs/>
                <w:sz w:val="24"/>
                <w:szCs w:val="24"/>
                <w:lang w:val="es-ES_tradnl"/>
              </w:rPr>
            </w:pPr>
            <w:r w:rsidRPr="00FC3DD5">
              <w:rPr>
                <w:b/>
                <w:bCs/>
                <w:sz w:val="24"/>
                <w:szCs w:val="24"/>
                <w:lang w:val="es-ES_tradnl"/>
              </w:rPr>
              <w:t>C</w:t>
            </w:r>
            <w:r w:rsidR="00ED06A0" w:rsidRPr="00FC3DD5">
              <w:rPr>
                <w:b/>
                <w:bCs/>
                <w:sz w:val="24"/>
                <w:szCs w:val="24"/>
                <w:lang w:val="es-ES_tradnl"/>
              </w:rPr>
              <w:t>R</w:t>
            </w:r>
            <w:r w:rsidRPr="00FC3DD5">
              <w:rPr>
                <w:b/>
                <w:bCs/>
                <w:sz w:val="24"/>
                <w:szCs w:val="24"/>
                <w:lang w:val="es-ES_tradnl"/>
              </w:rPr>
              <w:t>/</w:t>
            </w:r>
            <w:r w:rsidR="009602C7">
              <w:rPr>
                <w:b/>
                <w:bCs/>
                <w:sz w:val="24"/>
                <w:szCs w:val="24"/>
                <w:lang w:val="es-ES_tradnl"/>
              </w:rPr>
              <w:t>388</w:t>
            </w:r>
          </w:p>
        </w:tc>
        <w:tc>
          <w:tcPr>
            <w:tcW w:w="2835" w:type="dxa"/>
            <w:shd w:val="clear" w:color="auto" w:fill="auto"/>
          </w:tcPr>
          <w:p w:rsidR="00E53DCE" w:rsidRPr="00FC3DD5" w:rsidRDefault="00D856E8" w:rsidP="009602C7">
            <w:pPr>
              <w:spacing w:before="0"/>
              <w:jc w:val="right"/>
              <w:rPr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7</w:t>
            </w:r>
            <w:bookmarkStart w:id="0" w:name="_GoBack"/>
            <w:bookmarkEnd w:id="0"/>
            <w:r w:rsidR="00A96D3A" w:rsidRPr="00FC3DD5">
              <w:rPr>
                <w:bCs/>
                <w:sz w:val="24"/>
                <w:szCs w:val="24"/>
                <w:lang w:val="es-ES_tradnl"/>
              </w:rPr>
              <w:t xml:space="preserve"> de </w:t>
            </w:r>
            <w:r w:rsidR="00874F9B" w:rsidRPr="00FC3DD5">
              <w:rPr>
                <w:bCs/>
                <w:sz w:val="24"/>
                <w:szCs w:val="24"/>
                <w:lang w:val="es-ES_tradnl"/>
              </w:rPr>
              <w:t>diciembre</w:t>
            </w:r>
            <w:r w:rsidR="00A96D3A" w:rsidRPr="00FC3DD5">
              <w:rPr>
                <w:bCs/>
                <w:sz w:val="24"/>
                <w:szCs w:val="24"/>
                <w:lang w:val="es-ES_tradnl"/>
              </w:rPr>
              <w:t xml:space="preserve"> de </w:t>
            </w:r>
            <w:r w:rsidR="009602C7">
              <w:rPr>
                <w:bCs/>
                <w:sz w:val="24"/>
                <w:szCs w:val="24"/>
                <w:lang w:val="es-ES_tradnl"/>
              </w:rPr>
              <w:t>2015</w:t>
            </w:r>
          </w:p>
        </w:tc>
      </w:tr>
      <w:tr w:rsidR="00E53DCE" w:rsidRPr="00FC3DD5" w:rsidTr="006160CB">
        <w:tc>
          <w:tcPr>
            <w:tcW w:w="9889" w:type="dxa"/>
            <w:gridSpan w:val="3"/>
            <w:shd w:val="clear" w:color="auto" w:fill="auto"/>
          </w:tcPr>
          <w:p w:rsidR="00E53DCE" w:rsidRPr="00FC3DD5" w:rsidRDefault="00E53DCE" w:rsidP="006160CB">
            <w:pPr>
              <w:spacing w:before="0"/>
              <w:jc w:val="left"/>
              <w:rPr>
                <w:rFonts w:cs="Arial"/>
                <w:sz w:val="24"/>
                <w:szCs w:val="24"/>
                <w:lang w:val="es-ES_tradnl"/>
              </w:rPr>
            </w:pPr>
          </w:p>
        </w:tc>
      </w:tr>
      <w:tr w:rsidR="00E53DCE" w:rsidRPr="00FC3DD5" w:rsidTr="006160CB">
        <w:tc>
          <w:tcPr>
            <w:tcW w:w="9889" w:type="dxa"/>
            <w:gridSpan w:val="3"/>
            <w:shd w:val="clear" w:color="auto" w:fill="auto"/>
          </w:tcPr>
          <w:p w:rsidR="00E53DCE" w:rsidRPr="00FC3DD5" w:rsidRDefault="00E53DCE" w:rsidP="006160CB">
            <w:pPr>
              <w:spacing w:before="0"/>
              <w:jc w:val="left"/>
              <w:rPr>
                <w:sz w:val="24"/>
                <w:szCs w:val="24"/>
                <w:lang w:val="es-ES_tradnl"/>
              </w:rPr>
            </w:pPr>
          </w:p>
        </w:tc>
      </w:tr>
      <w:tr w:rsidR="00E53DCE" w:rsidRPr="00D856E8" w:rsidTr="006160CB">
        <w:tc>
          <w:tcPr>
            <w:tcW w:w="9889" w:type="dxa"/>
            <w:gridSpan w:val="3"/>
            <w:shd w:val="clear" w:color="auto" w:fill="auto"/>
          </w:tcPr>
          <w:p w:rsidR="00E53DCE" w:rsidRPr="00FC3DD5" w:rsidRDefault="00AB4101" w:rsidP="006160CB">
            <w:pPr>
              <w:spacing w:before="0"/>
              <w:jc w:val="left"/>
              <w:rPr>
                <w:b/>
                <w:bCs/>
                <w:sz w:val="24"/>
                <w:szCs w:val="24"/>
                <w:lang w:val="es-ES_tradnl"/>
              </w:rPr>
            </w:pPr>
            <w:r w:rsidRPr="00FC3DD5">
              <w:rPr>
                <w:b/>
                <w:sz w:val="24"/>
                <w:szCs w:val="24"/>
                <w:lang w:val="es-ES_tradnl"/>
              </w:rPr>
              <w:t>A las Administraciones de los Estados Miembros de la UIT</w:t>
            </w:r>
          </w:p>
          <w:p w:rsidR="00E53DCE" w:rsidRPr="00FC3DD5" w:rsidRDefault="00E53DCE" w:rsidP="006160CB">
            <w:pPr>
              <w:spacing w:before="0"/>
              <w:jc w:val="left"/>
              <w:rPr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E53DCE" w:rsidRPr="00D856E8" w:rsidTr="006160CB">
        <w:tc>
          <w:tcPr>
            <w:tcW w:w="9889" w:type="dxa"/>
            <w:gridSpan w:val="3"/>
            <w:shd w:val="clear" w:color="auto" w:fill="auto"/>
          </w:tcPr>
          <w:p w:rsidR="00E53DCE" w:rsidRPr="00FC3DD5" w:rsidRDefault="00E53DCE" w:rsidP="006160CB">
            <w:pPr>
              <w:spacing w:before="0"/>
              <w:jc w:val="left"/>
              <w:rPr>
                <w:sz w:val="24"/>
                <w:szCs w:val="24"/>
                <w:lang w:val="es-ES_tradnl"/>
              </w:rPr>
            </w:pPr>
          </w:p>
        </w:tc>
      </w:tr>
      <w:tr w:rsidR="00E53DCE" w:rsidRPr="00D856E8" w:rsidTr="006160CB">
        <w:tc>
          <w:tcPr>
            <w:tcW w:w="9889" w:type="dxa"/>
            <w:gridSpan w:val="3"/>
            <w:shd w:val="clear" w:color="auto" w:fill="auto"/>
          </w:tcPr>
          <w:p w:rsidR="00E53DCE" w:rsidRPr="00FC3DD5" w:rsidRDefault="00E53DCE" w:rsidP="006160CB">
            <w:pPr>
              <w:spacing w:before="0"/>
              <w:jc w:val="left"/>
              <w:rPr>
                <w:sz w:val="24"/>
                <w:szCs w:val="24"/>
                <w:lang w:val="es-ES_tradnl"/>
              </w:rPr>
            </w:pPr>
          </w:p>
        </w:tc>
      </w:tr>
      <w:tr w:rsidR="00E53DCE" w:rsidRPr="00D856E8" w:rsidTr="006160CB">
        <w:tc>
          <w:tcPr>
            <w:tcW w:w="1526" w:type="dxa"/>
            <w:shd w:val="clear" w:color="auto" w:fill="auto"/>
          </w:tcPr>
          <w:p w:rsidR="00E53DCE" w:rsidRPr="00FC3DD5" w:rsidRDefault="00AB4101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 w:val="24"/>
                <w:szCs w:val="24"/>
                <w:lang w:val="es-ES_tradnl"/>
              </w:rPr>
            </w:pPr>
            <w:r w:rsidRPr="00FC3DD5">
              <w:rPr>
                <w:sz w:val="24"/>
                <w:szCs w:val="24"/>
                <w:lang w:val="es-ES_tradnl"/>
              </w:rPr>
              <w:t>Asunto</w:t>
            </w:r>
            <w:r w:rsidR="00A96D3A" w:rsidRPr="00FC3DD5">
              <w:rPr>
                <w:sz w:val="24"/>
                <w:szCs w:val="24"/>
                <w:lang w:val="es-ES_tradnl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E53DCE" w:rsidRPr="00FC3DD5" w:rsidRDefault="00D411AD" w:rsidP="00BA1EB1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 w:val="24"/>
                <w:szCs w:val="24"/>
                <w:lang w:val="es-ES_tradnl"/>
              </w:rPr>
            </w:pPr>
            <w:r w:rsidRPr="00FC3DD5">
              <w:rPr>
                <w:b/>
                <w:bCs/>
                <w:sz w:val="24"/>
                <w:szCs w:val="24"/>
                <w:lang w:val="es-ES_tradnl"/>
              </w:rPr>
              <w:t>Cierre de las Oficinas de la BR/UIT durante los días festivos en Ginebra</w:t>
            </w:r>
          </w:p>
        </w:tc>
      </w:tr>
      <w:tr w:rsidR="00E53DCE" w:rsidRPr="00D856E8" w:rsidTr="006160CB">
        <w:tc>
          <w:tcPr>
            <w:tcW w:w="1526" w:type="dxa"/>
            <w:shd w:val="clear" w:color="auto" w:fill="auto"/>
          </w:tcPr>
          <w:p w:rsidR="00E53DCE" w:rsidRPr="00FC3DD5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FC3DD5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E53DCE" w:rsidRPr="00D856E8" w:rsidTr="006160CB">
        <w:tc>
          <w:tcPr>
            <w:tcW w:w="1526" w:type="dxa"/>
            <w:shd w:val="clear" w:color="auto" w:fill="auto"/>
          </w:tcPr>
          <w:p w:rsidR="00E53DCE" w:rsidRPr="00FC3DD5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FC3DD5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E53DCE" w:rsidRPr="00D856E8" w:rsidTr="006160CB">
        <w:tc>
          <w:tcPr>
            <w:tcW w:w="9889" w:type="dxa"/>
            <w:gridSpan w:val="3"/>
            <w:shd w:val="clear" w:color="auto" w:fill="auto"/>
          </w:tcPr>
          <w:p w:rsidR="00E53DCE" w:rsidRPr="00FC3DD5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 w:val="24"/>
                <w:szCs w:val="24"/>
                <w:lang w:val="es-ES_tradnl"/>
              </w:rPr>
            </w:pPr>
          </w:p>
        </w:tc>
      </w:tr>
      <w:tr w:rsidR="00E53DCE" w:rsidRPr="00D856E8" w:rsidTr="006160CB">
        <w:tc>
          <w:tcPr>
            <w:tcW w:w="9889" w:type="dxa"/>
            <w:gridSpan w:val="3"/>
            <w:shd w:val="clear" w:color="auto" w:fill="auto"/>
          </w:tcPr>
          <w:p w:rsidR="00E53DCE" w:rsidRPr="00FC3DD5" w:rsidRDefault="00E53DCE" w:rsidP="006160CB">
            <w:pPr>
              <w:spacing w:before="0"/>
              <w:jc w:val="left"/>
              <w:rPr>
                <w:b/>
                <w:bCs/>
                <w:sz w:val="24"/>
                <w:szCs w:val="24"/>
                <w:lang w:val="es-ES_tradnl"/>
              </w:rPr>
            </w:pPr>
          </w:p>
        </w:tc>
      </w:tr>
    </w:tbl>
    <w:p w:rsidR="00AB4101" w:rsidRPr="00FC3DD5" w:rsidRDefault="00D411AD" w:rsidP="00F02270">
      <w:pPr>
        <w:rPr>
          <w:sz w:val="24"/>
          <w:szCs w:val="24"/>
          <w:lang w:val="es-ES_tradnl"/>
        </w:rPr>
      </w:pPr>
      <w:r w:rsidRPr="00FC3DD5">
        <w:rPr>
          <w:sz w:val="24"/>
          <w:szCs w:val="24"/>
          <w:lang w:val="es-ES_tradnl"/>
        </w:rPr>
        <w:t>En el punto 2 de la Regla de Procedimiento relativa a la aceptabilidad de los formularios de notificación, se establecen las disposiciones para la recepción de notificaciones en las Oficinas de la BR de la UIT en Ginebra. Con arreglo a esta disposición, le informamos por la presente que la Oficina estará cerrada los días siguientes:</w:t>
      </w:r>
    </w:p>
    <w:p w:rsidR="00173212" w:rsidRPr="00F67AC8" w:rsidRDefault="00173212" w:rsidP="009602C7">
      <w:pPr>
        <w:pStyle w:val="ListParagraph"/>
        <w:numPr>
          <w:ilvl w:val="0"/>
          <w:numId w:val="4"/>
        </w:numPr>
        <w:tabs>
          <w:tab w:val="clear" w:pos="794"/>
          <w:tab w:val="clear" w:pos="1191"/>
          <w:tab w:val="clear" w:pos="1588"/>
          <w:tab w:val="clear" w:pos="1985"/>
        </w:tabs>
        <w:spacing w:line="360" w:lineRule="auto"/>
        <w:rPr>
          <w:sz w:val="24"/>
          <w:szCs w:val="24"/>
          <w:lang w:val="es-ES_tradnl"/>
        </w:rPr>
      </w:pPr>
      <w:r w:rsidRPr="00F67AC8">
        <w:rPr>
          <w:sz w:val="24"/>
          <w:szCs w:val="24"/>
          <w:lang w:val="es-ES_tradnl"/>
        </w:rPr>
        <w:t xml:space="preserve">del </w:t>
      </w:r>
      <w:r w:rsidR="009602C7">
        <w:rPr>
          <w:sz w:val="24"/>
          <w:szCs w:val="24"/>
          <w:lang w:val="es-ES_tradnl"/>
        </w:rPr>
        <w:t>viernes</w:t>
      </w:r>
      <w:r w:rsidRPr="00F67AC8">
        <w:rPr>
          <w:sz w:val="24"/>
          <w:szCs w:val="24"/>
          <w:lang w:val="es-ES_tradnl"/>
        </w:rPr>
        <w:t xml:space="preserve"> </w:t>
      </w:r>
      <w:r w:rsidR="00CC5890" w:rsidRPr="00F67AC8">
        <w:rPr>
          <w:sz w:val="24"/>
          <w:szCs w:val="24"/>
          <w:lang w:val="es-ES_tradnl"/>
        </w:rPr>
        <w:t>25</w:t>
      </w:r>
      <w:r w:rsidRPr="00F67AC8">
        <w:rPr>
          <w:sz w:val="24"/>
          <w:szCs w:val="24"/>
          <w:lang w:val="es-ES_tradnl"/>
        </w:rPr>
        <w:t xml:space="preserve"> de diciembre de </w:t>
      </w:r>
      <w:r w:rsidR="009602C7">
        <w:rPr>
          <w:sz w:val="24"/>
          <w:szCs w:val="24"/>
          <w:lang w:val="es-ES_tradnl"/>
        </w:rPr>
        <w:t>2015</w:t>
      </w:r>
      <w:r w:rsidRPr="00F67AC8">
        <w:rPr>
          <w:sz w:val="24"/>
          <w:szCs w:val="24"/>
          <w:lang w:val="es-ES_tradnl"/>
        </w:rPr>
        <w:t xml:space="preserve"> al </w:t>
      </w:r>
      <w:r w:rsidR="009602C7">
        <w:rPr>
          <w:sz w:val="24"/>
          <w:szCs w:val="24"/>
          <w:lang w:val="es-ES_tradnl"/>
        </w:rPr>
        <w:t>domingo</w:t>
      </w:r>
      <w:r w:rsidRPr="00F67AC8">
        <w:rPr>
          <w:sz w:val="24"/>
          <w:szCs w:val="24"/>
          <w:lang w:val="es-ES_tradnl"/>
        </w:rPr>
        <w:t xml:space="preserve"> </w:t>
      </w:r>
      <w:r w:rsidR="009602C7">
        <w:rPr>
          <w:sz w:val="24"/>
          <w:szCs w:val="24"/>
          <w:lang w:val="es-ES_tradnl"/>
        </w:rPr>
        <w:t>3</w:t>
      </w:r>
      <w:r w:rsidRPr="00F67AC8">
        <w:rPr>
          <w:sz w:val="24"/>
          <w:szCs w:val="24"/>
          <w:lang w:val="es-ES_tradnl"/>
        </w:rPr>
        <w:t xml:space="preserve"> de enero de </w:t>
      </w:r>
      <w:r w:rsidR="00CC5890" w:rsidRPr="00F67AC8">
        <w:rPr>
          <w:sz w:val="24"/>
          <w:szCs w:val="24"/>
          <w:lang w:val="es-ES_tradnl"/>
        </w:rPr>
        <w:t>201</w:t>
      </w:r>
      <w:r w:rsidR="009602C7">
        <w:rPr>
          <w:sz w:val="24"/>
          <w:szCs w:val="24"/>
          <w:lang w:val="es-ES_tradnl"/>
        </w:rPr>
        <w:t>6</w:t>
      </w:r>
      <w:r w:rsidRPr="00F67AC8">
        <w:rPr>
          <w:sz w:val="24"/>
          <w:szCs w:val="24"/>
          <w:lang w:val="es-ES_tradnl"/>
        </w:rPr>
        <w:t>, incluido ;</w:t>
      </w:r>
    </w:p>
    <w:p w:rsidR="004D33A2" w:rsidRPr="00F67AC8" w:rsidRDefault="00173212" w:rsidP="008F5371">
      <w:pPr>
        <w:pStyle w:val="ListParagraph"/>
        <w:numPr>
          <w:ilvl w:val="0"/>
          <w:numId w:val="4"/>
        </w:numPr>
        <w:spacing w:line="360" w:lineRule="auto"/>
        <w:jc w:val="left"/>
        <w:rPr>
          <w:sz w:val="24"/>
          <w:szCs w:val="24"/>
          <w:lang w:val="es-ES_tradnl"/>
        </w:rPr>
      </w:pPr>
      <w:r w:rsidRPr="00F67AC8">
        <w:rPr>
          <w:sz w:val="24"/>
          <w:szCs w:val="24"/>
          <w:lang w:val="es-ES_tradnl"/>
        </w:rPr>
        <w:t xml:space="preserve">del viernes </w:t>
      </w:r>
      <w:r w:rsidR="009602C7">
        <w:rPr>
          <w:sz w:val="24"/>
          <w:szCs w:val="24"/>
          <w:lang w:val="es-ES_tradnl"/>
        </w:rPr>
        <w:t>25</w:t>
      </w:r>
      <w:r w:rsidRPr="00F67AC8">
        <w:rPr>
          <w:sz w:val="24"/>
          <w:szCs w:val="24"/>
          <w:lang w:val="es-ES_tradnl"/>
        </w:rPr>
        <w:t xml:space="preserve"> de </w:t>
      </w:r>
      <w:r w:rsidR="009602C7">
        <w:rPr>
          <w:sz w:val="24"/>
          <w:szCs w:val="24"/>
          <w:lang w:val="es-ES_tradnl"/>
        </w:rPr>
        <w:t>marzo</w:t>
      </w:r>
      <w:r w:rsidRPr="00F67AC8">
        <w:rPr>
          <w:sz w:val="24"/>
          <w:szCs w:val="24"/>
          <w:lang w:val="es-ES_tradnl"/>
        </w:rPr>
        <w:t xml:space="preserve"> de </w:t>
      </w:r>
      <w:r w:rsidR="009602C7">
        <w:rPr>
          <w:sz w:val="24"/>
          <w:szCs w:val="24"/>
          <w:lang w:val="es-ES_tradnl"/>
        </w:rPr>
        <w:t>2016</w:t>
      </w:r>
      <w:r w:rsidRPr="00F67AC8">
        <w:rPr>
          <w:sz w:val="24"/>
          <w:szCs w:val="24"/>
          <w:lang w:val="es-ES_tradnl"/>
        </w:rPr>
        <w:t xml:space="preserve"> al lunes </w:t>
      </w:r>
      <w:r w:rsidR="009602C7">
        <w:rPr>
          <w:sz w:val="24"/>
          <w:szCs w:val="24"/>
          <w:lang w:val="es-ES_tradnl"/>
        </w:rPr>
        <w:t>28</w:t>
      </w:r>
      <w:r w:rsidRPr="00F67AC8">
        <w:rPr>
          <w:sz w:val="24"/>
          <w:szCs w:val="24"/>
          <w:lang w:val="es-ES_tradnl"/>
        </w:rPr>
        <w:t xml:space="preserve"> de </w:t>
      </w:r>
      <w:r w:rsidR="008F5371">
        <w:rPr>
          <w:sz w:val="24"/>
          <w:szCs w:val="24"/>
          <w:lang w:val="es-ES_tradnl"/>
        </w:rPr>
        <w:t>mar</w:t>
      </w:r>
      <w:r w:rsidR="008607C8">
        <w:rPr>
          <w:sz w:val="24"/>
          <w:szCs w:val="24"/>
          <w:lang w:val="es-ES_tradnl"/>
        </w:rPr>
        <w:t>zo</w:t>
      </w:r>
      <w:r w:rsidRPr="00F67AC8">
        <w:rPr>
          <w:sz w:val="24"/>
          <w:szCs w:val="24"/>
          <w:lang w:val="es-ES_tradnl"/>
        </w:rPr>
        <w:t xml:space="preserve"> de </w:t>
      </w:r>
      <w:r w:rsidR="009602C7">
        <w:rPr>
          <w:sz w:val="24"/>
          <w:szCs w:val="24"/>
          <w:lang w:val="es-ES_tradnl"/>
        </w:rPr>
        <w:t>2016</w:t>
      </w:r>
      <w:r w:rsidRPr="00F67AC8">
        <w:rPr>
          <w:sz w:val="24"/>
          <w:szCs w:val="24"/>
          <w:lang w:val="es-ES_tradnl"/>
        </w:rPr>
        <w:t>, incluido.</w:t>
      </w:r>
    </w:p>
    <w:p w:rsidR="00FB5E8C" w:rsidRPr="00FC3DD5" w:rsidRDefault="00FB5E8C" w:rsidP="00FB5E8C">
      <w:pPr>
        <w:spacing w:before="1320" w:line="240" w:lineRule="auto"/>
        <w:jc w:val="left"/>
        <w:rPr>
          <w:sz w:val="24"/>
          <w:szCs w:val="24"/>
          <w:lang w:val="es-ES_tradnl"/>
        </w:rPr>
      </w:pPr>
      <w:r w:rsidRPr="00FC3DD5">
        <w:rPr>
          <w:sz w:val="24"/>
          <w:szCs w:val="24"/>
          <w:lang w:val="es-ES_tradnl"/>
        </w:rPr>
        <w:t>François Rancy</w:t>
      </w:r>
      <w:r w:rsidRPr="00FC3DD5">
        <w:rPr>
          <w:sz w:val="24"/>
          <w:szCs w:val="24"/>
          <w:lang w:val="es-ES_tradnl"/>
        </w:rPr>
        <w:br/>
      </w:r>
      <w:r w:rsidR="00BA1458" w:rsidRPr="00FC3DD5">
        <w:rPr>
          <w:sz w:val="24"/>
          <w:szCs w:val="24"/>
          <w:lang w:val="es-ES_tradnl"/>
        </w:rPr>
        <w:t>Director</w:t>
      </w:r>
    </w:p>
    <w:p w:rsidR="00AB4101" w:rsidRPr="00BA1EB1" w:rsidRDefault="00AB4101" w:rsidP="004275E2">
      <w:pPr>
        <w:spacing w:before="2160"/>
        <w:jc w:val="left"/>
        <w:rPr>
          <w:b/>
          <w:bCs/>
          <w:sz w:val="18"/>
          <w:lang w:val="es-ES_tradnl"/>
        </w:rPr>
      </w:pPr>
      <w:bookmarkStart w:id="1" w:name="ddistribution"/>
      <w:bookmarkEnd w:id="1"/>
      <w:r w:rsidRPr="00FC3DD5">
        <w:rPr>
          <w:b/>
          <w:bCs/>
          <w:sz w:val="18"/>
          <w:u w:val="single"/>
          <w:lang w:val="es-ES_tradnl"/>
        </w:rPr>
        <w:t>Distribución</w:t>
      </w:r>
      <w:r w:rsidRPr="00BA1EB1">
        <w:rPr>
          <w:b/>
          <w:bCs/>
          <w:sz w:val="18"/>
          <w:lang w:val="es-ES_tradnl"/>
        </w:rPr>
        <w:t>:</w:t>
      </w:r>
    </w:p>
    <w:p w:rsidR="00AB4101" w:rsidRPr="00BA1EB1" w:rsidRDefault="00AB4101" w:rsidP="00FE5C60">
      <w:pPr>
        <w:tabs>
          <w:tab w:val="clear" w:pos="794"/>
          <w:tab w:val="left" w:pos="284"/>
        </w:tabs>
        <w:spacing w:before="120"/>
        <w:jc w:val="left"/>
        <w:rPr>
          <w:lang w:val="es-ES_tradnl"/>
        </w:rPr>
      </w:pPr>
      <w:r w:rsidRPr="00BA1EB1">
        <w:rPr>
          <w:sz w:val="18"/>
          <w:lang w:val="es-ES_tradnl"/>
        </w:rPr>
        <w:t>–</w:t>
      </w:r>
      <w:r w:rsidRPr="00BA1EB1">
        <w:rPr>
          <w:sz w:val="18"/>
          <w:lang w:val="es-ES_tradnl"/>
        </w:rPr>
        <w:tab/>
        <w:t>Administraciones de los Estados Miembros de la UIT</w:t>
      </w:r>
      <w:r w:rsidRPr="00BA1EB1">
        <w:rPr>
          <w:sz w:val="18"/>
          <w:lang w:val="es-ES_tradnl"/>
        </w:rPr>
        <w:br/>
        <w:t>–</w:t>
      </w:r>
      <w:r w:rsidRPr="00BA1EB1">
        <w:rPr>
          <w:sz w:val="18"/>
          <w:lang w:val="es-ES_tradnl"/>
        </w:rPr>
        <w:tab/>
        <w:t>Miembros de la Junta del Reglamento de Radiocomunicaciones</w:t>
      </w:r>
    </w:p>
    <w:sectPr w:rsidR="00AB4101" w:rsidRPr="00BA1EB1" w:rsidSect="00031E64">
      <w:headerReference w:type="even" r:id="rId8"/>
      <w:headerReference w:type="default" r:id="rId9"/>
      <w:headerReference w:type="first" r:id="rId10"/>
      <w:footerReference w:type="first" r:id="rId11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06A0" w:rsidRDefault="00ED06A0">
      <w:r>
        <w:separator/>
      </w:r>
    </w:p>
  </w:endnote>
  <w:endnote w:type="continuationSeparator" w:id="0">
    <w:p w:rsidR="00ED06A0" w:rsidRDefault="00ED0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Default="00A96D3A" w:rsidP="00A96D3A">
    <w:pPr>
      <w:pStyle w:val="FirstFooter"/>
      <w:spacing w:line="240" w:lineRule="auto"/>
      <w:ind w:left="-397" w:right="-397"/>
      <w:jc w:val="center"/>
      <w:rPr>
        <w:sz w:val="18"/>
        <w:szCs w:val="18"/>
        <w:lang w:val="es-ES"/>
      </w:rPr>
    </w:pPr>
    <w:r w:rsidRPr="00A96D3A">
      <w:rPr>
        <w:sz w:val="18"/>
        <w:szCs w:val="18"/>
        <w:lang w:val="es-ES"/>
      </w:rPr>
      <w:t>Unión Internacional de Telecomunicaciones • Place des Nations • CH</w:t>
    </w:r>
    <w:r w:rsidRPr="00A96D3A">
      <w:rPr>
        <w:sz w:val="18"/>
        <w:szCs w:val="18"/>
        <w:lang w:val="es-ES"/>
      </w:rPr>
      <w:noBreakHyphen/>
      <w:t>1211 Ginebra 20 • Suiza</w:t>
    </w:r>
    <w:r w:rsidRPr="00A96D3A">
      <w:rPr>
        <w:sz w:val="18"/>
        <w:szCs w:val="18"/>
        <w:lang w:val="es-ES"/>
      </w:rPr>
      <w:br/>
      <w:t xml:space="preserve">Tel: +41 22 730 5111 • Fax: +41 22 733 7256 • Correo-e: </w:t>
    </w:r>
    <w:hyperlink r:id="rId1" w:history="1">
      <w:r w:rsidRPr="00A96D3A">
        <w:rPr>
          <w:rStyle w:val="Hyperlink"/>
          <w:sz w:val="18"/>
          <w:szCs w:val="18"/>
          <w:lang w:val="es-ES"/>
        </w:rPr>
        <w:t>itumail@itu.int</w:t>
      </w:r>
    </w:hyperlink>
    <w:r w:rsidRPr="00A96D3A">
      <w:rPr>
        <w:sz w:val="18"/>
        <w:szCs w:val="18"/>
        <w:lang w:val="es-ES"/>
      </w:rPr>
      <w:t xml:space="preserve"> • </w:t>
    </w:r>
    <w:hyperlink r:id="rId2" w:history="1">
      <w:r w:rsidRPr="00A96D3A">
        <w:rPr>
          <w:rStyle w:val="Hyperlink"/>
          <w:sz w:val="18"/>
          <w:szCs w:val="18"/>
          <w:lang w:val="es-ES"/>
        </w:rPr>
        <w:t>www.itu.int</w:t>
      </w:r>
    </w:hyperlink>
    <w:r w:rsidRPr="00A96D3A">
      <w:rPr>
        <w:sz w:val="18"/>
        <w:szCs w:val="18"/>
        <w:lang w:val="es-ES"/>
      </w:rPr>
      <w:t xml:space="preserve"> </w:t>
    </w:r>
  </w:p>
  <w:p w:rsidR="00BA1EB1" w:rsidRPr="00BA1EB1" w:rsidRDefault="00BA1EB1" w:rsidP="008527A2">
    <w:pPr>
      <w:pStyle w:val="FirstFooter"/>
      <w:spacing w:before="0" w:line="240" w:lineRule="auto"/>
      <w:ind w:right="-397"/>
      <w:rPr>
        <w:sz w:val="12"/>
        <w:szCs w:val="12"/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06A0" w:rsidRDefault="00ED06A0">
      <w:r>
        <w:t>____________________</w:t>
      </w:r>
    </w:p>
  </w:footnote>
  <w:footnote w:type="continuationSeparator" w:id="0">
    <w:p w:rsidR="00ED06A0" w:rsidRDefault="00ED0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235A29" w:rsidRDefault="00E915AF">
    <w:pPr>
      <w:pStyle w:val="Header"/>
    </w:pPr>
    <w:r>
      <w:tab/>
    </w:r>
    <w:r>
      <w:tab/>
      <w:t xml:space="preserve">– </w:t>
    </w:r>
    <w:r w:rsidR="001B42C9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1B42C9">
      <w:rPr>
        <w:rStyle w:val="PageNumber"/>
      </w:rPr>
      <w:fldChar w:fldCharType="separate"/>
    </w:r>
    <w:r w:rsidR="004275E2">
      <w:rPr>
        <w:rStyle w:val="PageNumber"/>
        <w:noProof/>
      </w:rPr>
      <w:t>2</w:t>
    </w:r>
    <w:r w:rsidR="001B42C9">
      <w:rPr>
        <w:rStyle w:val="PageNumber"/>
      </w:rPr>
      <w:fldChar w:fldCharType="end"/>
    </w:r>
    <w:r>
      <w:rPr>
        <w:rStyle w:val="PageNumber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AF3325" w:rsidRDefault="00E915AF">
    <w:pPr>
      <w:pStyle w:val="Header"/>
    </w:pPr>
    <w:r>
      <w:tab/>
    </w:r>
    <w:r>
      <w:tab/>
    </w:r>
    <w:r w:rsidR="001B42C9"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="001B42C9" w:rsidRPr="00AF3325">
      <w:rPr>
        <w:i/>
      </w:rPr>
      <w:fldChar w:fldCharType="separate"/>
    </w:r>
    <w:r w:rsidR="00EE03A0">
      <w:rPr>
        <w:i/>
        <w:noProof/>
      </w:rPr>
      <w:t>3</w:t>
    </w:r>
    <w:r w:rsidR="001B42C9"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EA15B3" w:rsidRDefault="00E915AF" w:rsidP="00EA15B3">
    <w:pPr>
      <w:pStyle w:val="Header"/>
      <w:spacing w:line="360" w:lineRule="auto"/>
    </w:pPr>
    <w:r>
      <w:tab/>
    </w:r>
    <w:r>
      <w:tab/>
    </w:r>
    <w:r>
      <w:rPr>
        <w:b/>
        <w:bCs/>
        <w:noProof/>
        <w:lang w:eastAsia="zh-CN"/>
      </w:rPr>
      <w:drawing>
        <wp:inline distT="0" distB="0" distL="0" distR="0" wp14:anchorId="193495DA" wp14:editId="116582D2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2CA1090"/>
    <w:multiLevelType w:val="hybridMultilevel"/>
    <w:tmpl w:val="3F3C3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6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ED06A0"/>
    <w:rsid w:val="00006A31"/>
    <w:rsid w:val="00006C82"/>
    <w:rsid w:val="00010E30"/>
    <w:rsid w:val="00015C76"/>
    <w:rsid w:val="00021D9A"/>
    <w:rsid w:val="00026CF8"/>
    <w:rsid w:val="00030BD7"/>
    <w:rsid w:val="00031E64"/>
    <w:rsid w:val="00034340"/>
    <w:rsid w:val="00035CB3"/>
    <w:rsid w:val="00045A8D"/>
    <w:rsid w:val="00047343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73212"/>
    <w:rsid w:val="00174442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5305C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16935"/>
    <w:rsid w:val="0032020D"/>
    <w:rsid w:val="003266ED"/>
    <w:rsid w:val="00326C68"/>
    <w:rsid w:val="003370B8"/>
    <w:rsid w:val="00345D38"/>
    <w:rsid w:val="00352097"/>
    <w:rsid w:val="003666FF"/>
    <w:rsid w:val="0037309C"/>
    <w:rsid w:val="00380A6E"/>
    <w:rsid w:val="003836D4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275E2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33A2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0F86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239A"/>
    <w:rsid w:val="005B4CDA"/>
    <w:rsid w:val="005D3669"/>
    <w:rsid w:val="005E5EB3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32498"/>
    <w:rsid w:val="00750CFA"/>
    <w:rsid w:val="007553DA"/>
    <w:rsid w:val="00775DB8"/>
    <w:rsid w:val="00782354"/>
    <w:rsid w:val="007921A7"/>
    <w:rsid w:val="007B3DB1"/>
    <w:rsid w:val="007D183E"/>
    <w:rsid w:val="007D2F56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27A2"/>
    <w:rsid w:val="00854131"/>
    <w:rsid w:val="0085652D"/>
    <w:rsid w:val="008607C8"/>
    <w:rsid w:val="00874F9B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8F5371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602C7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20FBC"/>
    <w:rsid w:val="00A31370"/>
    <w:rsid w:val="00A34D6F"/>
    <w:rsid w:val="00A41F91"/>
    <w:rsid w:val="00A63355"/>
    <w:rsid w:val="00A7596D"/>
    <w:rsid w:val="00A963DF"/>
    <w:rsid w:val="00A96D3A"/>
    <w:rsid w:val="00AB4101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A1458"/>
    <w:rsid w:val="00BA1EB1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4CD5"/>
    <w:rsid w:val="00CB5153"/>
    <w:rsid w:val="00CC5890"/>
    <w:rsid w:val="00CE076A"/>
    <w:rsid w:val="00CE463D"/>
    <w:rsid w:val="00D10BA0"/>
    <w:rsid w:val="00D21694"/>
    <w:rsid w:val="00D24EB5"/>
    <w:rsid w:val="00D35AB9"/>
    <w:rsid w:val="00D411AD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56E8"/>
    <w:rsid w:val="00D87E20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D06A0"/>
    <w:rsid w:val="00EE03A0"/>
    <w:rsid w:val="00EF4536"/>
    <w:rsid w:val="00F02270"/>
    <w:rsid w:val="00F424BF"/>
    <w:rsid w:val="00F44FC3"/>
    <w:rsid w:val="00F46107"/>
    <w:rsid w:val="00F468C5"/>
    <w:rsid w:val="00F52F39"/>
    <w:rsid w:val="00F578F4"/>
    <w:rsid w:val="00F6184F"/>
    <w:rsid w:val="00F67AC8"/>
    <w:rsid w:val="00F8310E"/>
    <w:rsid w:val="00F914DD"/>
    <w:rsid w:val="00FA2358"/>
    <w:rsid w:val="00FB2592"/>
    <w:rsid w:val="00FB2810"/>
    <w:rsid w:val="00FB5E8C"/>
    <w:rsid w:val="00FB7A2C"/>
    <w:rsid w:val="00FC2947"/>
    <w:rsid w:val="00FC3DD5"/>
    <w:rsid w:val="00FE0818"/>
    <w:rsid w:val="00FE4822"/>
    <w:rsid w:val="00FE5C60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;"/>
  <w15:docId w15:val="{FEB0C172-D679-4C30-A197-2253DFCA3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D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character" w:styleId="FollowedHyperlink">
    <w:name w:val="FollowedHyperlink"/>
    <w:basedOn w:val="DefaultParagraphFont"/>
    <w:rsid w:val="00BA1EB1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732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ernandef\Application%20Data\Microsoft\Templates\POOL%20S%20-%20ITU\PS_New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F930A-9C7B-4631-A99F-A7F5151C1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PS_NewBRcirc.dotx</Template>
  <TotalTime>66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880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Hernandez, Felipe</dc:creator>
  <cp:lastModifiedBy>Mondino, Martine</cp:lastModifiedBy>
  <cp:revision>27</cp:revision>
  <cp:lastPrinted>2015-12-03T12:47:00Z</cp:lastPrinted>
  <dcterms:created xsi:type="dcterms:W3CDTF">2013-08-09T08:48:00Z</dcterms:created>
  <dcterms:modified xsi:type="dcterms:W3CDTF">2015-12-04T09:32:00Z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