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5579E2">
            <w:pPr>
              <w:spacing w:before="0" w:line="240" w:lineRule="auto"/>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5579E2">
            <w:pPr>
              <w:spacing w:before="0" w:line="240" w:lineRule="auto"/>
              <w:jc w:val="left"/>
              <w:rPr>
                <w:rFonts w:cstheme="minorHAnsi"/>
                <w:b/>
                <w:bCs/>
                <w:color w:val="808080"/>
                <w:sz w:val="28"/>
                <w:szCs w:val="28"/>
                <w:lang w:val="en-GB"/>
              </w:rPr>
            </w:pPr>
          </w:p>
          <w:p w:rsidR="00E53DCE" w:rsidRPr="00AF70DA" w:rsidRDefault="00E53DCE" w:rsidP="005579E2">
            <w:pPr>
              <w:spacing w:before="0" w:line="240" w:lineRule="auto"/>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F66845" w:rsidP="005579E2">
            <w:pPr>
              <w:spacing w:before="0" w:line="240" w:lineRule="auto"/>
              <w:jc w:val="left"/>
              <w:rPr>
                <w:szCs w:val="24"/>
                <w:lang w:val="fr-CH"/>
              </w:rPr>
            </w:pPr>
            <w:r w:rsidRPr="00F66845">
              <w:rPr>
                <w:szCs w:val="24"/>
              </w:rPr>
              <w:t>Carta Circular</w:t>
            </w:r>
          </w:p>
          <w:p w:rsidR="00E53DCE" w:rsidRPr="0033029C" w:rsidRDefault="00F66845" w:rsidP="005579E2">
            <w:pPr>
              <w:spacing w:before="0" w:line="240" w:lineRule="auto"/>
              <w:jc w:val="left"/>
              <w:rPr>
                <w:b/>
                <w:bCs/>
                <w:szCs w:val="24"/>
                <w:lang w:val="fr-CH"/>
              </w:rPr>
            </w:pPr>
            <w:r w:rsidRPr="00F66845">
              <w:rPr>
                <w:b/>
                <w:bCs/>
                <w:szCs w:val="24"/>
                <w:lang w:val="fr-CH"/>
              </w:rPr>
              <w:t>CR/389</w:t>
            </w:r>
          </w:p>
        </w:tc>
        <w:tc>
          <w:tcPr>
            <w:tcW w:w="2835" w:type="dxa"/>
            <w:shd w:val="clear" w:color="auto" w:fill="auto"/>
          </w:tcPr>
          <w:p w:rsidR="00E53DCE" w:rsidRPr="0033029C" w:rsidRDefault="00F66845" w:rsidP="005579E2">
            <w:pPr>
              <w:spacing w:before="0" w:line="240" w:lineRule="auto"/>
              <w:jc w:val="right"/>
              <w:rPr>
                <w:szCs w:val="24"/>
                <w:lang w:val="en-GB"/>
              </w:rPr>
            </w:pPr>
            <w:r w:rsidRPr="00F66845">
              <w:rPr>
                <w:bCs/>
                <w:szCs w:val="24"/>
              </w:rPr>
              <w:t>29 de enero de 2016</w:t>
            </w:r>
          </w:p>
        </w:tc>
      </w:tr>
      <w:tr w:rsidR="00E53DCE" w:rsidRPr="0033029C" w:rsidTr="00306452">
        <w:trPr>
          <w:jc w:val="center"/>
        </w:trPr>
        <w:tc>
          <w:tcPr>
            <w:tcW w:w="9889" w:type="dxa"/>
            <w:gridSpan w:val="3"/>
            <w:shd w:val="clear" w:color="auto" w:fill="auto"/>
          </w:tcPr>
          <w:p w:rsidR="00E53DCE" w:rsidRPr="0033029C" w:rsidRDefault="00E53DCE" w:rsidP="005579E2">
            <w:pPr>
              <w:spacing w:before="0" w:line="240" w:lineRule="auto"/>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5579E2">
            <w:pPr>
              <w:spacing w:before="0" w:line="240" w:lineRule="auto"/>
              <w:jc w:val="left"/>
              <w:rPr>
                <w:szCs w:val="24"/>
              </w:rPr>
            </w:pPr>
          </w:p>
        </w:tc>
      </w:tr>
      <w:tr w:rsidR="00E53DCE" w:rsidRPr="005579E2" w:rsidTr="00306452">
        <w:trPr>
          <w:jc w:val="center"/>
        </w:trPr>
        <w:tc>
          <w:tcPr>
            <w:tcW w:w="9889" w:type="dxa"/>
            <w:gridSpan w:val="3"/>
            <w:shd w:val="clear" w:color="auto" w:fill="auto"/>
          </w:tcPr>
          <w:p w:rsidR="00E53DCE" w:rsidRPr="0033029C" w:rsidRDefault="00FE4822" w:rsidP="005579E2">
            <w:pPr>
              <w:spacing w:before="0" w:line="240" w:lineRule="auto"/>
              <w:jc w:val="left"/>
              <w:rPr>
                <w:b/>
                <w:bCs/>
                <w:szCs w:val="24"/>
                <w:lang w:val="es-ES"/>
              </w:rPr>
            </w:pPr>
            <w:r w:rsidRPr="0033029C">
              <w:rPr>
                <w:b/>
                <w:szCs w:val="24"/>
                <w:lang w:val="es-ES"/>
              </w:rPr>
              <w:t>A las Administraciones de los Estados Miembros de la UIT</w:t>
            </w:r>
          </w:p>
          <w:p w:rsidR="00E53DCE" w:rsidRPr="0033029C" w:rsidRDefault="00E53DCE" w:rsidP="005579E2">
            <w:pPr>
              <w:spacing w:before="0" w:line="240" w:lineRule="auto"/>
              <w:jc w:val="left"/>
              <w:rPr>
                <w:b/>
                <w:bCs/>
                <w:szCs w:val="24"/>
                <w:lang w:val="es-ES"/>
              </w:rPr>
            </w:pPr>
          </w:p>
        </w:tc>
      </w:tr>
      <w:tr w:rsidR="00E53DCE" w:rsidRPr="005579E2" w:rsidTr="00306452">
        <w:trPr>
          <w:jc w:val="center"/>
        </w:trPr>
        <w:tc>
          <w:tcPr>
            <w:tcW w:w="9889" w:type="dxa"/>
            <w:gridSpan w:val="3"/>
            <w:shd w:val="clear" w:color="auto" w:fill="auto"/>
          </w:tcPr>
          <w:p w:rsidR="00E53DCE" w:rsidRPr="0033029C" w:rsidRDefault="00E53DCE" w:rsidP="005579E2">
            <w:pPr>
              <w:spacing w:before="0" w:line="240" w:lineRule="auto"/>
              <w:jc w:val="left"/>
              <w:rPr>
                <w:szCs w:val="24"/>
                <w:lang w:val="es-ES"/>
              </w:rPr>
            </w:pPr>
          </w:p>
        </w:tc>
      </w:tr>
      <w:tr w:rsidR="00E53DCE" w:rsidRPr="005579E2" w:rsidTr="00306452">
        <w:trPr>
          <w:jc w:val="center"/>
        </w:trPr>
        <w:tc>
          <w:tcPr>
            <w:tcW w:w="9889" w:type="dxa"/>
            <w:gridSpan w:val="3"/>
            <w:shd w:val="clear" w:color="auto" w:fill="auto"/>
          </w:tcPr>
          <w:p w:rsidR="00E53DCE" w:rsidRPr="0033029C" w:rsidRDefault="00E53DCE" w:rsidP="005579E2">
            <w:pPr>
              <w:spacing w:before="0" w:line="240" w:lineRule="auto"/>
              <w:jc w:val="left"/>
              <w:rPr>
                <w:szCs w:val="24"/>
                <w:lang w:val="es-ES"/>
              </w:rPr>
            </w:pPr>
          </w:p>
        </w:tc>
      </w:tr>
      <w:tr w:rsidR="00E53DCE" w:rsidRPr="005579E2" w:rsidTr="00306452">
        <w:trPr>
          <w:jc w:val="center"/>
        </w:trPr>
        <w:tc>
          <w:tcPr>
            <w:tcW w:w="1526" w:type="dxa"/>
            <w:shd w:val="clear" w:color="auto" w:fill="auto"/>
          </w:tcPr>
          <w:p w:rsidR="00E53DCE" w:rsidRPr="0033029C" w:rsidRDefault="00F66845" w:rsidP="005579E2">
            <w:pPr>
              <w:tabs>
                <w:tab w:val="clear" w:pos="1588"/>
                <w:tab w:val="left" w:pos="1560"/>
              </w:tabs>
              <w:spacing w:before="0" w:line="240" w:lineRule="auto"/>
              <w:jc w:val="left"/>
              <w:rPr>
                <w:szCs w:val="24"/>
              </w:rPr>
            </w:pPr>
            <w:r w:rsidRPr="00F66845">
              <w:rPr>
                <w:szCs w:val="24"/>
              </w:rPr>
              <w:t>Asunto</w:t>
            </w:r>
            <w:r w:rsidR="00A96D3A" w:rsidRPr="0033029C">
              <w:rPr>
                <w:szCs w:val="24"/>
              </w:rPr>
              <w:t>:</w:t>
            </w:r>
          </w:p>
        </w:tc>
        <w:tc>
          <w:tcPr>
            <w:tcW w:w="8363" w:type="dxa"/>
            <w:gridSpan w:val="2"/>
            <w:vMerge w:val="restart"/>
            <w:shd w:val="clear" w:color="auto" w:fill="auto"/>
          </w:tcPr>
          <w:p w:rsidR="00E53DCE" w:rsidRPr="00F66845" w:rsidRDefault="00F66845" w:rsidP="005579E2">
            <w:pPr>
              <w:tabs>
                <w:tab w:val="clear" w:pos="1588"/>
                <w:tab w:val="left" w:pos="1560"/>
              </w:tabs>
              <w:spacing w:before="0" w:line="240" w:lineRule="auto"/>
              <w:rPr>
                <w:b/>
                <w:bCs/>
                <w:szCs w:val="24"/>
                <w:lang w:val="es-ES_tradnl"/>
              </w:rPr>
            </w:pPr>
            <w:r w:rsidRPr="00F66845">
              <w:rPr>
                <w:b/>
                <w:bCs/>
                <w:szCs w:val="24"/>
                <w:lang w:val="es-ES_tradnl"/>
              </w:rPr>
              <w:t>Decisiones de la CMR-15 incluidas en las Actas de las Reuniones Plenarias</w:t>
            </w:r>
          </w:p>
        </w:tc>
      </w:tr>
      <w:tr w:rsidR="00E53DCE" w:rsidRPr="005579E2" w:rsidTr="00306452">
        <w:trPr>
          <w:jc w:val="center"/>
        </w:trPr>
        <w:tc>
          <w:tcPr>
            <w:tcW w:w="1526" w:type="dxa"/>
            <w:shd w:val="clear" w:color="auto" w:fill="auto"/>
          </w:tcPr>
          <w:p w:rsidR="00E53DCE" w:rsidRPr="00F66845" w:rsidRDefault="00E53DCE" w:rsidP="005579E2">
            <w:pPr>
              <w:tabs>
                <w:tab w:val="clear" w:pos="1588"/>
                <w:tab w:val="left" w:pos="1560"/>
              </w:tabs>
              <w:spacing w:before="0" w:line="240" w:lineRule="auto"/>
              <w:jc w:val="left"/>
              <w:rPr>
                <w:b/>
                <w:bCs/>
                <w:szCs w:val="24"/>
                <w:lang w:val="es-ES_tradnl"/>
              </w:rPr>
            </w:pPr>
          </w:p>
        </w:tc>
        <w:tc>
          <w:tcPr>
            <w:tcW w:w="8363" w:type="dxa"/>
            <w:gridSpan w:val="2"/>
            <w:vMerge/>
            <w:shd w:val="clear" w:color="auto" w:fill="auto"/>
          </w:tcPr>
          <w:p w:rsidR="00E53DCE" w:rsidRPr="00F66845" w:rsidRDefault="00E53DCE" w:rsidP="005579E2">
            <w:pPr>
              <w:tabs>
                <w:tab w:val="clear" w:pos="1588"/>
                <w:tab w:val="left" w:pos="1560"/>
              </w:tabs>
              <w:spacing w:before="0" w:line="240" w:lineRule="auto"/>
              <w:rPr>
                <w:b/>
                <w:bCs/>
                <w:szCs w:val="24"/>
                <w:lang w:val="es-ES_tradnl"/>
              </w:rPr>
            </w:pPr>
          </w:p>
        </w:tc>
      </w:tr>
      <w:tr w:rsidR="00E53DCE" w:rsidRPr="005579E2" w:rsidTr="00306452">
        <w:trPr>
          <w:jc w:val="center"/>
        </w:trPr>
        <w:tc>
          <w:tcPr>
            <w:tcW w:w="1526" w:type="dxa"/>
            <w:shd w:val="clear" w:color="auto" w:fill="auto"/>
          </w:tcPr>
          <w:p w:rsidR="00E53DCE" w:rsidRPr="00F66845" w:rsidRDefault="00E53DCE" w:rsidP="005579E2">
            <w:pPr>
              <w:tabs>
                <w:tab w:val="clear" w:pos="1588"/>
                <w:tab w:val="left" w:pos="1560"/>
              </w:tabs>
              <w:spacing w:before="0" w:line="240" w:lineRule="auto"/>
              <w:jc w:val="left"/>
              <w:rPr>
                <w:b/>
                <w:bCs/>
                <w:szCs w:val="24"/>
                <w:lang w:val="es-ES_tradnl"/>
              </w:rPr>
            </w:pPr>
          </w:p>
        </w:tc>
        <w:tc>
          <w:tcPr>
            <w:tcW w:w="8363" w:type="dxa"/>
            <w:gridSpan w:val="2"/>
            <w:vMerge/>
            <w:shd w:val="clear" w:color="auto" w:fill="auto"/>
          </w:tcPr>
          <w:p w:rsidR="00E53DCE" w:rsidRPr="00F66845" w:rsidRDefault="00E53DCE" w:rsidP="005579E2">
            <w:pPr>
              <w:tabs>
                <w:tab w:val="clear" w:pos="1588"/>
                <w:tab w:val="left" w:pos="1560"/>
              </w:tabs>
              <w:spacing w:before="0" w:line="240" w:lineRule="auto"/>
              <w:rPr>
                <w:b/>
                <w:bCs/>
                <w:szCs w:val="24"/>
                <w:lang w:val="es-ES_tradnl"/>
              </w:rPr>
            </w:pPr>
          </w:p>
        </w:tc>
      </w:tr>
      <w:tr w:rsidR="00E53DCE" w:rsidRPr="005579E2" w:rsidTr="00306452">
        <w:trPr>
          <w:jc w:val="center"/>
        </w:trPr>
        <w:tc>
          <w:tcPr>
            <w:tcW w:w="9889" w:type="dxa"/>
            <w:gridSpan w:val="3"/>
            <w:shd w:val="clear" w:color="auto" w:fill="auto"/>
          </w:tcPr>
          <w:p w:rsidR="00E53DCE" w:rsidRPr="00F66845" w:rsidRDefault="00E53DCE" w:rsidP="005579E2">
            <w:pPr>
              <w:tabs>
                <w:tab w:val="clear" w:pos="1588"/>
                <w:tab w:val="left" w:pos="1560"/>
              </w:tabs>
              <w:spacing w:before="0" w:line="240" w:lineRule="auto"/>
              <w:jc w:val="left"/>
              <w:rPr>
                <w:szCs w:val="24"/>
                <w:lang w:val="es-ES_tradnl"/>
              </w:rPr>
            </w:pPr>
          </w:p>
        </w:tc>
      </w:tr>
      <w:tr w:rsidR="00E53DCE" w:rsidRPr="005579E2" w:rsidTr="00306452">
        <w:trPr>
          <w:jc w:val="center"/>
        </w:trPr>
        <w:tc>
          <w:tcPr>
            <w:tcW w:w="9889" w:type="dxa"/>
            <w:gridSpan w:val="3"/>
            <w:shd w:val="clear" w:color="auto" w:fill="auto"/>
          </w:tcPr>
          <w:p w:rsidR="00E53DCE" w:rsidRPr="00F66845" w:rsidRDefault="00E53DCE" w:rsidP="005579E2">
            <w:pPr>
              <w:spacing w:before="0" w:line="240" w:lineRule="auto"/>
              <w:jc w:val="left"/>
              <w:rPr>
                <w:b/>
                <w:bCs/>
                <w:szCs w:val="24"/>
                <w:lang w:val="es-ES_tradnl"/>
              </w:rPr>
            </w:pPr>
          </w:p>
        </w:tc>
      </w:tr>
    </w:tbl>
    <w:p w:rsidR="00F66845" w:rsidRPr="00F66845" w:rsidRDefault="00F66845" w:rsidP="005579E2">
      <w:pPr>
        <w:pStyle w:val="Normalaftertitle"/>
        <w:spacing w:line="240" w:lineRule="auto"/>
        <w:rPr>
          <w:lang w:val="es-ES_tradnl"/>
        </w:rPr>
      </w:pPr>
      <w:r w:rsidRPr="00F66845">
        <w:rPr>
          <w:lang w:val="es-ES_tradnl"/>
        </w:rPr>
        <w:t>La Conferencia Mundial de Radiocomunicaciones, Ginebra, 2015 (CMR-15), al adoptar una revisión parcial del Reglamento de Radiocomunicaciones, tomó una serie de decisiones que no figuran en las Ac</w:t>
      </w:r>
      <w:r w:rsidR="00024B71">
        <w:rPr>
          <w:lang w:val="es-ES_tradnl"/>
        </w:rPr>
        <w:t xml:space="preserve">tas Finales de la Conferencia, </w:t>
      </w:r>
      <w:r w:rsidRPr="00F66845">
        <w:rPr>
          <w:lang w:val="es-ES_tradnl"/>
        </w:rPr>
        <w:t>pero que quedan reflejadas en las Actas de las Sesiones Plenarias de la CMR-15. El objeto de la presente Carta Circular, según lo solicitado por la Conferencia, es reunir y señalar a la atención de las administra</w:t>
      </w:r>
      <w:r w:rsidR="00024B71">
        <w:rPr>
          <w:lang w:val="es-ES_tradnl"/>
        </w:rPr>
        <w:t>ciones las citadas decisiones.</w:t>
      </w:r>
    </w:p>
    <w:p w:rsidR="00F66845" w:rsidRPr="00F66845" w:rsidRDefault="00F66845" w:rsidP="005579E2">
      <w:pPr>
        <w:spacing w:line="240" w:lineRule="auto"/>
        <w:rPr>
          <w:lang w:val="es-ES_tradnl"/>
        </w:rPr>
      </w:pPr>
      <w:r w:rsidRPr="00F66845">
        <w:rPr>
          <w:lang w:val="es-ES_tradnl"/>
        </w:rPr>
        <w:t xml:space="preserve">En el Anexo a la presente Carta Circular figura una recopilación de los textos de estas decisiones, junto con las referencias a los párrafos correspondientes de los documentos en que se recogen las actas de las Sesiones Plenarias de la CMR-15 y a los documentos para los que se solicitó el acuerdo/refrendo de la Plenaria. </w:t>
      </w:r>
    </w:p>
    <w:p w:rsidR="00D21694" w:rsidRPr="00F66845" w:rsidRDefault="00F66845" w:rsidP="005579E2">
      <w:pPr>
        <w:spacing w:line="240" w:lineRule="auto"/>
        <w:rPr>
          <w:lang w:val="es-ES_tradnl"/>
        </w:rPr>
      </w:pPr>
      <w:r w:rsidRPr="00F66845">
        <w:rPr>
          <w:lang w:val="es-ES_tradnl"/>
        </w:rPr>
        <w:t>La Oficina de Radiocomunicaciones se mantiene a la disposición de su Administración para cualquier aclaración que pueda requerir respecto de los asuntos tratados en la presente Carta Circular.</w:t>
      </w:r>
    </w:p>
    <w:p w:rsidR="00031E64" w:rsidRDefault="00E53DCE" w:rsidP="00CF34D4">
      <w:pPr>
        <w:spacing w:before="1200" w:line="240" w:lineRule="auto"/>
        <w:jc w:val="left"/>
        <w:rPr>
          <w:lang w:val="es-ES"/>
        </w:rPr>
      </w:pPr>
      <w:r w:rsidRPr="0033029C">
        <w:rPr>
          <w:lang w:val="es-ES"/>
        </w:rPr>
        <w:t>François Rancy</w:t>
      </w:r>
      <w:r w:rsidRPr="0033029C">
        <w:rPr>
          <w:lang w:val="es-ES"/>
        </w:rPr>
        <w:br/>
      </w:r>
      <w:r w:rsidR="00A96D3A" w:rsidRPr="0033029C">
        <w:rPr>
          <w:lang w:val="es-ES"/>
        </w:rPr>
        <w:t xml:space="preserve">Director </w:t>
      </w:r>
    </w:p>
    <w:p w:rsidR="00F66845" w:rsidRDefault="00F66845" w:rsidP="005579E2">
      <w:pPr>
        <w:spacing w:before="480" w:line="240" w:lineRule="auto"/>
        <w:rPr>
          <w:lang w:val="es-ES"/>
        </w:rPr>
      </w:pPr>
      <w:r w:rsidRPr="00F66845">
        <w:rPr>
          <w:lang w:val="es-ES"/>
        </w:rPr>
        <w:t>Anexo: 1</w:t>
      </w:r>
    </w:p>
    <w:p w:rsidR="00F66845" w:rsidRPr="00F66845" w:rsidRDefault="00F66845" w:rsidP="00CF34D4">
      <w:pPr>
        <w:spacing w:before="1320" w:after="120" w:line="240" w:lineRule="auto"/>
        <w:rPr>
          <w:b/>
          <w:bCs/>
          <w:sz w:val="20"/>
          <w:lang w:val="es-ES_tradnl"/>
        </w:rPr>
      </w:pPr>
      <w:r w:rsidRPr="00F66845">
        <w:rPr>
          <w:b/>
          <w:bCs/>
          <w:sz w:val="20"/>
          <w:lang w:val="es-ES_tradnl"/>
        </w:rPr>
        <w:t>Distribución:</w:t>
      </w:r>
    </w:p>
    <w:p w:rsidR="00F66845" w:rsidRPr="00F66845" w:rsidRDefault="00F66845" w:rsidP="005579E2">
      <w:pPr>
        <w:pStyle w:val="enumlev1"/>
        <w:spacing w:before="0" w:line="240" w:lineRule="auto"/>
        <w:rPr>
          <w:sz w:val="20"/>
          <w:lang w:val="es-ES_tradnl"/>
        </w:rPr>
      </w:pPr>
      <w:r w:rsidRPr="00F66845">
        <w:rPr>
          <w:sz w:val="20"/>
          <w:lang w:val="es-ES_tradnl"/>
        </w:rPr>
        <w:t>–</w:t>
      </w:r>
      <w:r w:rsidRPr="00F66845">
        <w:rPr>
          <w:sz w:val="20"/>
          <w:lang w:val="es-ES_tradnl"/>
        </w:rPr>
        <w:tab/>
        <w:t>Administraciones de los Estados Miembros de la UIT</w:t>
      </w:r>
    </w:p>
    <w:p w:rsidR="00F66845" w:rsidRDefault="00F66845" w:rsidP="005579E2">
      <w:pPr>
        <w:pStyle w:val="enumlev1"/>
        <w:spacing w:before="0" w:line="240" w:lineRule="auto"/>
        <w:rPr>
          <w:sz w:val="20"/>
          <w:lang w:val="es-ES_tradnl"/>
        </w:rPr>
      </w:pPr>
      <w:r w:rsidRPr="00F66845">
        <w:rPr>
          <w:sz w:val="20"/>
          <w:lang w:val="es-ES_tradnl"/>
        </w:rPr>
        <w:t>–</w:t>
      </w:r>
      <w:r w:rsidRPr="00F66845">
        <w:rPr>
          <w:sz w:val="20"/>
          <w:lang w:val="es-ES_tradnl"/>
        </w:rPr>
        <w:tab/>
        <w:t>Miembros de la Junta del Reglamento de Radiocomunicaciones</w:t>
      </w:r>
    </w:p>
    <w:p w:rsidR="00F66845" w:rsidRPr="00F66845" w:rsidRDefault="00F66845" w:rsidP="005579E2">
      <w:pPr>
        <w:pStyle w:val="enumlev1"/>
        <w:spacing w:before="0" w:line="240" w:lineRule="auto"/>
        <w:rPr>
          <w:sz w:val="20"/>
          <w:lang w:val="es-ES_tradnl"/>
        </w:rPr>
      </w:pPr>
    </w:p>
    <w:p w:rsidR="00F66845" w:rsidRDefault="00F66845" w:rsidP="005579E2">
      <w:pPr>
        <w:spacing w:before="0" w:line="240" w:lineRule="auto"/>
        <w:jc w:val="left"/>
        <w:rPr>
          <w:rFonts w:asciiTheme="minorHAnsi" w:hAnsiTheme="minorHAnsi" w:cstheme="minorHAnsi"/>
          <w:szCs w:val="24"/>
          <w:lang w:val="es-ES_tradnl"/>
        </w:rPr>
        <w:sectPr w:rsidR="00F66845" w:rsidSect="00031E64">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titlePg/>
        </w:sectPr>
      </w:pPr>
    </w:p>
    <w:p w:rsidR="00046311" w:rsidRDefault="005579E2" w:rsidP="005579E2">
      <w:pPr>
        <w:pStyle w:val="AnnexNoTitle"/>
        <w:spacing w:line="240" w:lineRule="auto"/>
      </w:pPr>
      <w:r>
        <w:lastRenderedPageBreak/>
        <w:t>ANEXO</w:t>
      </w:r>
    </w:p>
    <w:p w:rsidR="00046311" w:rsidRPr="00046311" w:rsidRDefault="00046311" w:rsidP="005579E2">
      <w:pPr>
        <w:spacing w:line="240" w:lineRule="auto"/>
      </w:pPr>
    </w:p>
    <w:tbl>
      <w:tblPr>
        <w:tblStyle w:val="TableGrid1"/>
        <w:tblW w:w="15165" w:type="dxa"/>
        <w:tblInd w:w="0" w:type="dxa"/>
        <w:tblLayout w:type="fixed"/>
        <w:tblLook w:val="04A0" w:firstRow="1" w:lastRow="0" w:firstColumn="1" w:lastColumn="0" w:noHBand="0" w:noVBand="1"/>
      </w:tblPr>
      <w:tblGrid>
        <w:gridCol w:w="1555"/>
        <w:gridCol w:w="2016"/>
        <w:gridCol w:w="11594"/>
      </w:tblGrid>
      <w:tr w:rsidR="00F66845" w:rsidRPr="005579E2" w:rsidTr="00046311">
        <w:trPr>
          <w:trHeight w:val="1139"/>
        </w:trPr>
        <w:tc>
          <w:tcPr>
            <w:tcW w:w="1555" w:type="dxa"/>
            <w:tcBorders>
              <w:top w:val="single" w:sz="4" w:space="0" w:color="auto"/>
              <w:left w:val="single" w:sz="4" w:space="0" w:color="auto"/>
              <w:bottom w:val="single" w:sz="4" w:space="0" w:color="auto"/>
              <w:right w:val="single" w:sz="4" w:space="0" w:color="auto"/>
            </w:tcBorders>
            <w:hideMark/>
          </w:tcPr>
          <w:p w:rsidR="00F66845" w:rsidRPr="00F244D0" w:rsidRDefault="00F66845" w:rsidP="00CF34D4">
            <w:pPr>
              <w:spacing w:before="120" w:after="80" w:line="240" w:lineRule="auto"/>
              <w:jc w:val="left"/>
              <w:rPr>
                <w:b/>
                <w:bCs/>
                <w:sz w:val="22"/>
                <w:lang w:val="es-ES_tradnl"/>
              </w:rPr>
            </w:pPr>
            <w:r w:rsidRPr="00F244D0">
              <w:rPr>
                <w:b/>
                <w:bCs/>
                <w:sz w:val="22"/>
                <w:lang w:val="es-ES_tradnl"/>
              </w:rPr>
              <w:t>Documento de origen (Actas de la Plenaria)</w:t>
            </w:r>
          </w:p>
        </w:tc>
        <w:tc>
          <w:tcPr>
            <w:tcW w:w="2016" w:type="dxa"/>
            <w:tcBorders>
              <w:top w:val="single" w:sz="4" w:space="0" w:color="auto"/>
              <w:left w:val="single" w:sz="4" w:space="0" w:color="auto"/>
              <w:bottom w:val="single" w:sz="4" w:space="0" w:color="auto"/>
              <w:right w:val="single" w:sz="4" w:space="0" w:color="auto"/>
            </w:tcBorders>
            <w:hideMark/>
          </w:tcPr>
          <w:p w:rsidR="00F66845" w:rsidRPr="00F244D0" w:rsidRDefault="00F66845" w:rsidP="00CF34D4">
            <w:pPr>
              <w:spacing w:before="120" w:after="80" w:line="240" w:lineRule="auto"/>
              <w:jc w:val="left"/>
              <w:rPr>
                <w:b/>
                <w:bCs/>
                <w:sz w:val="22"/>
                <w:lang w:val="es-ES_tradnl"/>
              </w:rPr>
            </w:pPr>
            <w:r w:rsidRPr="00F244D0">
              <w:rPr>
                <w:b/>
                <w:bCs/>
                <w:sz w:val="22"/>
                <w:lang w:val="es-ES_tradnl"/>
              </w:rPr>
              <w:t xml:space="preserve">Antecedentes de la decisión de la Plenaria </w:t>
            </w:r>
          </w:p>
        </w:tc>
        <w:tc>
          <w:tcPr>
            <w:tcW w:w="11594" w:type="dxa"/>
            <w:tcBorders>
              <w:top w:val="single" w:sz="4" w:space="0" w:color="auto"/>
              <w:left w:val="single" w:sz="4" w:space="0" w:color="auto"/>
              <w:bottom w:val="single" w:sz="4" w:space="0" w:color="auto"/>
              <w:right w:val="single" w:sz="4" w:space="0" w:color="auto"/>
            </w:tcBorders>
            <w:hideMark/>
          </w:tcPr>
          <w:p w:rsidR="00F66845" w:rsidRPr="00F244D0" w:rsidRDefault="00F66845" w:rsidP="00CF34D4">
            <w:pPr>
              <w:spacing w:before="120" w:after="80" w:line="240" w:lineRule="auto"/>
              <w:rPr>
                <w:b/>
                <w:bCs/>
                <w:sz w:val="22"/>
                <w:lang w:val="es-ES_tradnl"/>
              </w:rPr>
            </w:pPr>
            <w:r w:rsidRPr="00F244D0">
              <w:rPr>
                <w:b/>
                <w:bCs/>
                <w:sz w:val="22"/>
                <w:lang w:val="es-ES_tradnl"/>
              </w:rPr>
              <w:t>Decisión de la Plenaria y texto asociado</w:t>
            </w:r>
          </w:p>
        </w:tc>
      </w:tr>
      <w:tr w:rsidR="00F66845" w:rsidRPr="005579E2" w:rsidTr="00046311">
        <w:tc>
          <w:tcPr>
            <w:tcW w:w="1555" w:type="dxa"/>
            <w:vMerge w:val="restart"/>
            <w:tcBorders>
              <w:top w:val="single" w:sz="4" w:space="0" w:color="auto"/>
              <w:left w:val="single" w:sz="4" w:space="0" w:color="auto"/>
              <w:bottom w:val="single" w:sz="4" w:space="0" w:color="auto"/>
              <w:right w:val="single" w:sz="4" w:space="0" w:color="auto"/>
            </w:tcBorders>
            <w:hideMark/>
          </w:tcPr>
          <w:p w:rsidR="00F66845" w:rsidRPr="00F244D0" w:rsidRDefault="00F66845" w:rsidP="00CF34D4">
            <w:pPr>
              <w:spacing w:before="120" w:after="80" w:line="240" w:lineRule="auto"/>
              <w:jc w:val="left"/>
              <w:rPr>
                <w:b/>
                <w:bCs/>
                <w:sz w:val="22"/>
                <w:lang w:val="es-ES_tradnl"/>
              </w:rPr>
            </w:pPr>
            <w:r w:rsidRPr="00F244D0">
              <w:rPr>
                <w:b/>
                <w:bCs/>
                <w:sz w:val="22"/>
                <w:lang w:val="es-ES_tradnl"/>
              </w:rPr>
              <w:t>Documento CMR15/272 – Actas de la cuarta Sesión Plenaria</w:t>
            </w:r>
          </w:p>
        </w:tc>
        <w:tc>
          <w:tcPr>
            <w:tcW w:w="2016" w:type="dxa"/>
            <w:tcBorders>
              <w:top w:val="single" w:sz="4" w:space="0" w:color="auto"/>
              <w:left w:val="single" w:sz="4" w:space="0" w:color="auto"/>
              <w:bottom w:val="single" w:sz="4" w:space="0" w:color="auto"/>
              <w:right w:val="single" w:sz="4" w:space="0" w:color="auto"/>
            </w:tcBorders>
            <w:hideMark/>
          </w:tcPr>
          <w:p w:rsidR="00F66845" w:rsidRPr="00DA7BD8" w:rsidRDefault="00F66845" w:rsidP="00CF34D4">
            <w:pPr>
              <w:tabs>
                <w:tab w:val="clear" w:pos="794"/>
                <w:tab w:val="clear" w:pos="1191"/>
                <w:tab w:val="clear" w:pos="1588"/>
                <w:tab w:val="clear" w:pos="1985"/>
              </w:tabs>
              <w:overflowPunct/>
              <w:autoSpaceDE/>
              <w:autoSpaceDN/>
              <w:adjustRightInd/>
              <w:spacing w:before="120" w:after="80" w:line="240" w:lineRule="auto"/>
              <w:jc w:val="left"/>
              <w:textAlignment w:val="auto"/>
              <w:rPr>
                <w:rFonts w:asciiTheme="minorHAnsi" w:hAnsiTheme="minorHAnsi"/>
                <w:b/>
                <w:i/>
                <w:iCs/>
                <w:color w:val="000000"/>
                <w:sz w:val="22"/>
                <w:lang w:val="es-ES" w:eastAsia="zh-CN"/>
              </w:rPr>
            </w:pPr>
            <w:r w:rsidRPr="00DA7BD8">
              <w:rPr>
                <w:rFonts w:asciiTheme="minorHAnsi" w:hAnsiTheme="minorHAnsi"/>
                <w:b/>
                <w:color w:val="000000"/>
                <w:sz w:val="22"/>
                <w:lang w:val="es-ES" w:eastAsia="zh-CN"/>
              </w:rPr>
              <w:t>Párr</w:t>
            </w:r>
            <w:r w:rsidR="0068086E">
              <w:rPr>
                <w:rFonts w:asciiTheme="minorHAnsi" w:hAnsiTheme="minorHAnsi"/>
                <w:b/>
                <w:color w:val="000000"/>
                <w:sz w:val="22"/>
                <w:lang w:val="es-ES" w:eastAsia="zh-CN"/>
              </w:rPr>
              <w:t>s</w:t>
            </w:r>
            <w:r w:rsidRPr="00DA7BD8">
              <w:rPr>
                <w:rFonts w:asciiTheme="minorHAnsi" w:hAnsiTheme="minorHAnsi"/>
                <w:b/>
                <w:color w:val="000000"/>
                <w:sz w:val="22"/>
                <w:lang w:val="es-ES" w:eastAsia="zh-CN"/>
              </w:rPr>
              <w:t>. 1.10 a 1.12</w:t>
            </w:r>
            <w:r w:rsidR="005579E2">
              <w:rPr>
                <w:rFonts w:asciiTheme="minorHAnsi" w:hAnsiTheme="minorHAnsi"/>
                <w:b/>
                <w:color w:val="000000"/>
                <w:sz w:val="22"/>
                <w:lang w:val="es-ES" w:eastAsia="zh-CN"/>
              </w:rPr>
              <w:br/>
            </w:r>
            <w:r w:rsidRPr="00DA7BD8">
              <w:rPr>
                <w:rFonts w:asciiTheme="minorHAnsi" w:hAnsiTheme="minorHAnsi"/>
                <w:b/>
                <w:color w:val="000000"/>
                <w:sz w:val="22"/>
                <w:lang w:val="es-ES" w:eastAsia="zh-CN"/>
              </w:rPr>
              <w:t xml:space="preserve">Aprobación del Documento 230 </w:t>
            </w:r>
          </w:p>
        </w:tc>
        <w:tc>
          <w:tcPr>
            <w:tcW w:w="11594" w:type="dxa"/>
            <w:tcBorders>
              <w:top w:val="single" w:sz="4" w:space="0" w:color="auto"/>
              <w:left w:val="single" w:sz="4" w:space="0" w:color="auto"/>
              <w:bottom w:val="single" w:sz="4" w:space="0" w:color="auto"/>
              <w:right w:val="single" w:sz="4" w:space="0" w:color="auto"/>
            </w:tcBorders>
            <w:hideMark/>
          </w:tcPr>
          <w:p w:rsidR="00F66845" w:rsidRPr="00024B71" w:rsidRDefault="00F66845" w:rsidP="00CF34D4">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sz w:val="22"/>
                <w:lang w:val="es-ES" w:eastAsia="zh-CN"/>
              </w:rPr>
            </w:pPr>
            <w:r w:rsidRPr="00024B71">
              <w:rPr>
                <w:rFonts w:asciiTheme="minorHAnsi" w:hAnsiTheme="minorHAnsi"/>
                <w:b/>
                <w:sz w:val="22"/>
                <w:lang w:val="es-ES" w:eastAsia="zh-CN"/>
              </w:rPr>
              <w:t xml:space="preserve">La CMR-15 encarga a la Oficina de Radiocomunicaciones </w:t>
            </w:r>
            <w:r w:rsidRPr="00024B71">
              <w:rPr>
                <w:rFonts w:asciiTheme="minorHAnsi" w:hAnsiTheme="minorHAnsi"/>
                <w:sz w:val="22"/>
                <w:lang w:val="es-ES" w:eastAsia="zh-CN"/>
              </w:rPr>
              <w:t xml:space="preserve">el desarrollo e implementación de las herramientas y los medios descritos en el </w:t>
            </w:r>
            <w:r w:rsidRPr="00024B71">
              <w:rPr>
                <w:rFonts w:asciiTheme="minorHAnsi" w:hAnsiTheme="minorHAnsi"/>
                <w:i/>
                <w:iCs/>
                <w:sz w:val="22"/>
                <w:lang w:val="es-ES" w:eastAsia="zh-CN"/>
              </w:rPr>
              <w:t>encarga a la Oficina de Radiocomunicaciones</w:t>
            </w:r>
            <w:r w:rsidRPr="00024B71">
              <w:rPr>
                <w:rFonts w:asciiTheme="minorHAnsi" w:hAnsiTheme="minorHAnsi"/>
                <w:sz w:val="22"/>
                <w:lang w:val="es-ES" w:eastAsia="zh-CN"/>
              </w:rPr>
              <w:t xml:space="preserve"> de ambas Resoluciones, preferiblemente para el 1 de enero de 2017 y no más tarde del 30 de junio de 2017, teniendo en cuenta las posibles consecuencias financieras.</w:t>
            </w:r>
          </w:p>
          <w:p w:rsidR="00F66845" w:rsidRPr="00024B71" w:rsidRDefault="00F66845" w:rsidP="00CF34D4">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b/>
                <w:sz w:val="22"/>
                <w:lang w:val="es-ES" w:eastAsia="zh-CN"/>
              </w:rPr>
            </w:pPr>
            <w:r w:rsidRPr="00024B71">
              <w:rPr>
                <w:rFonts w:asciiTheme="minorHAnsi" w:hAnsiTheme="minorHAnsi"/>
                <w:sz w:val="22"/>
                <w:lang w:val="es-ES" w:eastAsia="zh-CN"/>
              </w:rPr>
              <w:t>La CMR-15 tomó nota de la sección 3.2.7.7 del Addéndum 2(Rev.1) y la sección 8.6 del Addéndum 3 al Documento 4 relativas a la decisión de la Junta del Reglamento de Radiocomunicaciones de reincorporar las asignaciones de frecuencias a la red CSDRN</w:t>
            </w:r>
            <w:r w:rsidR="00F244D0">
              <w:rPr>
                <w:rFonts w:asciiTheme="minorHAnsi" w:hAnsiTheme="minorHAnsi"/>
                <w:sz w:val="22"/>
                <w:lang w:val="es-ES" w:eastAsia="zh-CN"/>
              </w:rPr>
              <w:noBreakHyphen/>
            </w:r>
            <w:r w:rsidRPr="00024B71">
              <w:rPr>
                <w:rFonts w:asciiTheme="minorHAnsi" w:hAnsiTheme="minorHAnsi"/>
                <w:sz w:val="22"/>
                <w:lang w:val="es-ES" w:eastAsia="zh-CN"/>
              </w:rPr>
              <w:t xml:space="preserve">M. Asimismo, la CMR-15 tomó nota de la sección 8.11 del Addéndum 3 al Documento 4 relativa a la ampliación excepcional del plazo para la puesta en servicio de las asignaciones de frecuencias a la red de satélites LAOSAT 128,5E hasta el 31 de diciembre de 2015. </w:t>
            </w:r>
            <w:r w:rsidRPr="00E235EF">
              <w:rPr>
                <w:rFonts w:asciiTheme="minorHAnsi" w:hAnsiTheme="minorHAnsi"/>
                <w:b/>
                <w:bCs/>
                <w:sz w:val="22"/>
                <w:lang w:val="es-ES" w:eastAsia="zh-CN"/>
              </w:rPr>
              <w:t>La CMR-15 refrendó las decisiones adoptadas por la Junta en ambos casos</w:t>
            </w:r>
            <w:r w:rsidRPr="00024B71">
              <w:rPr>
                <w:rFonts w:asciiTheme="minorHAnsi" w:hAnsiTheme="minorHAnsi"/>
                <w:sz w:val="22"/>
                <w:lang w:val="es-ES" w:eastAsia="zh-CN"/>
              </w:rPr>
              <w:t>. Por otra parte, la CMR</w:t>
            </w:r>
            <w:r w:rsidR="00F244D0">
              <w:rPr>
                <w:rFonts w:asciiTheme="minorHAnsi" w:hAnsiTheme="minorHAnsi"/>
                <w:sz w:val="22"/>
                <w:lang w:val="es-ES" w:eastAsia="zh-CN"/>
              </w:rPr>
              <w:noBreakHyphen/>
            </w:r>
            <w:r w:rsidRPr="00024B71">
              <w:rPr>
                <w:rFonts w:asciiTheme="minorHAnsi" w:hAnsiTheme="minorHAnsi"/>
                <w:sz w:val="22"/>
                <w:lang w:val="es-ES" w:eastAsia="zh-CN"/>
              </w:rPr>
              <w:t xml:space="preserve">15 indicó que dichas decisiones se habían adoptado caso por caso, teniendo en cuenta circunstancias concretas vinculadas a esos dos casos particulares. </w:t>
            </w:r>
          </w:p>
        </w:tc>
      </w:tr>
      <w:tr w:rsidR="00F66845" w:rsidRPr="005579E2" w:rsidTr="00046311">
        <w:tc>
          <w:tcPr>
            <w:tcW w:w="1555" w:type="dxa"/>
            <w:vMerge/>
            <w:tcBorders>
              <w:top w:val="single" w:sz="4" w:space="0" w:color="auto"/>
              <w:left w:val="single" w:sz="4" w:space="0" w:color="auto"/>
              <w:bottom w:val="single" w:sz="4" w:space="0" w:color="auto"/>
              <w:right w:val="single" w:sz="4" w:space="0" w:color="auto"/>
            </w:tcBorders>
            <w:vAlign w:val="center"/>
            <w:hideMark/>
          </w:tcPr>
          <w:p w:rsidR="00F66845" w:rsidRPr="00F244D0" w:rsidRDefault="00F66845" w:rsidP="00CF34D4">
            <w:pPr>
              <w:spacing w:before="80" w:after="80" w:line="240" w:lineRule="auto"/>
              <w:jc w:val="left"/>
              <w:rPr>
                <w:b/>
                <w:bCs/>
                <w:sz w:val="22"/>
                <w:lang w:val="es-ES_tradnl"/>
              </w:rPr>
            </w:pPr>
          </w:p>
        </w:tc>
        <w:tc>
          <w:tcPr>
            <w:tcW w:w="2016" w:type="dxa"/>
            <w:tcBorders>
              <w:top w:val="single" w:sz="4" w:space="0" w:color="auto"/>
              <w:left w:val="single" w:sz="4" w:space="0" w:color="auto"/>
              <w:bottom w:val="single" w:sz="4" w:space="0" w:color="auto"/>
              <w:right w:val="single" w:sz="4" w:space="0" w:color="auto"/>
            </w:tcBorders>
            <w:hideMark/>
          </w:tcPr>
          <w:p w:rsidR="00F66845" w:rsidRPr="00DA7BD8" w:rsidRDefault="00F66845" w:rsidP="00CF34D4">
            <w:pPr>
              <w:tabs>
                <w:tab w:val="clear" w:pos="794"/>
                <w:tab w:val="clear" w:pos="1191"/>
                <w:tab w:val="clear" w:pos="1588"/>
                <w:tab w:val="clear" w:pos="1985"/>
              </w:tabs>
              <w:overflowPunct/>
              <w:autoSpaceDE/>
              <w:autoSpaceDN/>
              <w:adjustRightInd/>
              <w:spacing w:before="120" w:after="80" w:line="240" w:lineRule="auto"/>
              <w:jc w:val="left"/>
              <w:textAlignment w:val="auto"/>
              <w:rPr>
                <w:rFonts w:asciiTheme="minorHAnsi" w:hAnsiTheme="minorHAnsi"/>
                <w:b/>
                <w:color w:val="000000"/>
                <w:sz w:val="22"/>
                <w:lang w:val="es-ES" w:eastAsia="zh-CN"/>
              </w:rPr>
            </w:pPr>
            <w:r w:rsidRPr="00DA7BD8">
              <w:rPr>
                <w:rFonts w:asciiTheme="minorHAnsi" w:hAnsiTheme="minorHAnsi"/>
                <w:b/>
                <w:color w:val="000000"/>
                <w:sz w:val="22"/>
                <w:lang w:val="es-ES" w:eastAsia="zh-CN"/>
              </w:rPr>
              <w:t>P</w:t>
            </w:r>
            <w:r w:rsidR="00E235EF">
              <w:rPr>
                <w:rFonts w:asciiTheme="minorHAnsi" w:hAnsiTheme="minorHAnsi"/>
                <w:b/>
                <w:color w:val="000000"/>
                <w:sz w:val="22"/>
                <w:lang w:val="es-ES" w:eastAsia="zh-CN"/>
              </w:rPr>
              <w:t>ár</w:t>
            </w:r>
            <w:r w:rsidRPr="00DA7BD8">
              <w:rPr>
                <w:rFonts w:asciiTheme="minorHAnsi" w:hAnsiTheme="minorHAnsi"/>
                <w:b/>
                <w:color w:val="000000"/>
                <w:sz w:val="22"/>
                <w:lang w:val="es-ES" w:eastAsia="zh-CN"/>
              </w:rPr>
              <w:t>r</w:t>
            </w:r>
            <w:r w:rsidR="0068086E">
              <w:rPr>
                <w:rFonts w:asciiTheme="minorHAnsi" w:hAnsiTheme="minorHAnsi"/>
                <w:b/>
                <w:color w:val="000000"/>
                <w:sz w:val="22"/>
                <w:lang w:val="es-ES" w:eastAsia="zh-CN"/>
              </w:rPr>
              <w:t>s</w:t>
            </w:r>
            <w:r w:rsidR="005579E2">
              <w:rPr>
                <w:rFonts w:asciiTheme="minorHAnsi" w:hAnsiTheme="minorHAnsi"/>
                <w:b/>
                <w:color w:val="000000"/>
                <w:sz w:val="22"/>
                <w:lang w:val="es-ES" w:eastAsia="zh-CN"/>
              </w:rPr>
              <w:t>.</w:t>
            </w:r>
            <w:r w:rsidRPr="00DA7BD8">
              <w:rPr>
                <w:rFonts w:asciiTheme="minorHAnsi" w:hAnsiTheme="minorHAnsi"/>
                <w:b/>
                <w:color w:val="000000"/>
                <w:sz w:val="22"/>
                <w:lang w:val="es-ES" w:eastAsia="zh-CN"/>
              </w:rPr>
              <w:t xml:space="preserve"> 1.13 </w:t>
            </w:r>
            <w:r w:rsidR="00024B71">
              <w:rPr>
                <w:rFonts w:asciiTheme="minorHAnsi" w:hAnsiTheme="minorHAnsi"/>
                <w:b/>
                <w:color w:val="000000"/>
                <w:sz w:val="22"/>
                <w:lang w:val="es-ES" w:eastAsia="zh-CN"/>
              </w:rPr>
              <w:t>a</w:t>
            </w:r>
            <w:r w:rsidRPr="00DA7BD8">
              <w:rPr>
                <w:rFonts w:asciiTheme="minorHAnsi" w:hAnsiTheme="minorHAnsi"/>
                <w:b/>
                <w:color w:val="000000"/>
                <w:sz w:val="22"/>
                <w:lang w:val="es-ES" w:eastAsia="zh-CN"/>
              </w:rPr>
              <w:t xml:space="preserve"> 1.19</w:t>
            </w:r>
            <w:r w:rsidR="005579E2">
              <w:rPr>
                <w:rFonts w:asciiTheme="minorHAnsi" w:hAnsiTheme="minorHAnsi"/>
                <w:b/>
                <w:color w:val="000000"/>
                <w:sz w:val="22"/>
                <w:lang w:val="es-ES" w:eastAsia="zh-CN"/>
              </w:rPr>
              <w:br/>
            </w:r>
            <w:r w:rsidRPr="00DA7BD8">
              <w:rPr>
                <w:rFonts w:asciiTheme="minorHAnsi" w:hAnsiTheme="minorHAnsi"/>
                <w:b/>
                <w:color w:val="000000"/>
                <w:sz w:val="22"/>
                <w:lang w:val="es-ES" w:eastAsia="zh-CN"/>
              </w:rPr>
              <w:t>Aprobación del Documento 225</w:t>
            </w:r>
          </w:p>
        </w:tc>
        <w:tc>
          <w:tcPr>
            <w:tcW w:w="11594" w:type="dxa"/>
            <w:tcBorders>
              <w:top w:val="single" w:sz="4" w:space="0" w:color="auto"/>
              <w:left w:val="single" w:sz="4" w:space="0" w:color="auto"/>
              <w:bottom w:val="single" w:sz="4" w:space="0" w:color="auto"/>
              <w:right w:val="single" w:sz="4" w:space="0" w:color="auto"/>
            </w:tcBorders>
            <w:hideMark/>
          </w:tcPr>
          <w:p w:rsidR="00F66845" w:rsidRPr="00F244D0" w:rsidRDefault="00F66845" w:rsidP="00CF34D4">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b/>
                <w:sz w:val="22"/>
                <w:lang w:val="es-ES" w:eastAsia="zh-CN"/>
              </w:rPr>
            </w:pPr>
            <w:r w:rsidRPr="00F244D0">
              <w:rPr>
                <w:rFonts w:asciiTheme="minorHAnsi" w:hAnsiTheme="minorHAnsi"/>
                <w:sz w:val="22"/>
                <w:lang w:val="es-ES" w:eastAsia="zh-CN"/>
              </w:rPr>
              <w:t xml:space="preserve">La Secretaría de la UIT adopta las medidas oportunas para facilitar la lectura del Reglamento de Radiocomunicaciones mediante la introducción de encabezamientos en todas las páginas del Volumen I que indiquen el título del correspondiente Capítulo. </w:t>
            </w:r>
          </w:p>
        </w:tc>
      </w:tr>
      <w:tr w:rsidR="00F66845" w:rsidRPr="005579E2" w:rsidTr="00046311">
        <w:tc>
          <w:tcPr>
            <w:tcW w:w="1555" w:type="dxa"/>
            <w:vMerge w:val="restart"/>
            <w:tcBorders>
              <w:top w:val="single" w:sz="4" w:space="0" w:color="auto"/>
              <w:left w:val="single" w:sz="4" w:space="0" w:color="auto"/>
              <w:bottom w:val="single" w:sz="4" w:space="0" w:color="auto"/>
              <w:right w:val="single" w:sz="4" w:space="0" w:color="auto"/>
            </w:tcBorders>
          </w:tcPr>
          <w:p w:rsidR="00F66845" w:rsidRPr="00F244D0" w:rsidRDefault="00F66845" w:rsidP="00CF34D4">
            <w:pPr>
              <w:spacing w:before="120" w:after="80" w:line="240" w:lineRule="auto"/>
              <w:jc w:val="left"/>
              <w:rPr>
                <w:b/>
                <w:bCs/>
                <w:sz w:val="22"/>
                <w:lang w:val="es-ES_tradnl"/>
              </w:rPr>
            </w:pPr>
            <w:r w:rsidRPr="00F244D0">
              <w:rPr>
                <w:b/>
                <w:bCs/>
                <w:sz w:val="22"/>
                <w:lang w:val="es-ES_tradnl"/>
              </w:rPr>
              <w:t>Documento CMR15/430 – Actas de la sexta sesión Plenaria</w:t>
            </w:r>
          </w:p>
        </w:tc>
        <w:tc>
          <w:tcPr>
            <w:tcW w:w="2016" w:type="dxa"/>
            <w:tcBorders>
              <w:top w:val="single" w:sz="4" w:space="0" w:color="auto"/>
              <w:left w:val="single" w:sz="4" w:space="0" w:color="auto"/>
              <w:bottom w:val="single" w:sz="4" w:space="0" w:color="auto"/>
              <w:right w:val="single" w:sz="4" w:space="0" w:color="auto"/>
            </w:tcBorders>
          </w:tcPr>
          <w:p w:rsidR="00F66845" w:rsidRPr="00DA7BD8" w:rsidRDefault="00F66845" w:rsidP="00CF34D4">
            <w:pPr>
              <w:tabs>
                <w:tab w:val="clear" w:pos="794"/>
                <w:tab w:val="clear" w:pos="1191"/>
                <w:tab w:val="clear" w:pos="1588"/>
                <w:tab w:val="clear" w:pos="1985"/>
              </w:tabs>
              <w:overflowPunct/>
              <w:autoSpaceDE/>
              <w:autoSpaceDN/>
              <w:adjustRightInd/>
              <w:spacing w:before="120" w:after="80" w:line="240" w:lineRule="auto"/>
              <w:jc w:val="left"/>
              <w:textAlignment w:val="auto"/>
              <w:rPr>
                <w:rFonts w:asciiTheme="minorHAnsi" w:hAnsiTheme="minorHAnsi"/>
                <w:b/>
                <w:color w:val="000000"/>
                <w:sz w:val="22"/>
                <w:lang w:val="es-ES" w:eastAsia="zh-CN"/>
              </w:rPr>
            </w:pPr>
            <w:r w:rsidRPr="00DA7BD8">
              <w:rPr>
                <w:rFonts w:asciiTheme="minorHAnsi" w:hAnsiTheme="minorHAnsi"/>
                <w:b/>
                <w:color w:val="000000"/>
                <w:sz w:val="22"/>
                <w:lang w:val="es-ES" w:eastAsia="zh-CN"/>
              </w:rPr>
              <w:t>P</w:t>
            </w:r>
            <w:r w:rsidR="00E235EF">
              <w:rPr>
                <w:rFonts w:asciiTheme="minorHAnsi" w:hAnsiTheme="minorHAnsi"/>
                <w:b/>
                <w:color w:val="000000"/>
                <w:sz w:val="22"/>
                <w:lang w:val="es-ES" w:eastAsia="zh-CN"/>
              </w:rPr>
              <w:t>á</w:t>
            </w:r>
            <w:r w:rsidRPr="00DA7BD8">
              <w:rPr>
                <w:rFonts w:asciiTheme="minorHAnsi" w:hAnsiTheme="minorHAnsi"/>
                <w:b/>
                <w:color w:val="000000"/>
                <w:sz w:val="22"/>
                <w:lang w:val="es-ES" w:eastAsia="zh-CN"/>
              </w:rPr>
              <w:t>r</w:t>
            </w:r>
            <w:r w:rsidR="00E235EF">
              <w:rPr>
                <w:rFonts w:asciiTheme="minorHAnsi" w:hAnsiTheme="minorHAnsi"/>
                <w:b/>
                <w:color w:val="000000"/>
                <w:sz w:val="22"/>
                <w:lang w:val="es-ES" w:eastAsia="zh-CN"/>
              </w:rPr>
              <w:t>r</w:t>
            </w:r>
            <w:r w:rsidR="0068086E">
              <w:rPr>
                <w:rFonts w:asciiTheme="minorHAnsi" w:hAnsiTheme="minorHAnsi"/>
                <w:b/>
                <w:color w:val="000000"/>
                <w:sz w:val="22"/>
                <w:lang w:val="es-ES" w:eastAsia="zh-CN"/>
              </w:rPr>
              <w:t>s</w:t>
            </w:r>
            <w:r w:rsidR="005579E2">
              <w:rPr>
                <w:rFonts w:asciiTheme="minorHAnsi" w:hAnsiTheme="minorHAnsi"/>
                <w:b/>
                <w:color w:val="000000"/>
                <w:sz w:val="22"/>
                <w:lang w:val="es-ES" w:eastAsia="zh-CN"/>
              </w:rPr>
              <w:t>.</w:t>
            </w:r>
            <w:r w:rsidRPr="00DA7BD8">
              <w:rPr>
                <w:rFonts w:asciiTheme="minorHAnsi" w:hAnsiTheme="minorHAnsi"/>
                <w:b/>
                <w:color w:val="000000"/>
                <w:sz w:val="22"/>
                <w:lang w:val="es-ES" w:eastAsia="zh-CN"/>
              </w:rPr>
              <w:t xml:space="preserve"> 2.9 </w:t>
            </w:r>
            <w:r w:rsidR="00024B71">
              <w:rPr>
                <w:rFonts w:asciiTheme="minorHAnsi" w:hAnsiTheme="minorHAnsi"/>
                <w:b/>
                <w:color w:val="000000"/>
                <w:sz w:val="22"/>
                <w:lang w:val="es-ES" w:eastAsia="zh-CN"/>
              </w:rPr>
              <w:t>a</w:t>
            </w:r>
            <w:r w:rsidRPr="00DA7BD8">
              <w:rPr>
                <w:rFonts w:asciiTheme="minorHAnsi" w:hAnsiTheme="minorHAnsi"/>
                <w:b/>
                <w:color w:val="000000"/>
                <w:sz w:val="22"/>
                <w:lang w:val="es-ES" w:eastAsia="zh-CN"/>
              </w:rPr>
              <w:t xml:space="preserve"> 2.13</w:t>
            </w:r>
            <w:r w:rsidR="005579E2">
              <w:rPr>
                <w:rFonts w:asciiTheme="minorHAnsi" w:hAnsiTheme="minorHAnsi"/>
                <w:b/>
                <w:color w:val="000000"/>
                <w:sz w:val="22"/>
                <w:lang w:val="es-ES" w:eastAsia="zh-CN"/>
              </w:rPr>
              <w:br/>
            </w:r>
            <w:r w:rsidRPr="00DA7BD8">
              <w:rPr>
                <w:rFonts w:asciiTheme="minorHAnsi" w:hAnsiTheme="minorHAnsi"/>
                <w:b/>
                <w:color w:val="000000"/>
                <w:sz w:val="22"/>
                <w:lang w:val="es-ES" w:eastAsia="zh-CN"/>
              </w:rPr>
              <w:t>Aprobación del Documento 308</w:t>
            </w:r>
          </w:p>
        </w:tc>
        <w:tc>
          <w:tcPr>
            <w:tcW w:w="11594" w:type="dxa"/>
            <w:tcBorders>
              <w:top w:val="single" w:sz="4" w:space="0" w:color="auto"/>
              <w:left w:val="single" w:sz="4" w:space="0" w:color="auto"/>
              <w:bottom w:val="single" w:sz="4" w:space="0" w:color="auto"/>
              <w:right w:val="single" w:sz="4" w:space="0" w:color="auto"/>
            </w:tcBorders>
            <w:hideMark/>
          </w:tcPr>
          <w:p w:rsidR="00F66845" w:rsidRPr="00046311" w:rsidRDefault="00F66845" w:rsidP="00CF34D4">
            <w:pPr>
              <w:keepNext/>
              <w:tabs>
                <w:tab w:val="clear" w:pos="794"/>
                <w:tab w:val="clear" w:pos="1191"/>
                <w:tab w:val="clear" w:pos="1588"/>
                <w:tab w:val="clear" w:pos="1985"/>
                <w:tab w:val="left" w:pos="1134"/>
                <w:tab w:val="left" w:pos="1871"/>
                <w:tab w:val="left" w:pos="2268"/>
              </w:tabs>
              <w:spacing w:before="120" w:after="80" w:line="240" w:lineRule="auto"/>
              <w:ind w:left="1134" w:hanging="1134"/>
              <w:rPr>
                <w:rFonts w:asciiTheme="minorHAnsi" w:hAnsiTheme="minorHAnsi"/>
                <w:b/>
                <w:sz w:val="22"/>
                <w:lang w:val="es-ES_tradnl"/>
              </w:rPr>
            </w:pPr>
            <w:r w:rsidRPr="00046311">
              <w:rPr>
                <w:rFonts w:asciiTheme="minorHAnsi" w:hAnsiTheme="minorHAnsi"/>
                <w:b/>
                <w:sz w:val="22"/>
                <w:lang w:val="es-ES_tradnl"/>
              </w:rPr>
              <w:t>A)</w:t>
            </w:r>
            <w:r w:rsidRPr="00046311">
              <w:rPr>
                <w:rFonts w:asciiTheme="minorHAnsi" w:hAnsiTheme="minorHAnsi"/>
                <w:b/>
                <w:sz w:val="22"/>
                <w:lang w:val="es-ES_tradnl"/>
              </w:rPr>
              <w:tab/>
              <w:t>Aplicación de la disposición número 9.19 del Reglamento de Radiocomunicaciones a los servicios terrenales</w:t>
            </w:r>
          </w:p>
          <w:p w:rsidR="00F66845" w:rsidRPr="00CE6BCA" w:rsidRDefault="00F66845" w:rsidP="00CF34D4">
            <w:pPr>
              <w:tabs>
                <w:tab w:val="clear" w:pos="794"/>
                <w:tab w:val="clear" w:pos="1191"/>
                <w:tab w:val="clear" w:pos="1588"/>
                <w:tab w:val="clear" w:pos="1985"/>
                <w:tab w:val="left" w:pos="1134"/>
                <w:tab w:val="left" w:pos="1871"/>
                <w:tab w:val="left" w:pos="2268"/>
              </w:tabs>
              <w:spacing w:before="120" w:after="80" w:line="240" w:lineRule="auto"/>
              <w:rPr>
                <w:rFonts w:asciiTheme="minorHAnsi" w:hAnsiTheme="minorHAnsi"/>
                <w:b/>
                <w:bCs/>
                <w:sz w:val="22"/>
                <w:lang w:val="es-ES_tradnl"/>
              </w:rPr>
            </w:pPr>
            <w:r w:rsidRPr="00CE6BCA">
              <w:rPr>
                <w:rFonts w:asciiTheme="minorHAnsi" w:hAnsiTheme="minorHAnsi"/>
                <w:b/>
                <w:bCs/>
                <w:sz w:val="22"/>
                <w:lang w:val="es-ES_tradnl"/>
              </w:rPr>
              <w:t>La Conferencia acordó:</w:t>
            </w:r>
          </w:p>
          <w:p w:rsidR="00F66845" w:rsidRPr="00046311" w:rsidRDefault="00F66845" w:rsidP="00CF34D4">
            <w:pPr>
              <w:tabs>
                <w:tab w:val="clear" w:pos="794"/>
                <w:tab w:val="clear" w:pos="1191"/>
                <w:tab w:val="clear" w:pos="1588"/>
                <w:tab w:val="clear" w:pos="1985"/>
                <w:tab w:val="left" w:pos="1134"/>
                <w:tab w:val="left" w:pos="1871"/>
                <w:tab w:val="left" w:pos="2268"/>
              </w:tabs>
              <w:spacing w:before="120" w:after="80" w:line="240" w:lineRule="auto"/>
              <w:rPr>
                <w:rFonts w:asciiTheme="minorHAnsi" w:hAnsiTheme="minorHAnsi"/>
                <w:sz w:val="22"/>
                <w:lang w:val="es-ES_tradnl"/>
              </w:rPr>
            </w:pPr>
            <w:r w:rsidRPr="00046311">
              <w:rPr>
                <w:rFonts w:asciiTheme="minorHAnsi" w:hAnsiTheme="minorHAnsi"/>
                <w:sz w:val="22"/>
                <w:lang w:val="es-ES_tradnl"/>
              </w:rPr>
              <w:t>1</w:t>
            </w:r>
            <w:r w:rsidRPr="00046311">
              <w:rPr>
                <w:rFonts w:asciiTheme="minorHAnsi" w:hAnsiTheme="minorHAnsi"/>
                <w:sz w:val="22"/>
                <w:lang w:val="es-ES_tradnl"/>
              </w:rPr>
              <w:tab/>
            </w:r>
            <w:r w:rsidRPr="00046311">
              <w:rPr>
                <w:rFonts w:asciiTheme="minorHAnsi" w:hAnsiTheme="minorHAnsi"/>
                <w:b/>
                <w:bCs/>
                <w:sz w:val="22"/>
                <w:lang w:val="es-ES_tradnl"/>
              </w:rPr>
              <w:t>confirmar la práctica actual de la Oficina</w:t>
            </w:r>
            <w:r w:rsidRPr="00046311">
              <w:rPr>
                <w:rFonts w:asciiTheme="minorHAnsi" w:hAnsiTheme="minorHAnsi"/>
                <w:sz w:val="22"/>
                <w:lang w:val="es-ES_tradnl"/>
              </w:rPr>
              <w:t xml:space="preserve"> para la aplicación de la disposición del número </w:t>
            </w:r>
            <w:r w:rsidRPr="00046311">
              <w:rPr>
                <w:rFonts w:asciiTheme="minorHAnsi" w:hAnsiTheme="minorHAnsi"/>
                <w:b/>
                <w:bCs/>
                <w:sz w:val="22"/>
                <w:lang w:val="es-ES_tradnl"/>
              </w:rPr>
              <w:t>9.19</w:t>
            </w:r>
            <w:r w:rsidRPr="00046311">
              <w:rPr>
                <w:rFonts w:asciiTheme="minorHAnsi" w:hAnsiTheme="minorHAnsi"/>
                <w:sz w:val="22"/>
                <w:lang w:val="es-ES_tradnl"/>
              </w:rPr>
              <w:t xml:space="preserve"> del Reglamento de Radiocomunicaciones que atañe a la coordinación de las estaciones terrenales transmisoras con las estaciones terrenas típicas dentro de la zona de servicio de una estación espacial del servicio de radiodifusión por satélite en las bandas compartidas con igualdad de derechos entre estos servicios como sigue:</w:t>
            </w:r>
          </w:p>
          <w:p w:rsidR="00F66845" w:rsidRPr="00046311" w:rsidRDefault="00F66845" w:rsidP="00CF34D4">
            <w:pPr>
              <w:tabs>
                <w:tab w:val="clear" w:pos="794"/>
                <w:tab w:val="clear" w:pos="1191"/>
                <w:tab w:val="clear" w:pos="1588"/>
                <w:tab w:val="clear" w:pos="1985"/>
                <w:tab w:val="left" w:pos="1134"/>
                <w:tab w:val="left" w:pos="1871"/>
                <w:tab w:val="left" w:pos="2268"/>
              </w:tabs>
              <w:spacing w:before="120" w:after="80" w:line="240" w:lineRule="auto"/>
              <w:rPr>
                <w:rFonts w:asciiTheme="minorHAnsi" w:hAnsiTheme="minorHAnsi"/>
                <w:sz w:val="22"/>
                <w:lang w:val="es-ES_tradnl"/>
              </w:rPr>
            </w:pPr>
            <w:r w:rsidRPr="00046311">
              <w:rPr>
                <w:rFonts w:asciiTheme="minorHAnsi" w:hAnsiTheme="minorHAnsi"/>
                <w:sz w:val="22"/>
                <w:lang w:val="es-ES_tradnl"/>
              </w:rPr>
              <w:t xml:space="preserve">«Dado que sólo se dispone de los valores umbral de dfp para la banda 11,7-12,7 GHz y dado que a las demás bandas se pueden aplicar distintos criterios y condiciones de propagación, al examinar las notificaciones de frecuencias de estaciones terrenales </w:t>
            </w:r>
            <w:r w:rsidRPr="00046311">
              <w:rPr>
                <w:rFonts w:asciiTheme="minorHAnsi" w:hAnsiTheme="minorHAnsi"/>
                <w:sz w:val="22"/>
                <w:lang w:val="es-ES_tradnl"/>
              </w:rPr>
              <w:lastRenderedPageBreak/>
              <w:t xml:space="preserve">en virtud del número </w:t>
            </w:r>
            <w:r w:rsidRPr="00046311">
              <w:rPr>
                <w:rFonts w:asciiTheme="minorHAnsi" w:hAnsiTheme="minorHAnsi"/>
                <w:b/>
                <w:bCs/>
                <w:sz w:val="22"/>
                <w:lang w:val="es-ES_tradnl"/>
              </w:rPr>
              <w:t>9.19</w:t>
            </w:r>
            <w:r w:rsidRPr="00046311">
              <w:rPr>
                <w:rFonts w:asciiTheme="minorHAnsi" w:hAnsiTheme="minorHAnsi"/>
                <w:sz w:val="22"/>
                <w:lang w:val="es-ES_tradnl"/>
              </w:rPr>
              <w:t>, la Oficina determina en la actualidad los requisitos de coordinación utilizando únicamente el solapamiento de frecuencias como umbral de coordinación para las bandas siguientes: 620-790 MHz, 1 452</w:t>
            </w:r>
            <w:r w:rsidRPr="00046311">
              <w:rPr>
                <w:rFonts w:asciiTheme="minorHAnsi" w:hAnsiTheme="minorHAnsi"/>
                <w:sz w:val="22"/>
                <w:lang w:val="es-ES_tradnl"/>
              </w:rPr>
              <w:noBreakHyphen/>
              <w:t>1 492 MHz, 2 310</w:t>
            </w:r>
            <w:r w:rsidR="00386589">
              <w:rPr>
                <w:rFonts w:asciiTheme="minorHAnsi" w:hAnsiTheme="minorHAnsi"/>
                <w:sz w:val="22"/>
                <w:lang w:val="es-ES_tradnl"/>
              </w:rPr>
              <w:noBreakHyphen/>
            </w:r>
            <w:r w:rsidRPr="00046311">
              <w:rPr>
                <w:rFonts w:asciiTheme="minorHAnsi" w:hAnsiTheme="minorHAnsi"/>
                <w:sz w:val="22"/>
                <w:lang w:val="es-ES_tradnl"/>
              </w:rPr>
              <w:t>2 360 MHz, 2 520-2 670 MHz, 17,7-17,8 GHz, 40,5-42,5 GHz y 74</w:t>
            </w:r>
            <w:r w:rsidRPr="00046311">
              <w:rPr>
                <w:rFonts w:asciiTheme="minorHAnsi" w:hAnsiTheme="minorHAnsi"/>
                <w:sz w:val="22"/>
                <w:lang w:val="es-ES_tradnl"/>
              </w:rPr>
              <w:noBreakHyphen/>
              <w:t>76 GHz.»</w:t>
            </w:r>
          </w:p>
          <w:p w:rsidR="00F66845" w:rsidRPr="00046311" w:rsidRDefault="00F66845" w:rsidP="00CF34D4">
            <w:pPr>
              <w:tabs>
                <w:tab w:val="clear" w:pos="794"/>
                <w:tab w:val="clear" w:pos="1191"/>
                <w:tab w:val="clear" w:pos="1588"/>
                <w:tab w:val="clear" w:pos="1985"/>
                <w:tab w:val="left" w:pos="1134"/>
                <w:tab w:val="left" w:pos="1871"/>
                <w:tab w:val="left" w:pos="2268"/>
              </w:tabs>
              <w:spacing w:before="120" w:after="80" w:line="240" w:lineRule="auto"/>
              <w:rPr>
                <w:rFonts w:asciiTheme="minorHAnsi" w:hAnsiTheme="minorHAnsi"/>
                <w:sz w:val="22"/>
                <w:lang w:val="es-ES_tradnl"/>
              </w:rPr>
            </w:pPr>
            <w:r w:rsidRPr="00046311">
              <w:rPr>
                <w:rFonts w:asciiTheme="minorHAnsi" w:hAnsiTheme="minorHAnsi"/>
                <w:sz w:val="22"/>
                <w:lang w:val="es-ES_tradnl"/>
              </w:rPr>
              <w:t>2</w:t>
            </w:r>
            <w:r w:rsidRPr="00046311">
              <w:rPr>
                <w:rFonts w:asciiTheme="minorHAnsi" w:hAnsiTheme="minorHAnsi"/>
                <w:sz w:val="22"/>
                <w:lang w:val="es-ES_tradnl"/>
              </w:rPr>
              <w:tab/>
            </w:r>
            <w:r w:rsidRPr="00046311">
              <w:rPr>
                <w:rFonts w:asciiTheme="minorHAnsi" w:hAnsiTheme="minorHAnsi"/>
                <w:b/>
                <w:bCs/>
                <w:sz w:val="22"/>
                <w:lang w:val="es-ES_tradnl"/>
              </w:rPr>
              <w:t>invitar a las Comisiones de Estudio del UIT-R pertinentes</w:t>
            </w:r>
            <w:r w:rsidRPr="00046311">
              <w:rPr>
                <w:rFonts w:asciiTheme="minorHAnsi" w:hAnsiTheme="minorHAnsi"/>
                <w:sz w:val="22"/>
                <w:lang w:val="es-ES_tradnl"/>
              </w:rPr>
              <w:t xml:space="preserve"> a que identifiquen los valores de dfp aplicables y los métodos de cálculo para determinar los requisitos de coordinación en virtud del número </w:t>
            </w:r>
            <w:r w:rsidRPr="00046311">
              <w:rPr>
                <w:rFonts w:asciiTheme="minorHAnsi" w:hAnsiTheme="minorHAnsi"/>
                <w:b/>
                <w:bCs/>
                <w:sz w:val="22"/>
                <w:lang w:val="es-ES_tradnl"/>
              </w:rPr>
              <w:t>9.19</w:t>
            </w:r>
            <w:r w:rsidRPr="00046311">
              <w:rPr>
                <w:rFonts w:asciiTheme="minorHAnsi" w:hAnsiTheme="minorHAnsi"/>
                <w:sz w:val="22"/>
                <w:lang w:val="es-ES_tradnl"/>
              </w:rPr>
              <w:t xml:space="preserve"> en las bandas de frecuencias pertinentes, incluidas las bandas 620-790 MHz, 1 452-1 492 MHz, 2 310-2 360 MHz, 2 520-2 670 MHz, 17,7-17,8 GHz, 40,5</w:t>
            </w:r>
            <w:r w:rsidR="00386589">
              <w:rPr>
                <w:rFonts w:asciiTheme="minorHAnsi" w:hAnsiTheme="minorHAnsi"/>
                <w:sz w:val="22"/>
                <w:lang w:val="es-ES_tradnl"/>
              </w:rPr>
              <w:noBreakHyphen/>
            </w:r>
            <w:r w:rsidRPr="00046311">
              <w:rPr>
                <w:rFonts w:asciiTheme="minorHAnsi" w:hAnsiTheme="minorHAnsi"/>
                <w:sz w:val="22"/>
                <w:lang w:val="es-ES_tradnl"/>
              </w:rPr>
              <w:t>42,5</w:t>
            </w:r>
            <w:r w:rsidR="00386589">
              <w:rPr>
                <w:rFonts w:asciiTheme="minorHAnsi" w:hAnsiTheme="minorHAnsi"/>
                <w:sz w:val="22"/>
                <w:lang w:val="es-ES_tradnl"/>
              </w:rPr>
              <w:t> </w:t>
            </w:r>
            <w:r w:rsidRPr="00046311">
              <w:rPr>
                <w:rFonts w:asciiTheme="minorHAnsi" w:hAnsiTheme="minorHAnsi"/>
                <w:sz w:val="22"/>
                <w:lang w:val="es-ES_tradnl"/>
              </w:rPr>
              <w:t>GHz y 74</w:t>
            </w:r>
            <w:r w:rsidRPr="00046311">
              <w:rPr>
                <w:rFonts w:asciiTheme="minorHAnsi" w:hAnsiTheme="minorHAnsi"/>
                <w:sz w:val="22"/>
                <w:lang w:val="es-ES_tradnl"/>
              </w:rPr>
              <w:noBreakHyphen/>
              <w:t>76 GHz.</w:t>
            </w:r>
          </w:p>
          <w:p w:rsidR="00F66845" w:rsidRPr="00046311" w:rsidRDefault="00F66845" w:rsidP="00CF34D4">
            <w:pPr>
              <w:keepNext/>
              <w:tabs>
                <w:tab w:val="clear" w:pos="794"/>
                <w:tab w:val="clear" w:pos="1191"/>
                <w:tab w:val="clear" w:pos="1588"/>
                <w:tab w:val="clear" w:pos="1985"/>
                <w:tab w:val="left" w:pos="1134"/>
                <w:tab w:val="left" w:pos="1871"/>
                <w:tab w:val="left" w:pos="2268"/>
              </w:tabs>
              <w:spacing w:before="120" w:after="80" w:line="240" w:lineRule="auto"/>
              <w:rPr>
                <w:rFonts w:asciiTheme="minorHAnsi" w:hAnsiTheme="minorHAnsi"/>
                <w:b/>
                <w:sz w:val="22"/>
                <w:lang w:val="es-ES_tradnl"/>
              </w:rPr>
            </w:pPr>
            <w:r w:rsidRPr="00046311">
              <w:rPr>
                <w:rFonts w:asciiTheme="minorHAnsi" w:hAnsiTheme="minorHAnsi"/>
                <w:b/>
                <w:sz w:val="22"/>
                <w:lang w:val="es-ES_tradnl"/>
              </w:rPr>
              <w:t>B)</w:t>
            </w:r>
            <w:r w:rsidRPr="00046311">
              <w:rPr>
                <w:rFonts w:asciiTheme="minorHAnsi" w:hAnsiTheme="minorHAnsi"/>
                <w:b/>
                <w:sz w:val="22"/>
                <w:lang w:val="es-ES_tradnl"/>
              </w:rPr>
              <w:tab/>
            </w:r>
            <w:r w:rsidRPr="00046311">
              <w:rPr>
                <w:rFonts w:asciiTheme="minorHAnsi" w:hAnsiTheme="minorHAnsi"/>
                <w:b/>
                <w:bCs/>
                <w:sz w:val="22"/>
                <w:lang w:val="es-ES_tradnl"/>
              </w:rPr>
              <w:t>Nuevos datos para los enlaces de pasarela HAPS</w:t>
            </w:r>
          </w:p>
          <w:p w:rsidR="00F66845" w:rsidRPr="00046311" w:rsidRDefault="00F66845" w:rsidP="00CF34D4">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bCs/>
                <w:i/>
                <w:iCs/>
                <w:color w:val="000000"/>
                <w:sz w:val="22"/>
                <w:lang w:val="es-ES" w:eastAsia="zh-CN"/>
              </w:rPr>
            </w:pPr>
            <w:r w:rsidRPr="00046311">
              <w:rPr>
                <w:rFonts w:asciiTheme="minorHAnsi" w:eastAsia="Times New Roman" w:hAnsiTheme="minorHAnsi" w:cs="Times New Roman"/>
                <w:sz w:val="22"/>
                <w:lang w:val="es-ES_tradnl"/>
              </w:rPr>
              <w:t>Las Administraciones que deseen desplegar enlaces de pasarela HAPS en las bandas de frecuencias 6 440-6 520 MHz y 6 560</w:t>
            </w:r>
            <w:r w:rsidR="00386589">
              <w:rPr>
                <w:rFonts w:asciiTheme="minorHAnsi" w:eastAsia="Times New Roman" w:hAnsiTheme="minorHAnsi" w:cs="Times New Roman"/>
                <w:sz w:val="22"/>
                <w:lang w:val="es-ES_tradnl"/>
              </w:rPr>
              <w:noBreakHyphen/>
            </w:r>
            <w:r w:rsidRPr="00046311">
              <w:rPr>
                <w:rFonts w:asciiTheme="minorHAnsi" w:eastAsia="Times New Roman" w:hAnsiTheme="minorHAnsi" w:cs="Times New Roman"/>
                <w:sz w:val="22"/>
                <w:lang w:val="es-ES_tradnl"/>
              </w:rPr>
              <w:t>6 640 MHz seguirán utilizando los elementos de datos enumerados en la citada Carta Circular de forma provisional hasta que una Conferencia Mundial de Radiocomunicaciones competente incluya los datos necesarios en el Apéndice 4 del Reglamento de Radiocomunicaciones.</w:t>
            </w:r>
          </w:p>
        </w:tc>
      </w:tr>
      <w:tr w:rsidR="00F66845" w:rsidRPr="005579E2" w:rsidTr="00046311">
        <w:tc>
          <w:tcPr>
            <w:tcW w:w="1555" w:type="dxa"/>
            <w:vMerge/>
            <w:tcBorders>
              <w:top w:val="single" w:sz="4" w:space="0" w:color="auto"/>
              <w:left w:val="single" w:sz="4" w:space="0" w:color="auto"/>
              <w:bottom w:val="single" w:sz="4" w:space="0" w:color="auto"/>
              <w:right w:val="single" w:sz="4" w:space="0" w:color="auto"/>
            </w:tcBorders>
            <w:vAlign w:val="center"/>
            <w:hideMark/>
          </w:tcPr>
          <w:p w:rsidR="00F66845" w:rsidRPr="00DA7BD8" w:rsidRDefault="00F66845" w:rsidP="00CF34D4">
            <w:pPr>
              <w:tabs>
                <w:tab w:val="clear" w:pos="794"/>
                <w:tab w:val="clear" w:pos="1191"/>
                <w:tab w:val="clear" w:pos="1588"/>
                <w:tab w:val="clear" w:pos="1985"/>
              </w:tabs>
              <w:overflowPunct/>
              <w:autoSpaceDE/>
              <w:autoSpaceDN/>
              <w:adjustRightInd/>
              <w:spacing w:before="80" w:after="80" w:line="240" w:lineRule="auto"/>
              <w:jc w:val="left"/>
              <w:textAlignment w:val="auto"/>
              <w:rPr>
                <w:rFonts w:asciiTheme="minorHAnsi" w:hAnsiTheme="minorHAnsi"/>
                <w:b/>
                <w:color w:val="000000"/>
                <w:sz w:val="22"/>
                <w:lang w:val="es-ES" w:eastAsia="zh-CN"/>
              </w:rPr>
            </w:pPr>
          </w:p>
        </w:tc>
        <w:tc>
          <w:tcPr>
            <w:tcW w:w="2016" w:type="dxa"/>
            <w:tcBorders>
              <w:top w:val="single" w:sz="4" w:space="0" w:color="auto"/>
              <w:left w:val="single" w:sz="4" w:space="0" w:color="auto"/>
              <w:bottom w:val="single" w:sz="4" w:space="0" w:color="auto"/>
              <w:right w:val="single" w:sz="4" w:space="0" w:color="auto"/>
            </w:tcBorders>
            <w:hideMark/>
          </w:tcPr>
          <w:p w:rsidR="00F66845" w:rsidRPr="005579E2" w:rsidRDefault="00F66845" w:rsidP="00CF34D4">
            <w:pPr>
              <w:tabs>
                <w:tab w:val="clear" w:pos="794"/>
                <w:tab w:val="clear" w:pos="1191"/>
                <w:tab w:val="clear" w:pos="1588"/>
                <w:tab w:val="clear" w:pos="1985"/>
              </w:tabs>
              <w:overflowPunct/>
              <w:autoSpaceDE/>
              <w:autoSpaceDN/>
              <w:adjustRightInd/>
              <w:spacing w:before="120" w:after="80" w:line="240" w:lineRule="auto"/>
              <w:jc w:val="left"/>
              <w:textAlignment w:val="auto"/>
              <w:rPr>
                <w:rFonts w:asciiTheme="minorHAnsi" w:hAnsiTheme="minorHAnsi"/>
                <w:b/>
                <w:bCs/>
                <w:color w:val="000000"/>
                <w:sz w:val="22"/>
                <w:lang w:val="es-ES" w:eastAsia="zh-CN"/>
              </w:rPr>
            </w:pPr>
            <w:r w:rsidRPr="005579E2">
              <w:rPr>
                <w:rFonts w:asciiTheme="minorHAnsi" w:hAnsiTheme="minorHAnsi"/>
                <w:b/>
                <w:color w:val="000000"/>
                <w:sz w:val="22"/>
                <w:lang w:val="es-ES" w:eastAsia="zh-CN"/>
              </w:rPr>
              <w:t>Párrs. 8.1 a 8.6</w:t>
            </w:r>
            <w:r w:rsidR="005579E2" w:rsidRPr="005579E2">
              <w:rPr>
                <w:rFonts w:asciiTheme="minorHAnsi" w:hAnsiTheme="minorHAnsi"/>
                <w:b/>
                <w:color w:val="000000"/>
                <w:sz w:val="22"/>
                <w:lang w:val="es-ES" w:eastAsia="zh-CN"/>
              </w:rPr>
              <w:br/>
            </w:r>
            <w:r w:rsidRPr="005579E2">
              <w:rPr>
                <w:rFonts w:asciiTheme="minorHAnsi" w:eastAsia="Times New Roman" w:hAnsiTheme="minorHAnsi" w:cs="Times New Roman"/>
                <w:b/>
                <w:bCs/>
                <w:sz w:val="22"/>
                <w:lang w:val="es-ES_tradnl"/>
              </w:rPr>
              <w:t>Interferencia perjudicial causada por Italia a los servicios de radiodifusión de sus países vecinos</w:t>
            </w:r>
          </w:p>
        </w:tc>
        <w:tc>
          <w:tcPr>
            <w:tcW w:w="11594" w:type="dxa"/>
            <w:tcBorders>
              <w:top w:val="single" w:sz="4" w:space="0" w:color="auto"/>
              <w:left w:val="single" w:sz="4" w:space="0" w:color="auto"/>
              <w:bottom w:val="single" w:sz="4" w:space="0" w:color="auto"/>
              <w:right w:val="single" w:sz="4" w:space="0" w:color="auto"/>
            </w:tcBorders>
          </w:tcPr>
          <w:p w:rsidR="00F66845" w:rsidRPr="005579E2" w:rsidRDefault="00F66845" w:rsidP="00CF34D4">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b/>
                <w:bCs/>
                <w:i/>
                <w:iCs/>
                <w:color w:val="000000"/>
                <w:sz w:val="22"/>
                <w:lang w:val="es-ES" w:eastAsia="zh-CN"/>
              </w:rPr>
            </w:pPr>
            <w:r w:rsidRPr="005579E2">
              <w:rPr>
                <w:rFonts w:asciiTheme="minorHAnsi" w:hAnsiTheme="minorHAnsi"/>
                <w:b/>
                <w:color w:val="000000"/>
                <w:sz w:val="22"/>
                <w:lang w:val="es-ES" w:eastAsia="zh-CN"/>
              </w:rPr>
              <w:t xml:space="preserve">La CMR-15 alienta al Director de la BR y a la RRB </w:t>
            </w:r>
            <w:r w:rsidRPr="005579E2">
              <w:rPr>
                <w:rFonts w:asciiTheme="minorHAnsi" w:eastAsia="Times New Roman" w:hAnsiTheme="minorHAnsi" w:cs="Times New Roman"/>
                <w:sz w:val="22"/>
                <w:lang w:val="es-ES_tradnl"/>
              </w:rPr>
              <w:t>a continuar sus esfuerzos en colaboración con la Administración de Italia y todas las administraciones afectadas para encontrar lo antes posible una solución definitiva.</w:t>
            </w:r>
          </w:p>
        </w:tc>
      </w:tr>
      <w:tr w:rsidR="00F66845" w:rsidRPr="005579E2" w:rsidTr="00046311">
        <w:tc>
          <w:tcPr>
            <w:tcW w:w="1555" w:type="dxa"/>
            <w:vMerge w:val="restart"/>
            <w:tcBorders>
              <w:top w:val="single" w:sz="4" w:space="0" w:color="auto"/>
              <w:left w:val="single" w:sz="4" w:space="0" w:color="auto"/>
              <w:bottom w:val="single" w:sz="4" w:space="0" w:color="auto"/>
              <w:right w:val="single" w:sz="4" w:space="0" w:color="auto"/>
            </w:tcBorders>
          </w:tcPr>
          <w:p w:rsidR="00F66845" w:rsidRPr="00F244D0" w:rsidRDefault="00F66845" w:rsidP="00CF34D4">
            <w:pPr>
              <w:spacing w:before="120" w:after="80" w:line="240" w:lineRule="auto"/>
              <w:jc w:val="left"/>
              <w:rPr>
                <w:b/>
                <w:bCs/>
                <w:sz w:val="22"/>
                <w:lang w:val="es-ES_tradnl"/>
              </w:rPr>
            </w:pPr>
            <w:r w:rsidRPr="00F244D0">
              <w:rPr>
                <w:b/>
                <w:bCs/>
                <w:sz w:val="22"/>
                <w:lang w:val="es-ES_tradnl"/>
              </w:rPr>
              <w:t xml:space="preserve">Documento CMR15/504 – Actas de la séptima sesión Plenaria </w:t>
            </w:r>
          </w:p>
        </w:tc>
        <w:tc>
          <w:tcPr>
            <w:tcW w:w="2016" w:type="dxa"/>
            <w:tcBorders>
              <w:top w:val="single" w:sz="4" w:space="0" w:color="auto"/>
              <w:left w:val="single" w:sz="4" w:space="0" w:color="auto"/>
              <w:bottom w:val="single" w:sz="4" w:space="0" w:color="auto"/>
              <w:right w:val="single" w:sz="4" w:space="0" w:color="auto"/>
            </w:tcBorders>
            <w:hideMark/>
          </w:tcPr>
          <w:p w:rsidR="00F66845" w:rsidRPr="00DA7BD8" w:rsidRDefault="00F66845" w:rsidP="00CF34D4">
            <w:pPr>
              <w:tabs>
                <w:tab w:val="clear" w:pos="794"/>
                <w:tab w:val="clear" w:pos="1191"/>
                <w:tab w:val="clear" w:pos="1588"/>
                <w:tab w:val="clear" w:pos="1985"/>
              </w:tabs>
              <w:overflowPunct/>
              <w:autoSpaceDE/>
              <w:autoSpaceDN/>
              <w:adjustRightInd/>
              <w:spacing w:before="120" w:after="80" w:line="240" w:lineRule="auto"/>
              <w:jc w:val="left"/>
              <w:textAlignment w:val="auto"/>
              <w:rPr>
                <w:rFonts w:asciiTheme="minorHAnsi" w:hAnsiTheme="minorHAnsi"/>
                <w:b/>
                <w:color w:val="000000"/>
                <w:sz w:val="22"/>
                <w:lang w:val="es-ES" w:eastAsia="zh-CN"/>
              </w:rPr>
            </w:pPr>
            <w:r w:rsidRPr="00DA7BD8">
              <w:rPr>
                <w:rFonts w:asciiTheme="minorHAnsi" w:hAnsiTheme="minorHAnsi"/>
                <w:b/>
                <w:color w:val="000000"/>
                <w:sz w:val="22"/>
                <w:lang w:val="es-ES" w:eastAsia="zh-CN"/>
              </w:rPr>
              <w:t>Párr</w:t>
            </w:r>
            <w:r w:rsidR="0068086E">
              <w:rPr>
                <w:rFonts w:asciiTheme="minorHAnsi" w:hAnsiTheme="minorHAnsi"/>
                <w:b/>
                <w:color w:val="000000"/>
                <w:sz w:val="22"/>
                <w:lang w:val="es-ES" w:eastAsia="zh-CN"/>
              </w:rPr>
              <w:t>s</w:t>
            </w:r>
            <w:r w:rsidRPr="00DA7BD8">
              <w:rPr>
                <w:rFonts w:asciiTheme="minorHAnsi" w:hAnsiTheme="minorHAnsi"/>
                <w:b/>
                <w:color w:val="000000"/>
                <w:sz w:val="22"/>
                <w:lang w:val="es-ES" w:eastAsia="zh-CN"/>
              </w:rPr>
              <w:t xml:space="preserve">. 3.14 </w:t>
            </w:r>
            <w:r w:rsidR="00024B71">
              <w:rPr>
                <w:rFonts w:asciiTheme="minorHAnsi" w:hAnsiTheme="minorHAnsi"/>
                <w:b/>
                <w:color w:val="000000"/>
                <w:sz w:val="22"/>
                <w:lang w:val="es-ES" w:eastAsia="zh-CN"/>
              </w:rPr>
              <w:t>a</w:t>
            </w:r>
            <w:r w:rsidRPr="00DA7BD8">
              <w:rPr>
                <w:rFonts w:asciiTheme="minorHAnsi" w:hAnsiTheme="minorHAnsi"/>
                <w:b/>
                <w:color w:val="000000"/>
                <w:sz w:val="22"/>
                <w:lang w:val="es-ES" w:eastAsia="zh-CN"/>
              </w:rPr>
              <w:t xml:space="preserve"> 3.18 </w:t>
            </w:r>
            <w:r w:rsidR="005579E2">
              <w:rPr>
                <w:rFonts w:asciiTheme="minorHAnsi" w:hAnsiTheme="minorHAnsi"/>
                <w:b/>
                <w:color w:val="000000"/>
                <w:sz w:val="22"/>
                <w:lang w:val="es-ES" w:eastAsia="zh-CN"/>
              </w:rPr>
              <w:br/>
            </w:r>
            <w:r w:rsidRPr="00DA7BD8">
              <w:rPr>
                <w:rFonts w:asciiTheme="minorHAnsi" w:hAnsiTheme="minorHAnsi"/>
                <w:b/>
                <w:color w:val="000000"/>
                <w:sz w:val="22"/>
                <w:lang w:val="es-ES" w:eastAsia="zh-CN"/>
              </w:rPr>
              <w:t>Aprobación del Documento 335(Rev.1)</w:t>
            </w:r>
          </w:p>
        </w:tc>
        <w:tc>
          <w:tcPr>
            <w:tcW w:w="11594" w:type="dxa"/>
            <w:tcBorders>
              <w:top w:val="single" w:sz="4" w:space="0" w:color="auto"/>
              <w:left w:val="single" w:sz="4" w:space="0" w:color="auto"/>
              <w:bottom w:val="single" w:sz="4" w:space="0" w:color="auto"/>
              <w:right w:val="single" w:sz="4" w:space="0" w:color="auto"/>
            </w:tcBorders>
            <w:hideMark/>
          </w:tcPr>
          <w:p w:rsidR="00F66845" w:rsidRPr="00046311" w:rsidRDefault="00F66845" w:rsidP="00CF34D4">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b/>
                <w:sz w:val="22"/>
                <w:lang w:val="es-ES" w:eastAsia="zh-CN"/>
              </w:rPr>
            </w:pPr>
            <w:r w:rsidRPr="00046311">
              <w:rPr>
                <w:rFonts w:asciiTheme="minorHAnsi" w:hAnsiTheme="minorHAnsi"/>
                <w:sz w:val="22"/>
                <w:lang w:val="es-ES" w:eastAsia="zh-CN"/>
              </w:rPr>
              <w:t xml:space="preserve">La CMR-15 consideró la cuestión de la modificación de una asignación inscrita en la Lista con arreglo a los Apéndices 30 y 30A del Reglamento de Radiocomunicaciones. El Artículo 4 de los mencionados Apéndices no cuenta con disposiciones específicas que permitan modificar las características de una asignación una vez inscrita satisfactoriamente en la Lista de usos adicionales en las Regiones 1 y 3 salvo el § 4.1.23, según el cual una asignación puede suprimirse de la Lista. Esto es así incluso en el supuesto de que la modificación redujera la interferencia causada por la asignación. Si la asignación en la Lista ya no es adecuada, la única opción de la Administración notificante es presentar una nueva propuesta con arreglo al § 4.1.3 del Artículo 4 para sustituir la asignación en la Lista. Así, es posible modificar las características de la presentación según el Artículo 4 en la etapa de coordinación, antes de la inscripción en la Lista con arreglo al § 4.1.11, pero no después. Esta cuestión se planteó en el Informe del Director a la CMR-15, en el que se invitaba a la Conferencia a que la considerara con el fin de modificar las disposiciones del Artículo 4 de los Apéndices 30 y 30A del Reglamento de Radiocomunicaciones para permitir estas modificaciones cuando se reduzca la interferencia causada a otras redes. Esta cuestión también fue objeto de una propuesta presentada por un Estado Miembro. </w:t>
            </w:r>
            <w:r w:rsidRPr="00046311">
              <w:rPr>
                <w:rFonts w:asciiTheme="minorHAnsi" w:hAnsiTheme="minorHAnsi"/>
                <w:b/>
                <w:bCs/>
                <w:sz w:val="22"/>
                <w:lang w:val="es-ES" w:eastAsia="zh-CN"/>
              </w:rPr>
              <w:t>En consecuencia, se invita al UIT-R a que estudie la cuestión, en el marco del punto 7 permanente del orden del día, a fin de encontrar una solución técnica y reglamentaria adecuada a este asunto</w:t>
            </w:r>
            <w:r w:rsidRPr="00046311">
              <w:rPr>
                <w:rFonts w:asciiTheme="minorHAnsi" w:hAnsiTheme="minorHAnsi"/>
                <w:sz w:val="22"/>
                <w:lang w:val="es-ES" w:eastAsia="zh-CN"/>
              </w:rPr>
              <w:t xml:space="preserve">. </w:t>
            </w:r>
          </w:p>
          <w:p w:rsidR="00F66845" w:rsidRPr="00046311" w:rsidRDefault="00F66845" w:rsidP="00CF34D4">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b/>
                <w:sz w:val="22"/>
                <w:lang w:val="es-ES" w:eastAsia="zh-CN"/>
              </w:rPr>
            </w:pPr>
            <w:r w:rsidRPr="00046311">
              <w:rPr>
                <w:rFonts w:asciiTheme="minorHAnsi" w:hAnsiTheme="minorHAnsi"/>
                <w:sz w:val="22"/>
                <w:lang w:val="es-ES" w:eastAsia="zh-CN"/>
              </w:rPr>
              <w:lastRenderedPageBreak/>
              <w:t>La CMR-15 recibió una propues</w:t>
            </w:r>
            <w:r w:rsidR="001339A8">
              <w:rPr>
                <w:rFonts w:asciiTheme="minorHAnsi" w:hAnsiTheme="minorHAnsi"/>
                <w:sz w:val="22"/>
                <w:lang w:val="es-ES" w:eastAsia="zh-CN"/>
              </w:rPr>
              <w:t>ta en la que se abordaban los §</w:t>
            </w:r>
            <w:r w:rsidRPr="00046311">
              <w:rPr>
                <w:rFonts w:asciiTheme="minorHAnsi" w:hAnsiTheme="minorHAnsi"/>
                <w:sz w:val="22"/>
                <w:lang w:val="es-ES" w:eastAsia="zh-CN"/>
              </w:rPr>
              <w:t xml:space="preserve"> 4.1.18-4.1.20 del Apéndice 30 del Reglamento de Radiocomunicaciones, que describen los requisitos y las condiciones para la inscripción de una asignación en la Lista de las Regiones 1 y 3 con requisitos de coordinación pendientes. Se señaló que el § 4.1.18 prescribe que, si se realiza una inscripción en la Lista con requisitos de coordinación pendientes, esta inscripción será provisional y sólo dejará de serlo y se convertirá en definitiva cuando se informe a la Oficina de que la nueva asignación que figura en la Lista de las Regiones 1 y 3 se ha utilizado, junto con la asignación que ya está inscrita en la Lista y que suscitó el desacuerdo, durante por lo menos cuatro meses, sin que se haya formulado reclamación alguna por interferencias perjudiciales. Al inscribir provisionalmente una asignación en la Lista, no se actualiza la situación de referencia de las asignaciones que suscitaron el desacuerdo. El Reglamento de Radiocomunicaciones no proporciona instrucciones detalladas sobre si debe actualizarse la situación de referencia de esas asignaciones, ni sobre cuándo debe hacerse, y la Oficina se ha visto en la obligación de adoptar un procedimiento para hacerlo. La práctica actual consiste en actualizar la situación de referencia de las asignaciones que suscitaron el desacuerdo cuando la inscripción pase de provisional a definitiva, es decir, tras cuatro meses sin reclamaciones por interferencias perjudiciales, y se estimó que era necesario realizar más estudios sobre la cuestión si había que cambiar esta práctica actual. </w:t>
            </w:r>
            <w:r w:rsidRPr="00046311">
              <w:rPr>
                <w:rFonts w:asciiTheme="minorHAnsi" w:hAnsiTheme="minorHAnsi"/>
                <w:b/>
                <w:bCs/>
                <w:sz w:val="22"/>
                <w:lang w:val="es-ES" w:eastAsia="zh-CN"/>
              </w:rPr>
              <w:t>En consecuencia, se invita al UIT-R a que estudie la cuestión, en el marco del punto 7 permanente del orden del día, con miras a encontrar una solución técnica y reglamentaria adecuada a este asunto</w:t>
            </w:r>
            <w:r w:rsidRPr="00046311">
              <w:rPr>
                <w:rFonts w:asciiTheme="minorHAnsi" w:hAnsiTheme="minorHAnsi"/>
                <w:sz w:val="22"/>
                <w:lang w:val="es-ES" w:eastAsia="zh-CN"/>
              </w:rPr>
              <w:t xml:space="preserve">. </w:t>
            </w:r>
          </w:p>
        </w:tc>
      </w:tr>
      <w:tr w:rsidR="00F66845" w:rsidRPr="005579E2" w:rsidTr="00046311">
        <w:tc>
          <w:tcPr>
            <w:tcW w:w="1555" w:type="dxa"/>
            <w:vMerge/>
            <w:tcBorders>
              <w:top w:val="single" w:sz="4" w:space="0" w:color="auto"/>
              <w:left w:val="single" w:sz="4" w:space="0" w:color="auto"/>
              <w:bottom w:val="single" w:sz="4" w:space="0" w:color="auto"/>
              <w:right w:val="single" w:sz="4" w:space="0" w:color="auto"/>
            </w:tcBorders>
            <w:vAlign w:val="center"/>
            <w:hideMark/>
          </w:tcPr>
          <w:p w:rsidR="00F66845" w:rsidRPr="00DA7BD8" w:rsidRDefault="00F66845" w:rsidP="00CF34D4">
            <w:pPr>
              <w:tabs>
                <w:tab w:val="clear" w:pos="794"/>
                <w:tab w:val="clear" w:pos="1191"/>
                <w:tab w:val="clear" w:pos="1588"/>
                <w:tab w:val="clear" w:pos="1985"/>
              </w:tabs>
              <w:overflowPunct/>
              <w:autoSpaceDE/>
              <w:autoSpaceDN/>
              <w:adjustRightInd/>
              <w:spacing w:before="80" w:after="80" w:line="240" w:lineRule="auto"/>
              <w:jc w:val="left"/>
              <w:textAlignment w:val="auto"/>
              <w:rPr>
                <w:rFonts w:asciiTheme="minorHAnsi" w:hAnsiTheme="minorHAnsi"/>
                <w:b/>
                <w:color w:val="000000"/>
                <w:sz w:val="22"/>
                <w:lang w:val="es-ES" w:eastAsia="zh-CN"/>
              </w:rPr>
            </w:pPr>
          </w:p>
        </w:tc>
        <w:tc>
          <w:tcPr>
            <w:tcW w:w="2016" w:type="dxa"/>
            <w:vMerge w:val="restart"/>
            <w:tcBorders>
              <w:top w:val="single" w:sz="4" w:space="0" w:color="auto"/>
              <w:left w:val="single" w:sz="4" w:space="0" w:color="auto"/>
              <w:bottom w:val="single" w:sz="4" w:space="0" w:color="auto"/>
              <w:right w:val="single" w:sz="4" w:space="0" w:color="auto"/>
            </w:tcBorders>
            <w:hideMark/>
          </w:tcPr>
          <w:p w:rsidR="00F66845" w:rsidRPr="00DA7BD8" w:rsidRDefault="00F66845" w:rsidP="00CF34D4">
            <w:pPr>
              <w:tabs>
                <w:tab w:val="clear" w:pos="794"/>
                <w:tab w:val="clear" w:pos="1191"/>
                <w:tab w:val="clear" w:pos="1588"/>
                <w:tab w:val="clear" w:pos="1985"/>
              </w:tabs>
              <w:overflowPunct/>
              <w:autoSpaceDE/>
              <w:autoSpaceDN/>
              <w:adjustRightInd/>
              <w:spacing w:before="120" w:after="80" w:line="240" w:lineRule="auto"/>
              <w:jc w:val="left"/>
              <w:textAlignment w:val="auto"/>
              <w:rPr>
                <w:rFonts w:asciiTheme="minorHAnsi" w:hAnsiTheme="minorHAnsi"/>
                <w:b/>
                <w:color w:val="000000"/>
                <w:sz w:val="22"/>
                <w:lang w:val="es-ES" w:eastAsia="zh-CN"/>
              </w:rPr>
            </w:pPr>
            <w:r w:rsidRPr="00DA7BD8">
              <w:rPr>
                <w:rFonts w:asciiTheme="minorHAnsi" w:hAnsiTheme="minorHAnsi"/>
                <w:b/>
                <w:color w:val="000000"/>
                <w:sz w:val="22"/>
                <w:lang w:val="es-ES" w:eastAsia="zh-CN"/>
              </w:rPr>
              <w:t xml:space="preserve">Párrs. 3.19 a 3.22 </w:t>
            </w:r>
            <w:r w:rsidR="005579E2">
              <w:rPr>
                <w:rFonts w:asciiTheme="minorHAnsi" w:hAnsiTheme="minorHAnsi"/>
                <w:b/>
                <w:color w:val="000000"/>
                <w:sz w:val="22"/>
                <w:lang w:val="es-ES" w:eastAsia="zh-CN"/>
              </w:rPr>
              <w:br/>
            </w:r>
            <w:r w:rsidRPr="00DA7BD8">
              <w:rPr>
                <w:rFonts w:asciiTheme="minorHAnsi" w:hAnsiTheme="minorHAnsi"/>
                <w:b/>
                <w:color w:val="000000"/>
                <w:sz w:val="22"/>
                <w:lang w:val="es-ES" w:eastAsia="zh-CN"/>
              </w:rPr>
              <w:t>Aprobación del Documento 354</w:t>
            </w:r>
          </w:p>
        </w:tc>
        <w:tc>
          <w:tcPr>
            <w:tcW w:w="11594" w:type="dxa"/>
            <w:tcBorders>
              <w:top w:val="single" w:sz="4" w:space="0" w:color="auto"/>
              <w:left w:val="single" w:sz="4" w:space="0" w:color="auto"/>
              <w:bottom w:val="single" w:sz="4" w:space="0" w:color="auto"/>
              <w:right w:val="single" w:sz="4" w:space="0" w:color="auto"/>
            </w:tcBorders>
            <w:hideMark/>
          </w:tcPr>
          <w:p w:rsidR="00F66845" w:rsidRPr="00972257" w:rsidRDefault="00F66845" w:rsidP="00CF34D4">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b/>
                <w:sz w:val="22"/>
                <w:lang w:val="es-ES" w:eastAsia="zh-CN"/>
              </w:rPr>
            </w:pPr>
            <w:r w:rsidRPr="00972257">
              <w:rPr>
                <w:rFonts w:asciiTheme="minorHAnsi" w:hAnsiTheme="minorHAnsi"/>
                <w:sz w:val="22"/>
                <w:lang w:val="es-ES" w:eastAsia="zh-CN"/>
              </w:rPr>
              <w:t xml:space="preserve">Al examinar la cuestión del fallo del lanzamiento de un satélite, </w:t>
            </w:r>
            <w:r w:rsidRPr="00972257">
              <w:rPr>
                <w:rFonts w:asciiTheme="minorHAnsi" w:hAnsiTheme="minorHAnsi"/>
                <w:b/>
                <w:bCs/>
                <w:sz w:val="22"/>
                <w:lang w:val="es-ES" w:eastAsia="zh-CN"/>
              </w:rPr>
              <w:t>la CMR-15 confirma la decisión</w:t>
            </w:r>
            <w:r w:rsidRPr="00972257">
              <w:rPr>
                <w:rFonts w:asciiTheme="minorHAnsi" w:hAnsiTheme="minorHAnsi"/>
                <w:sz w:val="22"/>
                <w:lang w:val="es-ES" w:eastAsia="zh-CN"/>
              </w:rPr>
              <w:t xml:space="preserve"> adoptada por la CMR-12 (en su decimotercera reunión) en cuanto a que la Junta esté facultada para atender las solicitudes de prórroga cuando éstas se basen en problemas debidos al lanzamiento de otro satélite o a un caso excepcional de fuerza mayor, teniendo en cuenta las reglas y prácticas aplicables al respecto a nivel internacional, siempre y cuando esa prórroga sea «limitada y condicional».</w:t>
            </w:r>
          </w:p>
        </w:tc>
      </w:tr>
      <w:tr w:rsidR="00F66845" w:rsidRPr="005579E2" w:rsidTr="00046311">
        <w:tc>
          <w:tcPr>
            <w:tcW w:w="1555" w:type="dxa"/>
            <w:vMerge/>
            <w:tcBorders>
              <w:top w:val="single" w:sz="4" w:space="0" w:color="auto"/>
              <w:left w:val="single" w:sz="4" w:space="0" w:color="auto"/>
              <w:bottom w:val="single" w:sz="4" w:space="0" w:color="auto"/>
              <w:right w:val="single" w:sz="4" w:space="0" w:color="auto"/>
            </w:tcBorders>
            <w:vAlign w:val="center"/>
            <w:hideMark/>
          </w:tcPr>
          <w:p w:rsidR="00F66845" w:rsidRPr="00DA7BD8" w:rsidRDefault="00F66845" w:rsidP="00CF34D4">
            <w:pPr>
              <w:tabs>
                <w:tab w:val="clear" w:pos="794"/>
                <w:tab w:val="clear" w:pos="1191"/>
                <w:tab w:val="clear" w:pos="1588"/>
                <w:tab w:val="clear" w:pos="1985"/>
              </w:tabs>
              <w:overflowPunct/>
              <w:autoSpaceDE/>
              <w:autoSpaceDN/>
              <w:adjustRightInd/>
              <w:spacing w:before="80" w:after="80" w:line="240" w:lineRule="auto"/>
              <w:jc w:val="left"/>
              <w:textAlignment w:val="auto"/>
              <w:rPr>
                <w:rFonts w:asciiTheme="minorHAnsi" w:hAnsiTheme="minorHAnsi"/>
                <w:b/>
                <w:color w:val="000000"/>
                <w:sz w:val="22"/>
                <w:lang w:val="es-ES" w:eastAsia="zh-CN"/>
              </w:rPr>
            </w:pPr>
          </w:p>
        </w:tc>
        <w:tc>
          <w:tcPr>
            <w:tcW w:w="2016" w:type="dxa"/>
            <w:vMerge/>
            <w:tcBorders>
              <w:top w:val="single" w:sz="4" w:space="0" w:color="auto"/>
              <w:left w:val="single" w:sz="4" w:space="0" w:color="auto"/>
              <w:bottom w:val="single" w:sz="4" w:space="0" w:color="auto"/>
              <w:right w:val="single" w:sz="4" w:space="0" w:color="auto"/>
            </w:tcBorders>
            <w:vAlign w:val="center"/>
            <w:hideMark/>
          </w:tcPr>
          <w:p w:rsidR="00F66845" w:rsidRPr="00DA7BD8" w:rsidRDefault="00F66845" w:rsidP="00CF34D4">
            <w:pPr>
              <w:tabs>
                <w:tab w:val="clear" w:pos="794"/>
                <w:tab w:val="clear" w:pos="1191"/>
                <w:tab w:val="clear" w:pos="1588"/>
                <w:tab w:val="clear" w:pos="1985"/>
              </w:tabs>
              <w:overflowPunct/>
              <w:autoSpaceDE/>
              <w:autoSpaceDN/>
              <w:adjustRightInd/>
              <w:spacing w:before="120" w:after="80" w:line="240" w:lineRule="auto"/>
              <w:jc w:val="left"/>
              <w:textAlignment w:val="auto"/>
              <w:rPr>
                <w:rFonts w:asciiTheme="minorHAnsi" w:hAnsiTheme="minorHAnsi"/>
                <w:b/>
                <w:color w:val="000000"/>
                <w:sz w:val="22"/>
                <w:lang w:val="es-ES" w:eastAsia="zh-CN"/>
              </w:rPr>
            </w:pPr>
          </w:p>
        </w:tc>
        <w:tc>
          <w:tcPr>
            <w:tcW w:w="11594" w:type="dxa"/>
            <w:tcBorders>
              <w:top w:val="single" w:sz="4" w:space="0" w:color="auto"/>
              <w:left w:val="single" w:sz="4" w:space="0" w:color="auto"/>
              <w:bottom w:val="single" w:sz="4" w:space="0" w:color="auto"/>
              <w:right w:val="single" w:sz="4" w:space="0" w:color="auto"/>
            </w:tcBorders>
            <w:hideMark/>
          </w:tcPr>
          <w:p w:rsidR="00F66845" w:rsidRPr="00DA7BD8" w:rsidRDefault="00F66845" w:rsidP="00CF34D4">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b/>
                <w:color w:val="000000"/>
                <w:sz w:val="22"/>
                <w:lang w:val="es-ES" w:eastAsia="zh-CN"/>
              </w:rPr>
              <w:t xml:space="preserve">La CMR-15 encargó a la Oficina </w:t>
            </w:r>
            <w:r w:rsidRPr="00DA7BD8">
              <w:rPr>
                <w:rFonts w:asciiTheme="minorHAnsi" w:hAnsiTheme="minorHAnsi"/>
                <w:color w:val="000000"/>
                <w:sz w:val="22"/>
                <w:lang w:val="es-ES" w:eastAsia="zh-CN"/>
              </w:rPr>
              <w:t>que publique, lo antes posible tras el final de la CMR-15, una Carta Circular con todas las decisiones tomadas por la CMR-15 registradas en el Acta de la Plenaria, y que la publique en el sitio web de la UIT.</w:t>
            </w:r>
          </w:p>
        </w:tc>
      </w:tr>
      <w:tr w:rsidR="00F66845" w:rsidRPr="005579E2" w:rsidTr="00046311">
        <w:tc>
          <w:tcPr>
            <w:tcW w:w="1555" w:type="dxa"/>
            <w:vMerge/>
            <w:tcBorders>
              <w:top w:val="single" w:sz="4" w:space="0" w:color="auto"/>
              <w:left w:val="single" w:sz="4" w:space="0" w:color="auto"/>
              <w:bottom w:val="single" w:sz="4" w:space="0" w:color="auto"/>
              <w:right w:val="single" w:sz="4" w:space="0" w:color="auto"/>
            </w:tcBorders>
            <w:vAlign w:val="center"/>
            <w:hideMark/>
          </w:tcPr>
          <w:p w:rsidR="00F66845" w:rsidRPr="00DA7BD8" w:rsidRDefault="00F66845" w:rsidP="00CF34D4">
            <w:pPr>
              <w:tabs>
                <w:tab w:val="clear" w:pos="794"/>
                <w:tab w:val="clear" w:pos="1191"/>
                <w:tab w:val="clear" w:pos="1588"/>
                <w:tab w:val="clear" w:pos="1985"/>
              </w:tabs>
              <w:overflowPunct/>
              <w:autoSpaceDE/>
              <w:autoSpaceDN/>
              <w:adjustRightInd/>
              <w:spacing w:before="80" w:after="80" w:line="240" w:lineRule="auto"/>
              <w:jc w:val="left"/>
              <w:textAlignment w:val="auto"/>
              <w:rPr>
                <w:rFonts w:asciiTheme="minorHAnsi" w:hAnsiTheme="minorHAnsi"/>
                <w:b/>
                <w:color w:val="000000"/>
                <w:sz w:val="22"/>
                <w:lang w:val="es-ES" w:eastAsia="zh-CN"/>
              </w:rPr>
            </w:pPr>
          </w:p>
        </w:tc>
        <w:tc>
          <w:tcPr>
            <w:tcW w:w="2016" w:type="dxa"/>
            <w:vMerge/>
            <w:tcBorders>
              <w:top w:val="single" w:sz="4" w:space="0" w:color="auto"/>
              <w:left w:val="single" w:sz="4" w:space="0" w:color="auto"/>
              <w:bottom w:val="single" w:sz="4" w:space="0" w:color="auto"/>
              <w:right w:val="single" w:sz="4" w:space="0" w:color="auto"/>
            </w:tcBorders>
            <w:vAlign w:val="center"/>
            <w:hideMark/>
          </w:tcPr>
          <w:p w:rsidR="00F66845" w:rsidRPr="00DA7BD8" w:rsidRDefault="00F66845" w:rsidP="00CF34D4">
            <w:pPr>
              <w:tabs>
                <w:tab w:val="clear" w:pos="794"/>
                <w:tab w:val="clear" w:pos="1191"/>
                <w:tab w:val="clear" w:pos="1588"/>
                <w:tab w:val="clear" w:pos="1985"/>
              </w:tabs>
              <w:overflowPunct/>
              <w:autoSpaceDE/>
              <w:autoSpaceDN/>
              <w:adjustRightInd/>
              <w:spacing w:before="120" w:after="80" w:line="240" w:lineRule="auto"/>
              <w:jc w:val="left"/>
              <w:textAlignment w:val="auto"/>
              <w:rPr>
                <w:rFonts w:asciiTheme="minorHAnsi" w:hAnsiTheme="minorHAnsi"/>
                <w:b/>
                <w:color w:val="000000"/>
                <w:sz w:val="22"/>
                <w:lang w:val="es-ES" w:eastAsia="zh-CN"/>
              </w:rPr>
            </w:pPr>
          </w:p>
        </w:tc>
        <w:tc>
          <w:tcPr>
            <w:tcW w:w="11594" w:type="dxa"/>
            <w:tcBorders>
              <w:top w:val="single" w:sz="4" w:space="0" w:color="auto"/>
              <w:left w:val="single" w:sz="4" w:space="0" w:color="auto"/>
              <w:bottom w:val="single" w:sz="4" w:space="0" w:color="auto"/>
              <w:right w:val="single" w:sz="4" w:space="0" w:color="auto"/>
            </w:tcBorders>
            <w:hideMark/>
          </w:tcPr>
          <w:p w:rsidR="00F66845" w:rsidRPr="00DA7BD8" w:rsidRDefault="00F66845" w:rsidP="00CF34D4">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color w:val="000000"/>
                <w:sz w:val="22"/>
                <w:lang w:val="es-ES" w:eastAsia="zh-CN"/>
              </w:rPr>
              <w:t xml:space="preserve">La CMR-15 debatió la sección 3.2.2.4.4 del Documento 4(Add.2)(Rev.1), Informe del Director de la Oficina de Radiocomunicaciones (BR), con respecto a la puesta en servicio de asignaciones de frecuencia a sistemas del SFS/SMS no OSG. La CMR-15 no logró llegar a una conclusión definitiva sobre el tema planteado por la BR, pero </w:t>
            </w:r>
            <w:r w:rsidRPr="00DA7BD8">
              <w:rPr>
                <w:rFonts w:asciiTheme="minorHAnsi" w:hAnsiTheme="minorHAnsi"/>
                <w:b/>
                <w:bCs/>
                <w:color w:val="000000"/>
                <w:sz w:val="22"/>
                <w:lang w:val="es-ES" w:eastAsia="zh-CN"/>
              </w:rPr>
              <w:t>reconoció</w:t>
            </w:r>
            <w:r w:rsidRPr="00DA7BD8">
              <w:rPr>
                <w:rFonts w:asciiTheme="minorHAnsi" w:hAnsiTheme="minorHAnsi"/>
                <w:color w:val="000000"/>
                <w:sz w:val="22"/>
                <w:lang w:val="es-ES" w:eastAsia="zh-CN"/>
              </w:rPr>
              <w:t xml:space="preserve"> la falta de disposiciones específicas en el Reglamento de Radiocomunicaciones.</w:t>
            </w:r>
            <w:r w:rsidRPr="00DA7BD8">
              <w:rPr>
                <w:rFonts w:asciiTheme="minorHAnsi" w:hAnsiTheme="minorHAnsi"/>
                <w:b/>
                <w:color w:val="800000"/>
                <w:sz w:val="22"/>
                <w:lang w:val="es-ES" w:eastAsia="zh-CN"/>
              </w:rPr>
              <w:t xml:space="preserve"> </w:t>
            </w:r>
          </w:p>
          <w:p w:rsidR="00F66845" w:rsidRPr="00DA7BD8" w:rsidRDefault="00F66845" w:rsidP="00CF34D4">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b/>
                <w:color w:val="000000"/>
                <w:sz w:val="22"/>
                <w:lang w:val="es-ES" w:eastAsia="zh-CN"/>
              </w:rPr>
              <w:t>La CMR-15 invita al UIT-R a examinar</w:t>
            </w:r>
            <w:r w:rsidRPr="00DA7BD8">
              <w:rPr>
                <w:rFonts w:asciiTheme="minorHAnsi" w:hAnsiTheme="minorHAnsi"/>
                <w:color w:val="000000"/>
                <w:sz w:val="22"/>
                <w:lang w:val="es-ES" w:eastAsia="zh-CN"/>
              </w:rPr>
              <w:t>, en el marco del punto permanente 7 del orden día de la CMR, la posibilidad de elaborar disposiciones reglamentarias que requieran fechas de referencia adicionales posteriores a las que figuran en los números 11.25 y 11.44 del RR en relación con los sistemas mencionados en el párrafo anterior. En el presente estudio también pueden examinarse las repercusiones de la aplicación de dichas fechas de referencia a los sistemas del SFS/SMS no OSG puestos en servicio después de la CMR-15.</w:t>
            </w:r>
          </w:p>
        </w:tc>
      </w:tr>
      <w:tr w:rsidR="00F66845" w:rsidRPr="005579E2" w:rsidTr="00972257">
        <w:trPr>
          <w:cantSplit/>
        </w:trPr>
        <w:tc>
          <w:tcPr>
            <w:tcW w:w="1555" w:type="dxa"/>
            <w:vMerge w:val="restart"/>
            <w:tcBorders>
              <w:top w:val="single" w:sz="4" w:space="0" w:color="auto"/>
              <w:left w:val="single" w:sz="4" w:space="0" w:color="auto"/>
              <w:bottom w:val="single" w:sz="4" w:space="0" w:color="auto"/>
              <w:right w:val="single" w:sz="4" w:space="0" w:color="auto"/>
            </w:tcBorders>
          </w:tcPr>
          <w:p w:rsidR="00F66845" w:rsidRPr="00F244D0" w:rsidRDefault="00F66845" w:rsidP="00972257">
            <w:pPr>
              <w:spacing w:before="120" w:after="80" w:line="240" w:lineRule="auto"/>
              <w:jc w:val="left"/>
              <w:rPr>
                <w:b/>
                <w:bCs/>
                <w:sz w:val="22"/>
                <w:lang w:val="es-ES_tradnl"/>
              </w:rPr>
            </w:pPr>
            <w:r w:rsidRPr="00F244D0">
              <w:rPr>
                <w:b/>
                <w:bCs/>
                <w:sz w:val="22"/>
                <w:lang w:val="es-ES_tradnl"/>
              </w:rPr>
              <w:lastRenderedPageBreak/>
              <w:t>Documento CMR15/505 – Actas de la octava Sesión Plenaria</w:t>
            </w:r>
          </w:p>
        </w:tc>
        <w:tc>
          <w:tcPr>
            <w:tcW w:w="2016" w:type="dxa"/>
            <w:vMerge w:val="restart"/>
            <w:tcBorders>
              <w:top w:val="single" w:sz="4" w:space="0" w:color="auto"/>
              <w:left w:val="single" w:sz="4" w:space="0" w:color="auto"/>
              <w:bottom w:val="single" w:sz="4" w:space="0" w:color="auto"/>
              <w:right w:val="single" w:sz="4" w:space="0" w:color="auto"/>
            </w:tcBorders>
            <w:hideMark/>
          </w:tcPr>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jc w:val="left"/>
              <w:textAlignment w:val="auto"/>
              <w:rPr>
                <w:rFonts w:asciiTheme="minorHAnsi" w:hAnsiTheme="minorHAnsi"/>
                <w:b/>
                <w:color w:val="000000"/>
                <w:sz w:val="22"/>
                <w:lang w:val="es-ES" w:eastAsia="zh-CN"/>
              </w:rPr>
            </w:pPr>
            <w:r w:rsidRPr="00DA7BD8">
              <w:rPr>
                <w:rFonts w:asciiTheme="minorHAnsi" w:hAnsiTheme="minorHAnsi"/>
                <w:b/>
                <w:color w:val="000000"/>
                <w:sz w:val="22"/>
                <w:lang w:val="es-ES" w:eastAsia="zh-CN"/>
              </w:rPr>
              <w:t xml:space="preserve">Párrs. 3.24 a 3.38 </w:t>
            </w:r>
            <w:r w:rsidR="005579E2">
              <w:rPr>
                <w:rFonts w:asciiTheme="minorHAnsi" w:hAnsiTheme="minorHAnsi"/>
                <w:b/>
                <w:color w:val="000000"/>
                <w:sz w:val="22"/>
                <w:lang w:val="es-ES" w:eastAsia="zh-CN"/>
              </w:rPr>
              <w:br/>
            </w:r>
            <w:r w:rsidRPr="00DA7BD8">
              <w:rPr>
                <w:rFonts w:asciiTheme="minorHAnsi" w:hAnsiTheme="minorHAnsi"/>
                <w:b/>
                <w:color w:val="000000"/>
                <w:sz w:val="22"/>
                <w:lang w:val="es-ES" w:eastAsia="zh-CN"/>
              </w:rPr>
              <w:t>Aprobación del Documento 398</w:t>
            </w:r>
          </w:p>
        </w:tc>
        <w:tc>
          <w:tcPr>
            <w:tcW w:w="11594" w:type="dxa"/>
            <w:tcBorders>
              <w:top w:val="single" w:sz="4" w:space="0" w:color="auto"/>
              <w:left w:val="single" w:sz="4" w:space="0" w:color="auto"/>
              <w:bottom w:val="single" w:sz="4" w:space="0" w:color="auto"/>
              <w:right w:val="single" w:sz="4" w:space="0" w:color="auto"/>
            </w:tcBorders>
            <w:hideMark/>
          </w:tcPr>
          <w:p w:rsidR="00F66845" w:rsidRPr="0068086E"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b/>
                <w:sz w:val="22"/>
                <w:lang w:val="es-ES" w:eastAsia="zh-CN"/>
              </w:rPr>
            </w:pPr>
            <w:r w:rsidRPr="0068086E">
              <w:rPr>
                <w:rFonts w:asciiTheme="minorHAnsi" w:hAnsiTheme="minorHAnsi"/>
                <w:sz w:val="22"/>
                <w:lang w:val="es-ES" w:eastAsia="zh-CN"/>
              </w:rPr>
              <w:t xml:space="preserve">Al debatir la cuestión de las posibles modificaciones a los Planes de los Apéndices 30 y 30A de las Regiones 1 y 3, la CMR-15 reconoce que puede haber casos en los que se requiera la asistencia de la Oficina a los países que se vean sometidos a un caso de fuerza mayor. Para las administraciones de esos países, tal vez no sea posible recibir la correspondencia remitida por la Oficina o bien contestar a dicha correspondencia en los plazos establecidos en los § 4.1.10a-4.1.10d del Artículo 4 de los Apéndices 30 y 30A del RR, y la ausencia de dicha correspondencia podría repercutir negativamente en la situación de referencia de las asignaciones del Plan de esas administraciones. En tales casos, esas administraciones podrían beneficiarse de las medidas específicas adoptadas por la Oficina para intentar resolver esta situación y </w:t>
            </w:r>
            <w:r w:rsidRPr="0068086E">
              <w:rPr>
                <w:rFonts w:asciiTheme="minorHAnsi" w:hAnsiTheme="minorHAnsi"/>
                <w:b/>
                <w:bCs/>
                <w:sz w:val="22"/>
                <w:lang w:val="es-ES" w:eastAsia="zh-CN"/>
              </w:rPr>
              <w:t>la CMR-15 encarga al Director de la Oficina de Radiocomunicaciones</w:t>
            </w:r>
            <w:r w:rsidRPr="0068086E">
              <w:rPr>
                <w:rFonts w:asciiTheme="minorHAnsi" w:hAnsiTheme="minorHAnsi"/>
                <w:sz w:val="22"/>
                <w:lang w:val="es-ES" w:eastAsia="zh-CN"/>
              </w:rPr>
              <w:t xml:space="preserve"> que investigue estos problemas y solicite a la Junta del Reglamento de Radiocomunicaciones que contemple esas situaciones específicas.</w:t>
            </w:r>
            <w:r w:rsidRPr="0068086E">
              <w:rPr>
                <w:rFonts w:asciiTheme="minorHAnsi" w:hAnsiTheme="minorHAnsi"/>
                <w:b/>
                <w:sz w:val="22"/>
                <w:lang w:val="es-ES" w:eastAsia="zh-CN"/>
              </w:rPr>
              <w:t xml:space="preserve"> </w:t>
            </w:r>
          </w:p>
        </w:tc>
      </w:tr>
      <w:tr w:rsidR="00F66845" w:rsidRPr="005579E2" w:rsidTr="00046311">
        <w:tc>
          <w:tcPr>
            <w:tcW w:w="1555" w:type="dxa"/>
            <w:vMerge/>
            <w:tcBorders>
              <w:top w:val="single" w:sz="4" w:space="0" w:color="auto"/>
              <w:left w:val="single" w:sz="4" w:space="0" w:color="auto"/>
              <w:bottom w:val="single" w:sz="4" w:space="0" w:color="auto"/>
              <w:right w:val="single" w:sz="4" w:space="0" w:color="auto"/>
            </w:tcBorders>
            <w:vAlign w:val="center"/>
            <w:hideMark/>
          </w:tcPr>
          <w:p w:rsidR="00F66845" w:rsidRPr="00DA7BD8" w:rsidRDefault="00F66845" w:rsidP="00CF34D4">
            <w:pPr>
              <w:tabs>
                <w:tab w:val="clear" w:pos="794"/>
                <w:tab w:val="clear" w:pos="1191"/>
                <w:tab w:val="clear" w:pos="1588"/>
                <w:tab w:val="clear" w:pos="1985"/>
              </w:tabs>
              <w:overflowPunct/>
              <w:autoSpaceDE/>
              <w:autoSpaceDN/>
              <w:adjustRightInd/>
              <w:spacing w:before="80" w:after="80" w:line="240" w:lineRule="auto"/>
              <w:textAlignment w:val="auto"/>
              <w:rPr>
                <w:rFonts w:asciiTheme="minorHAnsi" w:hAnsiTheme="minorHAnsi"/>
                <w:b/>
                <w:color w:val="000000"/>
                <w:sz w:val="22"/>
                <w:lang w:val="es-ES" w:eastAsia="zh-CN"/>
              </w:rPr>
            </w:pPr>
          </w:p>
        </w:tc>
        <w:tc>
          <w:tcPr>
            <w:tcW w:w="2016" w:type="dxa"/>
            <w:vMerge/>
            <w:tcBorders>
              <w:top w:val="single" w:sz="4" w:space="0" w:color="auto"/>
              <w:left w:val="single" w:sz="4" w:space="0" w:color="auto"/>
              <w:bottom w:val="single" w:sz="4" w:space="0" w:color="auto"/>
              <w:right w:val="single" w:sz="4" w:space="0" w:color="auto"/>
            </w:tcBorders>
            <w:vAlign w:val="center"/>
            <w:hideMark/>
          </w:tcPr>
          <w:p w:rsidR="00F66845" w:rsidRPr="00DA7BD8" w:rsidRDefault="00F66845" w:rsidP="00CF34D4">
            <w:pPr>
              <w:tabs>
                <w:tab w:val="clear" w:pos="794"/>
                <w:tab w:val="clear" w:pos="1191"/>
                <w:tab w:val="clear" w:pos="1588"/>
                <w:tab w:val="clear" w:pos="1985"/>
              </w:tabs>
              <w:overflowPunct/>
              <w:autoSpaceDE/>
              <w:autoSpaceDN/>
              <w:adjustRightInd/>
              <w:spacing w:before="80" w:after="80" w:line="240" w:lineRule="auto"/>
              <w:textAlignment w:val="auto"/>
              <w:rPr>
                <w:rFonts w:asciiTheme="minorHAnsi" w:hAnsiTheme="minorHAnsi"/>
                <w:b/>
                <w:color w:val="000000"/>
                <w:sz w:val="22"/>
                <w:lang w:val="es-ES" w:eastAsia="zh-CN"/>
              </w:rPr>
            </w:pPr>
          </w:p>
        </w:tc>
        <w:tc>
          <w:tcPr>
            <w:tcW w:w="11594" w:type="dxa"/>
            <w:tcBorders>
              <w:top w:val="single" w:sz="4" w:space="0" w:color="auto"/>
              <w:left w:val="single" w:sz="4" w:space="0" w:color="auto"/>
              <w:bottom w:val="single" w:sz="4" w:space="0" w:color="auto"/>
              <w:right w:val="single" w:sz="4" w:space="0" w:color="auto"/>
            </w:tcBorders>
            <w:hideMark/>
          </w:tcPr>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color w:val="000000"/>
                <w:sz w:val="22"/>
                <w:lang w:val="es-ES" w:eastAsia="zh-CN"/>
              </w:rPr>
              <w:t>La CMR-15 recibió una contribución relativa a la sección 3.2.2.4.3 del Informe del Director (Doc</w:t>
            </w:r>
            <w:r w:rsidR="00510CCC">
              <w:rPr>
                <w:rFonts w:asciiTheme="minorHAnsi" w:hAnsiTheme="minorHAnsi"/>
                <w:color w:val="000000"/>
                <w:sz w:val="22"/>
                <w:lang w:val="es-ES" w:eastAsia="zh-CN"/>
              </w:rPr>
              <w:t>umento</w:t>
            </w:r>
            <w:r w:rsidRPr="00DA7BD8">
              <w:rPr>
                <w:rFonts w:asciiTheme="minorHAnsi" w:hAnsiTheme="minorHAnsi"/>
                <w:color w:val="000000"/>
                <w:sz w:val="22"/>
                <w:lang w:val="es-ES" w:eastAsia="zh-CN"/>
              </w:rPr>
              <w:t xml:space="preserve"> 4(Add.2)(Rev.1)) sobre la coordinación entre sistemas del SFS no OSG. </w:t>
            </w:r>
            <w:r w:rsidRPr="00DA7BD8">
              <w:rPr>
                <w:rFonts w:asciiTheme="minorHAnsi" w:hAnsiTheme="minorHAnsi"/>
                <w:b/>
                <w:bCs/>
                <w:color w:val="000000"/>
                <w:sz w:val="22"/>
                <w:lang w:val="es-ES" w:eastAsia="zh-CN"/>
              </w:rPr>
              <w:t>La CMR-15 reconoce</w:t>
            </w:r>
            <w:r w:rsidRPr="00DA7BD8">
              <w:rPr>
                <w:rFonts w:asciiTheme="minorHAnsi" w:hAnsiTheme="minorHAnsi"/>
                <w:color w:val="000000"/>
                <w:sz w:val="22"/>
                <w:lang w:val="es-ES" w:eastAsia="zh-CN"/>
              </w:rPr>
              <w:t xml:space="preserve"> que las administraciones notificantes pueden convenir en organizar reuniones de coordinación sobre los sistemas del SFS no OSG, y pueden solicitar asistencia a la Oficina con arreglo a los procedimientos vigentes. </w:t>
            </w:r>
          </w:p>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color w:val="000000"/>
                <w:sz w:val="22"/>
                <w:lang w:val="es-ES" w:eastAsia="zh-CN"/>
              </w:rPr>
              <w:t xml:space="preserve">La coordinación entre sistemas del SFS no OSG en las bandas sujetas a la Sección II del Artículo 9 del RR </w:t>
            </w:r>
            <w:r w:rsidRPr="00E07240">
              <w:rPr>
                <w:rFonts w:asciiTheme="minorHAnsi" w:hAnsiTheme="minorHAnsi"/>
                <w:b/>
                <w:bCs/>
                <w:color w:val="000000"/>
                <w:sz w:val="22"/>
                <w:lang w:val="es-ES" w:eastAsia="zh-CN"/>
              </w:rPr>
              <w:t>puede seguir examinándose en el marco del UIT-R</w:t>
            </w:r>
            <w:r w:rsidRPr="00DA7BD8">
              <w:rPr>
                <w:rFonts w:asciiTheme="minorHAnsi" w:hAnsiTheme="minorHAnsi"/>
                <w:color w:val="000000"/>
                <w:sz w:val="22"/>
                <w:lang w:val="es-ES" w:eastAsia="zh-CN"/>
              </w:rPr>
              <w:t>, y toda modificación de los procedimientos, en su caso, puede presentarse en el marco del punto 7 del orden del día de la CMR-19.</w:t>
            </w:r>
          </w:p>
        </w:tc>
      </w:tr>
      <w:tr w:rsidR="00F66845" w:rsidRPr="005579E2" w:rsidTr="00046311">
        <w:tc>
          <w:tcPr>
            <w:tcW w:w="1555" w:type="dxa"/>
            <w:vMerge/>
            <w:tcBorders>
              <w:top w:val="single" w:sz="4" w:space="0" w:color="auto"/>
              <w:left w:val="single" w:sz="4" w:space="0" w:color="auto"/>
              <w:bottom w:val="single" w:sz="4" w:space="0" w:color="auto"/>
              <w:right w:val="single" w:sz="4" w:space="0" w:color="auto"/>
            </w:tcBorders>
            <w:vAlign w:val="center"/>
            <w:hideMark/>
          </w:tcPr>
          <w:p w:rsidR="00F66845" w:rsidRPr="00DA7BD8" w:rsidRDefault="00F66845" w:rsidP="00CF34D4">
            <w:pPr>
              <w:tabs>
                <w:tab w:val="clear" w:pos="794"/>
                <w:tab w:val="clear" w:pos="1191"/>
                <w:tab w:val="clear" w:pos="1588"/>
                <w:tab w:val="clear" w:pos="1985"/>
              </w:tabs>
              <w:overflowPunct/>
              <w:autoSpaceDE/>
              <w:autoSpaceDN/>
              <w:adjustRightInd/>
              <w:spacing w:before="80" w:after="80" w:line="240" w:lineRule="auto"/>
              <w:textAlignment w:val="auto"/>
              <w:rPr>
                <w:rFonts w:asciiTheme="minorHAnsi" w:hAnsiTheme="minorHAnsi"/>
                <w:b/>
                <w:color w:val="000000"/>
                <w:sz w:val="22"/>
                <w:lang w:val="es-ES" w:eastAsia="zh-CN"/>
              </w:rPr>
            </w:pPr>
          </w:p>
        </w:tc>
        <w:tc>
          <w:tcPr>
            <w:tcW w:w="2016" w:type="dxa"/>
            <w:vMerge/>
            <w:tcBorders>
              <w:top w:val="single" w:sz="4" w:space="0" w:color="auto"/>
              <w:left w:val="single" w:sz="4" w:space="0" w:color="auto"/>
              <w:bottom w:val="single" w:sz="4" w:space="0" w:color="auto"/>
              <w:right w:val="single" w:sz="4" w:space="0" w:color="auto"/>
            </w:tcBorders>
            <w:vAlign w:val="center"/>
            <w:hideMark/>
          </w:tcPr>
          <w:p w:rsidR="00F66845" w:rsidRPr="00DA7BD8" w:rsidRDefault="00F66845" w:rsidP="00CF34D4">
            <w:pPr>
              <w:tabs>
                <w:tab w:val="clear" w:pos="794"/>
                <w:tab w:val="clear" w:pos="1191"/>
                <w:tab w:val="clear" w:pos="1588"/>
                <w:tab w:val="clear" w:pos="1985"/>
              </w:tabs>
              <w:overflowPunct/>
              <w:autoSpaceDE/>
              <w:autoSpaceDN/>
              <w:adjustRightInd/>
              <w:spacing w:before="80" w:after="80" w:line="240" w:lineRule="auto"/>
              <w:textAlignment w:val="auto"/>
              <w:rPr>
                <w:rFonts w:asciiTheme="minorHAnsi" w:hAnsiTheme="minorHAnsi"/>
                <w:b/>
                <w:color w:val="000000"/>
                <w:sz w:val="22"/>
                <w:lang w:val="es-ES" w:eastAsia="zh-CN"/>
              </w:rPr>
            </w:pPr>
          </w:p>
        </w:tc>
        <w:tc>
          <w:tcPr>
            <w:tcW w:w="11594" w:type="dxa"/>
            <w:tcBorders>
              <w:top w:val="single" w:sz="4" w:space="0" w:color="auto"/>
              <w:left w:val="single" w:sz="4" w:space="0" w:color="auto"/>
              <w:bottom w:val="single" w:sz="4" w:space="0" w:color="auto"/>
              <w:right w:val="single" w:sz="4" w:space="0" w:color="auto"/>
            </w:tcBorders>
            <w:hideMark/>
          </w:tcPr>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color w:val="000000"/>
                <w:sz w:val="22"/>
                <w:lang w:val="es-ES" w:eastAsia="zh-CN"/>
              </w:rPr>
              <w:t>Al examinar el tema relativo a la notificación de estaciones terrenas típicas en el servicio fijo por satélite en el Informe del Director (Documento 4(Add.2)(Rev.1) §</w:t>
            </w:r>
            <w:r w:rsidR="00E8670F">
              <w:rPr>
                <w:rFonts w:asciiTheme="minorHAnsi" w:hAnsiTheme="minorHAnsi"/>
                <w:color w:val="000000"/>
                <w:sz w:val="22"/>
                <w:lang w:val="es-ES" w:eastAsia="zh-CN"/>
              </w:rPr>
              <w:t> </w:t>
            </w:r>
            <w:r w:rsidRPr="00DA7BD8">
              <w:rPr>
                <w:rFonts w:asciiTheme="minorHAnsi" w:hAnsiTheme="minorHAnsi"/>
                <w:color w:val="000000"/>
                <w:sz w:val="22"/>
                <w:lang w:val="es-ES" w:eastAsia="zh-CN"/>
              </w:rPr>
              <w:t xml:space="preserve">3.2.3.8), </w:t>
            </w:r>
            <w:r w:rsidRPr="00DA7BD8">
              <w:rPr>
                <w:rFonts w:asciiTheme="minorHAnsi" w:hAnsiTheme="minorHAnsi"/>
                <w:b/>
                <w:bCs/>
                <w:color w:val="000000"/>
                <w:sz w:val="22"/>
                <w:lang w:val="es-ES" w:eastAsia="zh-CN"/>
              </w:rPr>
              <w:t>la CMR-15 llegó a la conclusión de que el UIT-R debe realizar nuevos estudios</w:t>
            </w:r>
            <w:r w:rsidRPr="00DA7BD8">
              <w:rPr>
                <w:rFonts w:asciiTheme="minorHAnsi" w:hAnsiTheme="minorHAnsi"/>
                <w:color w:val="000000"/>
                <w:sz w:val="22"/>
                <w:lang w:val="es-ES" w:eastAsia="zh-CN"/>
              </w:rPr>
              <w:t xml:space="preserve"> antes de que sea adoptada una decisión en materia de reglamentación. A los efectos de esos estudios, la CMR-15 acordó encargar a la Oficina que publique una Carta Circular que contenga un formato común en virtud del cual las administraciones puedan presentar a la Oficina, con carácter voluntario, las características y el número de estaciones terrenas típicas implantadas en sus países, en la medida de lo posible, únicamente a efectos informativos</w:t>
            </w:r>
            <w:r w:rsidR="004A2066">
              <w:rPr>
                <w:rFonts w:asciiTheme="minorHAnsi" w:hAnsiTheme="minorHAnsi"/>
                <w:color w:val="000000"/>
                <w:sz w:val="22"/>
                <w:lang w:val="es-ES" w:eastAsia="zh-CN"/>
              </w:rPr>
              <w:t>.</w:t>
            </w:r>
          </w:p>
        </w:tc>
      </w:tr>
      <w:tr w:rsidR="00F66845" w:rsidRPr="005579E2" w:rsidTr="00046311">
        <w:tc>
          <w:tcPr>
            <w:tcW w:w="1555" w:type="dxa"/>
            <w:vMerge/>
            <w:tcBorders>
              <w:top w:val="single" w:sz="4" w:space="0" w:color="auto"/>
              <w:left w:val="single" w:sz="4" w:space="0" w:color="auto"/>
              <w:bottom w:val="single" w:sz="4" w:space="0" w:color="auto"/>
              <w:right w:val="single" w:sz="4" w:space="0" w:color="auto"/>
            </w:tcBorders>
            <w:vAlign w:val="center"/>
            <w:hideMark/>
          </w:tcPr>
          <w:p w:rsidR="00F66845" w:rsidRPr="00DA7BD8" w:rsidRDefault="00F66845" w:rsidP="00CF34D4">
            <w:pPr>
              <w:tabs>
                <w:tab w:val="clear" w:pos="794"/>
                <w:tab w:val="clear" w:pos="1191"/>
                <w:tab w:val="clear" w:pos="1588"/>
                <w:tab w:val="clear" w:pos="1985"/>
              </w:tabs>
              <w:overflowPunct/>
              <w:autoSpaceDE/>
              <w:autoSpaceDN/>
              <w:adjustRightInd/>
              <w:spacing w:before="80" w:after="80" w:line="240" w:lineRule="auto"/>
              <w:textAlignment w:val="auto"/>
              <w:rPr>
                <w:rFonts w:asciiTheme="minorHAnsi" w:hAnsiTheme="minorHAnsi"/>
                <w:b/>
                <w:color w:val="000000"/>
                <w:sz w:val="22"/>
                <w:lang w:val="es-ES" w:eastAsia="zh-CN"/>
              </w:rPr>
            </w:pPr>
          </w:p>
        </w:tc>
        <w:tc>
          <w:tcPr>
            <w:tcW w:w="2016" w:type="dxa"/>
            <w:tcBorders>
              <w:top w:val="single" w:sz="4" w:space="0" w:color="auto"/>
              <w:left w:val="single" w:sz="4" w:space="0" w:color="auto"/>
              <w:bottom w:val="single" w:sz="4" w:space="0" w:color="auto"/>
              <w:right w:val="single" w:sz="4" w:space="0" w:color="auto"/>
            </w:tcBorders>
            <w:hideMark/>
          </w:tcPr>
          <w:p w:rsidR="00F66845" w:rsidRPr="00DA7BD8" w:rsidRDefault="00F66845" w:rsidP="00CF34D4">
            <w:pPr>
              <w:tabs>
                <w:tab w:val="clear" w:pos="794"/>
                <w:tab w:val="clear" w:pos="1191"/>
                <w:tab w:val="clear" w:pos="1588"/>
                <w:tab w:val="clear" w:pos="1985"/>
              </w:tabs>
              <w:overflowPunct/>
              <w:autoSpaceDE/>
              <w:autoSpaceDN/>
              <w:adjustRightInd/>
              <w:spacing w:before="120" w:after="80" w:line="240" w:lineRule="auto"/>
              <w:jc w:val="left"/>
              <w:textAlignment w:val="auto"/>
              <w:rPr>
                <w:rFonts w:asciiTheme="minorHAnsi" w:hAnsiTheme="minorHAnsi"/>
                <w:b/>
                <w:color w:val="000000"/>
                <w:sz w:val="22"/>
                <w:lang w:val="es-ES" w:eastAsia="zh-CN"/>
              </w:rPr>
            </w:pPr>
            <w:r w:rsidRPr="00DA7BD8">
              <w:rPr>
                <w:rFonts w:asciiTheme="minorHAnsi" w:hAnsiTheme="minorHAnsi"/>
                <w:b/>
                <w:color w:val="000000"/>
                <w:sz w:val="22"/>
                <w:lang w:val="es-ES" w:eastAsia="zh-CN"/>
              </w:rPr>
              <w:t xml:space="preserve">Párrs. 1.39 a 1.42 </w:t>
            </w:r>
            <w:r w:rsidR="005579E2">
              <w:rPr>
                <w:rFonts w:asciiTheme="minorHAnsi" w:hAnsiTheme="minorHAnsi"/>
                <w:b/>
                <w:color w:val="000000"/>
                <w:sz w:val="22"/>
                <w:lang w:val="es-ES" w:eastAsia="zh-CN"/>
              </w:rPr>
              <w:br/>
            </w:r>
            <w:r w:rsidRPr="00DA7BD8">
              <w:rPr>
                <w:rFonts w:asciiTheme="minorHAnsi" w:hAnsiTheme="minorHAnsi"/>
                <w:b/>
                <w:color w:val="000000"/>
                <w:sz w:val="22"/>
                <w:lang w:val="es-ES" w:eastAsia="zh-CN"/>
              </w:rPr>
              <w:t>Aprobación del Documento 416</w:t>
            </w:r>
          </w:p>
        </w:tc>
        <w:tc>
          <w:tcPr>
            <w:tcW w:w="11594" w:type="dxa"/>
            <w:tcBorders>
              <w:top w:val="single" w:sz="4" w:space="0" w:color="auto"/>
              <w:left w:val="single" w:sz="4" w:space="0" w:color="auto"/>
              <w:bottom w:val="single" w:sz="4" w:space="0" w:color="auto"/>
              <w:right w:val="single" w:sz="4" w:space="0" w:color="auto"/>
            </w:tcBorders>
          </w:tcPr>
          <w:p w:rsidR="00F66845" w:rsidRPr="00046311" w:rsidRDefault="00F66845" w:rsidP="00972257">
            <w:pPr>
              <w:tabs>
                <w:tab w:val="clear" w:pos="794"/>
                <w:tab w:val="clear" w:pos="1191"/>
                <w:tab w:val="clear" w:pos="1588"/>
                <w:tab w:val="clear" w:pos="1985"/>
                <w:tab w:val="left" w:pos="1134"/>
                <w:tab w:val="left" w:pos="1871"/>
                <w:tab w:val="left" w:pos="2268"/>
              </w:tabs>
              <w:overflowPunct/>
              <w:autoSpaceDE/>
              <w:autoSpaceDN/>
              <w:adjustRightInd/>
              <w:spacing w:before="120" w:after="80" w:line="240" w:lineRule="auto"/>
              <w:textAlignment w:val="auto"/>
              <w:rPr>
                <w:rFonts w:asciiTheme="minorHAnsi" w:hAnsiTheme="minorHAnsi"/>
                <w:b/>
                <w:sz w:val="22"/>
                <w:lang w:val="es-ES" w:eastAsia="zh-CN"/>
              </w:rPr>
            </w:pPr>
            <w:r w:rsidRPr="00046311">
              <w:rPr>
                <w:rFonts w:asciiTheme="minorHAnsi" w:hAnsiTheme="minorHAnsi"/>
                <w:sz w:val="22"/>
                <w:lang w:val="es-ES" w:eastAsia="zh-CN"/>
              </w:rPr>
              <w:t xml:space="preserve">Durante el debate sobre el Informe del Director y sus diversos addenda se reconoció asimismo que varias de las cuestiones planteadas podrían beneficiarse de estudios en Comisiones de Estudio del UIT-R. Por lo tanto, </w:t>
            </w:r>
            <w:r w:rsidRPr="00046311">
              <w:rPr>
                <w:rFonts w:asciiTheme="minorHAnsi" w:hAnsiTheme="minorHAnsi"/>
                <w:b/>
                <w:bCs/>
                <w:sz w:val="22"/>
                <w:lang w:val="es-ES" w:eastAsia="zh-CN"/>
              </w:rPr>
              <w:t>se alienta a la Oficina de Radiocomunicaciones</w:t>
            </w:r>
            <w:r w:rsidRPr="00046311">
              <w:rPr>
                <w:rFonts w:asciiTheme="minorHAnsi" w:hAnsiTheme="minorHAnsi"/>
                <w:sz w:val="22"/>
                <w:lang w:val="es-ES" w:eastAsia="zh-CN"/>
              </w:rPr>
              <w:t xml:space="preserve"> a transmitir al UIT-R esas cuestiones tan pronto se identifiquen, según proceda, para que las estudie. También podría ser interesante que un proyecto del Informe del Director, o al menos un proyecto de la Parte 2 de dicho Informe, estuviera disponible con antelación suficiente para la RPC19-2. Por último, se solicita al Director que considere organizar el informe con arreglo a la estructura de la CMR-19. </w:t>
            </w:r>
          </w:p>
          <w:p w:rsidR="00F66845" w:rsidRPr="00DA7BD8" w:rsidRDefault="00F66845" w:rsidP="00CF34D4">
            <w:pPr>
              <w:tabs>
                <w:tab w:val="clear" w:pos="794"/>
                <w:tab w:val="clear" w:pos="1191"/>
                <w:tab w:val="clear" w:pos="1588"/>
                <w:tab w:val="clear" w:pos="1985"/>
              </w:tabs>
              <w:overflowPunct/>
              <w:autoSpaceDE/>
              <w:autoSpaceDN/>
              <w:adjustRightInd/>
              <w:spacing w:before="120" w:line="240" w:lineRule="auto"/>
              <w:textAlignment w:val="auto"/>
              <w:rPr>
                <w:rFonts w:asciiTheme="minorHAnsi" w:hAnsiTheme="minorHAnsi"/>
                <w:color w:val="000000"/>
                <w:sz w:val="22"/>
                <w:lang w:val="es-ES" w:eastAsia="zh-CN"/>
              </w:rPr>
            </w:pPr>
            <w:r w:rsidRPr="00DA7BD8">
              <w:rPr>
                <w:rFonts w:asciiTheme="minorHAnsi" w:hAnsiTheme="minorHAnsi"/>
                <w:color w:val="000000"/>
                <w:sz w:val="22"/>
                <w:lang w:val="es-ES" w:eastAsia="zh-CN"/>
              </w:rPr>
              <w:br w:type="page"/>
            </w:r>
          </w:p>
          <w:p w:rsidR="00F66845" w:rsidRPr="00DA7BD8" w:rsidRDefault="00F66845" w:rsidP="00CF34D4">
            <w:pPr>
              <w:tabs>
                <w:tab w:val="clear" w:pos="794"/>
                <w:tab w:val="clear" w:pos="1191"/>
                <w:tab w:val="clear" w:pos="1588"/>
                <w:tab w:val="clear" w:pos="1985"/>
              </w:tabs>
              <w:overflowPunct/>
              <w:autoSpaceDE/>
              <w:autoSpaceDN/>
              <w:adjustRightInd/>
              <w:spacing w:before="120" w:line="240" w:lineRule="auto"/>
              <w:textAlignment w:val="auto"/>
              <w:rPr>
                <w:rFonts w:asciiTheme="minorHAnsi" w:hAnsiTheme="minorHAnsi"/>
                <w:color w:val="000000"/>
                <w:sz w:val="22"/>
                <w:lang w:val="es-ES" w:eastAsia="zh-CN"/>
              </w:rPr>
            </w:pPr>
          </w:p>
          <w:p w:rsidR="00F66845" w:rsidRPr="00DA7BD8" w:rsidRDefault="00F66845" w:rsidP="00CF34D4">
            <w:pPr>
              <w:tabs>
                <w:tab w:val="clear" w:pos="794"/>
                <w:tab w:val="clear" w:pos="1191"/>
                <w:tab w:val="clear" w:pos="1588"/>
                <w:tab w:val="clear" w:pos="1985"/>
              </w:tabs>
              <w:overflowPunct/>
              <w:autoSpaceDE/>
              <w:autoSpaceDN/>
              <w:adjustRightInd/>
              <w:spacing w:before="120" w:line="240" w:lineRule="auto"/>
              <w:textAlignment w:val="auto"/>
              <w:rPr>
                <w:rFonts w:asciiTheme="minorHAnsi" w:hAnsiTheme="minorHAnsi"/>
                <w:color w:val="000000"/>
                <w:sz w:val="22"/>
                <w:lang w:val="es-ES" w:eastAsia="zh-CN"/>
              </w:rPr>
            </w:pPr>
          </w:p>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color w:val="000000"/>
                <w:sz w:val="22"/>
                <w:lang w:val="es-ES" w:eastAsia="zh-CN"/>
              </w:rPr>
              <w:lastRenderedPageBreak/>
              <w:t>El Anexo contiene detalles de los resultados de las deliberaciones sobre el Informe del Director en la Comisión 5.</w:t>
            </w:r>
          </w:p>
          <w:p w:rsidR="00F66845" w:rsidRPr="00DA7BD8" w:rsidRDefault="00F66845" w:rsidP="00972257">
            <w:pPr>
              <w:keepNext/>
              <w:tabs>
                <w:tab w:val="clear" w:pos="794"/>
                <w:tab w:val="clear" w:pos="1191"/>
                <w:tab w:val="clear" w:pos="1588"/>
                <w:tab w:val="clear" w:pos="1985"/>
                <w:tab w:val="left" w:pos="1134"/>
                <w:tab w:val="left" w:pos="1871"/>
                <w:tab w:val="left" w:pos="2268"/>
              </w:tabs>
              <w:overflowPunct/>
              <w:autoSpaceDE/>
              <w:autoSpaceDN/>
              <w:adjustRightInd/>
              <w:spacing w:before="360" w:after="80" w:line="240" w:lineRule="auto"/>
              <w:jc w:val="center"/>
              <w:textAlignment w:val="auto"/>
              <w:rPr>
                <w:rFonts w:asciiTheme="minorHAnsi" w:hAnsiTheme="minorHAnsi"/>
                <w:caps/>
                <w:color w:val="000000"/>
                <w:sz w:val="22"/>
                <w:lang w:val="es-ES" w:eastAsia="zh-CN"/>
              </w:rPr>
            </w:pPr>
            <w:r w:rsidRPr="00DA7BD8">
              <w:rPr>
                <w:rFonts w:asciiTheme="minorHAnsi" w:hAnsiTheme="minorHAnsi"/>
                <w:caps/>
                <w:color w:val="000000"/>
                <w:sz w:val="22"/>
                <w:lang w:val="es-ES" w:eastAsia="zh-CN"/>
              </w:rPr>
              <w:t>ANEXO</w:t>
            </w:r>
          </w:p>
          <w:p w:rsidR="00F66845" w:rsidRPr="00DA7BD8" w:rsidRDefault="00F66845" w:rsidP="00972257">
            <w:pPr>
              <w:keepNext/>
              <w:tabs>
                <w:tab w:val="clear" w:pos="794"/>
                <w:tab w:val="clear" w:pos="1191"/>
                <w:tab w:val="clear" w:pos="1588"/>
                <w:tab w:val="clear" w:pos="1985"/>
              </w:tabs>
              <w:overflowPunct/>
              <w:autoSpaceDE/>
              <w:autoSpaceDN/>
              <w:adjustRightInd/>
              <w:spacing w:before="240" w:after="80" w:line="240" w:lineRule="auto"/>
              <w:textAlignment w:val="auto"/>
              <w:rPr>
                <w:rFonts w:asciiTheme="minorHAnsi" w:hAnsiTheme="minorHAnsi"/>
                <w:caps/>
                <w:color w:val="000000"/>
                <w:sz w:val="22"/>
                <w:lang w:val="es-ES" w:eastAsia="zh-CN"/>
              </w:rPr>
            </w:pPr>
            <w:r w:rsidRPr="00DA7BD8">
              <w:rPr>
                <w:rFonts w:asciiTheme="minorHAnsi" w:hAnsiTheme="minorHAnsi"/>
                <w:caps/>
                <w:color w:val="000000"/>
                <w:sz w:val="22"/>
                <w:lang w:val="es-ES" w:eastAsia="zh-CN"/>
              </w:rPr>
              <w:t>PARTE 2</w:t>
            </w:r>
          </w:p>
          <w:p w:rsidR="00F66845" w:rsidRPr="00DA7BD8" w:rsidRDefault="00F66845" w:rsidP="00972257">
            <w:pPr>
              <w:keepNext/>
              <w:tabs>
                <w:tab w:val="clear" w:pos="794"/>
                <w:tab w:val="clear" w:pos="1191"/>
                <w:tab w:val="clear" w:pos="1588"/>
                <w:tab w:val="clear" w:pos="1985"/>
              </w:tabs>
              <w:overflowPunct/>
              <w:autoSpaceDE/>
              <w:autoSpaceDN/>
              <w:adjustRightInd/>
              <w:spacing w:before="120" w:after="80" w:line="240" w:lineRule="auto"/>
              <w:jc w:val="center"/>
              <w:textAlignment w:val="auto"/>
              <w:rPr>
                <w:rFonts w:asciiTheme="minorHAnsi" w:hAnsiTheme="minorHAnsi"/>
                <w:b/>
                <w:color w:val="000000"/>
                <w:sz w:val="22"/>
                <w:lang w:val="es-ES" w:eastAsia="zh-CN"/>
              </w:rPr>
            </w:pPr>
            <w:r w:rsidRPr="00DA7BD8">
              <w:rPr>
                <w:rFonts w:asciiTheme="minorHAnsi" w:hAnsiTheme="minorHAnsi"/>
                <w:b/>
                <w:color w:val="000000"/>
                <w:sz w:val="22"/>
                <w:lang w:val="es-ES" w:eastAsia="zh-CN"/>
              </w:rPr>
              <w:t xml:space="preserve">Experiencias en la aplicación de los procedimientos del Reglamento de </w:t>
            </w:r>
            <w:r w:rsidR="00972257">
              <w:rPr>
                <w:rFonts w:asciiTheme="minorHAnsi" w:hAnsiTheme="minorHAnsi"/>
                <w:b/>
                <w:color w:val="000000"/>
                <w:sz w:val="22"/>
                <w:lang w:val="es-ES" w:eastAsia="zh-CN"/>
              </w:rPr>
              <w:br/>
            </w:r>
            <w:r w:rsidRPr="00DA7BD8">
              <w:rPr>
                <w:rFonts w:asciiTheme="minorHAnsi" w:hAnsiTheme="minorHAnsi"/>
                <w:b/>
                <w:color w:val="000000"/>
                <w:sz w:val="22"/>
                <w:lang w:val="es-ES" w:eastAsia="zh-CN"/>
              </w:rPr>
              <w:t>Radiocomunicaciones y otros asuntos conexos</w:t>
            </w:r>
          </w:p>
          <w:p w:rsidR="00F66845" w:rsidRPr="00DA7BD8" w:rsidRDefault="00F66845" w:rsidP="00972257">
            <w:pPr>
              <w:keepNext/>
              <w:tabs>
                <w:tab w:val="clear" w:pos="794"/>
                <w:tab w:val="clear" w:pos="1191"/>
                <w:tab w:val="clear" w:pos="1588"/>
                <w:tab w:val="clear" w:pos="1985"/>
              </w:tabs>
              <w:overflowPunct/>
              <w:autoSpaceDE/>
              <w:autoSpaceDN/>
              <w:adjustRightInd/>
              <w:spacing w:before="360" w:after="80" w:line="240" w:lineRule="auto"/>
              <w:ind w:left="794" w:hanging="794"/>
              <w:textAlignment w:val="auto"/>
              <w:outlineLvl w:val="0"/>
              <w:rPr>
                <w:rFonts w:asciiTheme="minorHAnsi" w:hAnsiTheme="minorHAnsi"/>
                <w:b/>
                <w:color w:val="000000"/>
                <w:sz w:val="22"/>
                <w:lang w:val="es-ES" w:eastAsia="zh-CN"/>
              </w:rPr>
            </w:pPr>
            <w:r w:rsidRPr="00DA7BD8">
              <w:rPr>
                <w:rFonts w:asciiTheme="minorHAnsi" w:hAnsiTheme="minorHAnsi"/>
                <w:b/>
                <w:color w:val="000000"/>
                <w:sz w:val="22"/>
                <w:lang w:val="es-ES" w:eastAsia="zh-CN"/>
              </w:rPr>
              <w:t>2</w:t>
            </w:r>
            <w:r w:rsidRPr="00DA7BD8">
              <w:rPr>
                <w:rFonts w:asciiTheme="minorHAnsi" w:hAnsiTheme="minorHAnsi"/>
                <w:b/>
                <w:color w:val="000000"/>
                <w:sz w:val="22"/>
                <w:lang w:val="es-ES" w:eastAsia="zh-CN"/>
              </w:rPr>
              <w:tab/>
              <w:t>Preparación del Reglamento de Radiocomunicaciones (edición de 2012)</w:t>
            </w:r>
          </w:p>
          <w:p w:rsidR="00F66845" w:rsidRPr="00DA7BD8" w:rsidRDefault="00F66845" w:rsidP="00972257">
            <w:pPr>
              <w:keepNext/>
              <w:tabs>
                <w:tab w:val="clear" w:pos="794"/>
                <w:tab w:val="clear" w:pos="1191"/>
                <w:tab w:val="clear" w:pos="1588"/>
                <w:tab w:val="clear" w:pos="1985"/>
              </w:tabs>
              <w:overflowPunct/>
              <w:autoSpaceDE/>
              <w:autoSpaceDN/>
              <w:adjustRightInd/>
              <w:spacing w:before="360" w:after="80" w:line="240" w:lineRule="auto"/>
              <w:ind w:left="794" w:hanging="794"/>
              <w:textAlignment w:val="auto"/>
              <w:outlineLvl w:val="1"/>
              <w:rPr>
                <w:rFonts w:asciiTheme="minorHAnsi" w:hAnsiTheme="minorHAnsi"/>
                <w:b/>
                <w:color w:val="000000"/>
                <w:sz w:val="22"/>
                <w:lang w:val="es-ES" w:eastAsia="zh-CN"/>
              </w:rPr>
            </w:pPr>
            <w:r w:rsidRPr="00DA7BD8">
              <w:rPr>
                <w:rFonts w:asciiTheme="minorHAnsi" w:hAnsiTheme="minorHAnsi"/>
                <w:b/>
                <w:color w:val="000000"/>
                <w:sz w:val="22"/>
                <w:lang w:val="es-ES" w:eastAsia="zh-CN"/>
              </w:rPr>
              <w:t>2.1</w:t>
            </w:r>
            <w:r w:rsidRPr="00DA7BD8">
              <w:rPr>
                <w:rFonts w:asciiTheme="minorHAnsi" w:hAnsiTheme="minorHAnsi"/>
                <w:b/>
                <w:color w:val="000000"/>
                <w:sz w:val="22"/>
                <w:lang w:val="es-ES" w:eastAsia="zh-CN"/>
              </w:rPr>
              <w:tab/>
              <w:t>Observaciones generales</w:t>
            </w:r>
          </w:p>
          <w:p w:rsidR="00F66845" w:rsidRPr="00DA7BD8" w:rsidRDefault="00F66845" w:rsidP="00972257">
            <w:pPr>
              <w:keepNext/>
              <w:tabs>
                <w:tab w:val="clear" w:pos="794"/>
                <w:tab w:val="clear" w:pos="1191"/>
                <w:tab w:val="clear" w:pos="1588"/>
                <w:tab w:val="clear" w:pos="1985"/>
              </w:tabs>
              <w:overflowPunct/>
              <w:autoSpaceDE/>
              <w:autoSpaceDN/>
              <w:adjustRightInd/>
              <w:spacing w:before="360" w:after="80" w:line="240" w:lineRule="auto"/>
              <w:ind w:left="794" w:hanging="794"/>
              <w:textAlignment w:val="auto"/>
              <w:outlineLvl w:val="2"/>
              <w:rPr>
                <w:rFonts w:asciiTheme="minorHAnsi" w:hAnsiTheme="minorHAnsi"/>
                <w:b/>
                <w:color w:val="000000"/>
                <w:sz w:val="22"/>
                <w:lang w:val="es-ES" w:eastAsia="zh-CN"/>
              </w:rPr>
            </w:pPr>
            <w:r w:rsidRPr="00DA7BD8">
              <w:rPr>
                <w:rFonts w:asciiTheme="minorHAnsi" w:hAnsiTheme="minorHAnsi"/>
                <w:b/>
                <w:color w:val="000000"/>
                <w:sz w:val="22"/>
                <w:lang w:val="es-ES" w:eastAsia="zh-CN"/>
              </w:rPr>
              <w:t>2.2.2</w:t>
            </w:r>
            <w:r w:rsidRPr="00DA7BD8">
              <w:rPr>
                <w:rFonts w:asciiTheme="minorHAnsi" w:hAnsiTheme="minorHAnsi"/>
                <w:b/>
                <w:color w:val="000000"/>
                <w:sz w:val="22"/>
                <w:lang w:val="es-ES" w:eastAsia="zh-CN"/>
              </w:rPr>
              <w:tab/>
              <w:t>Incoherencias, disposiciones poco claras</w:t>
            </w:r>
          </w:p>
          <w:p w:rsidR="00F66845" w:rsidRPr="00DA7BD8" w:rsidRDefault="00F66845" w:rsidP="002521F8">
            <w:pPr>
              <w:keepNext/>
              <w:tabs>
                <w:tab w:val="clear" w:pos="794"/>
                <w:tab w:val="clear" w:pos="1191"/>
                <w:tab w:val="clear" w:pos="1588"/>
                <w:tab w:val="clear" w:pos="1985"/>
                <w:tab w:val="left" w:pos="1134"/>
                <w:tab w:val="left" w:pos="1871"/>
                <w:tab w:val="left" w:pos="2268"/>
              </w:tabs>
              <w:overflowPunct/>
              <w:autoSpaceDE/>
              <w:autoSpaceDN/>
              <w:adjustRightInd/>
              <w:spacing w:before="240" w:after="120" w:line="240" w:lineRule="auto"/>
              <w:jc w:val="center"/>
              <w:textAlignment w:val="auto"/>
              <w:rPr>
                <w:rFonts w:asciiTheme="minorHAnsi" w:hAnsiTheme="minorHAnsi"/>
                <w:caps/>
                <w:color w:val="000000"/>
                <w:sz w:val="22"/>
                <w:lang w:val="es-ES" w:eastAsia="zh-CN"/>
              </w:rPr>
            </w:pPr>
            <w:r w:rsidRPr="00DA7BD8">
              <w:rPr>
                <w:rFonts w:asciiTheme="minorHAnsi" w:hAnsiTheme="minorHAnsi"/>
                <w:caps/>
                <w:color w:val="000000"/>
                <w:sz w:val="22"/>
                <w:lang w:val="es-ES" w:eastAsia="zh-CN"/>
              </w:rPr>
              <w:t>CUADRO 2</w:t>
            </w:r>
          </w:p>
          <w:p w:rsidR="00F66845" w:rsidRPr="00DA7BD8" w:rsidRDefault="00F66845" w:rsidP="00CF34D4">
            <w:pPr>
              <w:keepNext/>
              <w:tabs>
                <w:tab w:val="clear" w:pos="794"/>
                <w:tab w:val="clear" w:pos="1191"/>
                <w:tab w:val="clear" w:pos="1588"/>
                <w:tab w:val="clear" w:pos="1985"/>
                <w:tab w:val="left" w:pos="1134"/>
                <w:tab w:val="left" w:pos="1871"/>
                <w:tab w:val="left" w:pos="2268"/>
              </w:tabs>
              <w:overflowPunct/>
              <w:autoSpaceDE/>
              <w:autoSpaceDN/>
              <w:adjustRightInd/>
              <w:spacing w:before="120" w:after="120" w:line="240" w:lineRule="auto"/>
              <w:jc w:val="center"/>
              <w:textAlignment w:val="auto"/>
              <w:rPr>
                <w:rFonts w:asciiTheme="minorHAnsi" w:hAnsiTheme="minorHAnsi"/>
                <w:b/>
                <w:color w:val="000000"/>
                <w:sz w:val="22"/>
                <w:lang w:val="es-ES" w:eastAsia="zh-CN"/>
              </w:rPr>
            </w:pPr>
            <w:r w:rsidRPr="00DA7BD8">
              <w:rPr>
                <w:rFonts w:asciiTheme="minorHAnsi" w:hAnsiTheme="minorHAnsi"/>
                <w:b/>
                <w:color w:val="000000"/>
                <w:sz w:val="22"/>
                <w:lang w:val="es-ES" w:eastAsia="zh-CN"/>
              </w:rPr>
              <w:t>Incoherencias en el RR, disposiciones poco claras</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134"/>
              <w:gridCol w:w="1560"/>
              <w:gridCol w:w="2263"/>
              <w:gridCol w:w="3544"/>
            </w:tblGrid>
            <w:tr w:rsidR="00F66845" w:rsidRPr="00DA7BD8" w:rsidTr="008B27D9">
              <w:trPr>
                <w:cantSplit/>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6845" w:rsidRPr="00DA7BD8" w:rsidRDefault="00F66845" w:rsidP="005579E2">
                  <w:pPr>
                    <w:keepNext/>
                    <w:keepLines/>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rPr>
                      <w:rFonts w:asciiTheme="minorHAnsi" w:eastAsia="SimSun" w:hAnsiTheme="minorHAnsi"/>
                      <w:b/>
                      <w:color w:val="000000"/>
                      <w:sz w:val="22"/>
                      <w:lang w:val="es-ES" w:eastAsia="zh-CN"/>
                    </w:rPr>
                  </w:pPr>
                  <w:r w:rsidRPr="00DA7BD8">
                    <w:rPr>
                      <w:rFonts w:asciiTheme="minorHAnsi" w:eastAsia="SimSun" w:hAnsiTheme="minorHAnsi"/>
                      <w:b/>
                      <w:color w:val="000000"/>
                      <w:sz w:val="22"/>
                      <w:lang w:val="es-ES"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845" w:rsidRPr="00DA7BD8" w:rsidRDefault="00F66845" w:rsidP="005579E2">
                  <w:pPr>
                    <w:keepNext/>
                    <w:keepLines/>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rPr>
                      <w:rFonts w:asciiTheme="minorHAnsi" w:eastAsia="SimSun" w:hAnsiTheme="minorHAnsi" w:cs="Arial"/>
                      <w:b/>
                      <w:color w:val="000000"/>
                      <w:sz w:val="22"/>
                      <w:lang w:val="es-ES" w:eastAsia="zh-CN"/>
                    </w:rPr>
                  </w:pPr>
                  <w:r w:rsidRPr="00DA7BD8">
                    <w:rPr>
                      <w:rFonts w:asciiTheme="minorHAnsi" w:eastAsia="SimSun" w:hAnsiTheme="minorHAnsi" w:cs="Arial"/>
                      <w:b/>
                      <w:color w:val="000000"/>
                      <w:sz w:val="22"/>
                      <w:lang w:val="es-ES" w:eastAsia="zh-CN"/>
                    </w:rPr>
                    <w:t>Idioma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F66845" w:rsidRPr="00DA7BD8" w:rsidRDefault="00F66845" w:rsidP="005579E2">
                  <w:pPr>
                    <w:keepNext/>
                    <w:keepLines/>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rPr>
                      <w:rFonts w:asciiTheme="minorHAnsi" w:eastAsia="SimSun" w:hAnsiTheme="minorHAnsi" w:cs="Arial"/>
                      <w:b/>
                      <w:color w:val="000000"/>
                      <w:sz w:val="22"/>
                      <w:lang w:val="es-ES" w:eastAsia="zh-CN"/>
                    </w:rPr>
                  </w:pPr>
                  <w:r w:rsidRPr="00DA7BD8">
                    <w:rPr>
                      <w:rFonts w:asciiTheme="minorHAnsi" w:eastAsia="SimSun" w:hAnsiTheme="minorHAnsi" w:cs="Arial"/>
                      <w:b/>
                      <w:color w:val="000000"/>
                      <w:sz w:val="22"/>
                      <w:lang w:val="es-ES" w:eastAsia="zh-CN"/>
                    </w:rPr>
                    <w:t>Página – disposición</w:t>
                  </w:r>
                </w:p>
              </w:tc>
              <w:tc>
                <w:tcPr>
                  <w:tcW w:w="2263" w:type="dxa"/>
                  <w:tcBorders>
                    <w:top w:val="single" w:sz="4" w:space="0" w:color="auto"/>
                    <w:left w:val="single" w:sz="4" w:space="0" w:color="auto"/>
                    <w:bottom w:val="single" w:sz="4" w:space="0" w:color="auto"/>
                    <w:right w:val="single" w:sz="4" w:space="0" w:color="auto"/>
                  </w:tcBorders>
                  <w:vAlign w:val="center"/>
                  <w:hideMark/>
                </w:tcPr>
                <w:p w:rsidR="00F66845" w:rsidRPr="00DA7BD8" w:rsidRDefault="00F66845" w:rsidP="005579E2">
                  <w:pPr>
                    <w:keepNext/>
                    <w:keepLines/>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rPr>
                      <w:rFonts w:asciiTheme="minorHAnsi" w:eastAsia="SimSun" w:hAnsiTheme="minorHAnsi" w:cs="Arial"/>
                      <w:b/>
                      <w:color w:val="000000"/>
                      <w:sz w:val="22"/>
                      <w:lang w:val="es-ES" w:eastAsia="zh-CN"/>
                    </w:rPr>
                  </w:pPr>
                  <w:r w:rsidRPr="00DA7BD8">
                    <w:rPr>
                      <w:rFonts w:asciiTheme="minorHAnsi" w:eastAsia="SimSun" w:hAnsiTheme="minorHAnsi" w:cs="Arial"/>
                      <w:b/>
                      <w:color w:val="000000"/>
                      <w:sz w:val="22"/>
                      <w:lang w:val="es-ES" w:eastAsia="zh-CN"/>
                    </w:rPr>
                    <w:t>Naturaleza de la incoherencia</w:t>
                  </w:r>
                </w:p>
              </w:tc>
              <w:tc>
                <w:tcPr>
                  <w:tcW w:w="3544" w:type="dxa"/>
                  <w:tcBorders>
                    <w:top w:val="single" w:sz="4" w:space="0" w:color="auto"/>
                    <w:left w:val="single" w:sz="4" w:space="0" w:color="auto"/>
                    <w:bottom w:val="single" w:sz="4" w:space="0" w:color="auto"/>
                    <w:right w:val="single" w:sz="4" w:space="0" w:color="auto"/>
                  </w:tcBorders>
                  <w:vAlign w:val="center"/>
                  <w:hideMark/>
                </w:tcPr>
                <w:p w:rsidR="00F66845" w:rsidRPr="00DA7BD8" w:rsidRDefault="00F66845" w:rsidP="005579E2">
                  <w:pPr>
                    <w:keepNext/>
                    <w:keepLines/>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rPr>
                      <w:rFonts w:asciiTheme="minorHAnsi" w:eastAsia="SimSun" w:hAnsiTheme="minorHAnsi" w:cs="Arial"/>
                      <w:b/>
                      <w:color w:val="000000"/>
                      <w:sz w:val="22"/>
                      <w:lang w:val="es-ES" w:eastAsia="zh-CN"/>
                    </w:rPr>
                  </w:pPr>
                  <w:r w:rsidRPr="00DA7BD8">
                    <w:rPr>
                      <w:rFonts w:asciiTheme="minorHAnsi" w:eastAsia="SimSun" w:hAnsiTheme="minorHAnsi" w:cs="Arial"/>
                      <w:b/>
                      <w:color w:val="000000"/>
                      <w:sz w:val="22"/>
                      <w:lang w:val="es-ES" w:eastAsia="zh-CN"/>
                    </w:rPr>
                    <w:t>Posible corrección</w:t>
                  </w:r>
                </w:p>
              </w:tc>
            </w:tr>
            <w:tr w:rsidR="00F66845" w:rsidRPr="00DA7BD8" w:rsidTr="008B27D9">
              <w:trPr>
                <w:cantSplit/>
                <w:jc w:val="cent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845" w:rsidRPr="00DA7BD8" w:rsidRDefault="00F66845" w:rsidP="005579E2">
                  <w:pPr>
                    <w:keepNext/>
                    <w:keepLines/>
                    <w:tabs>
                      <w:tab w:val="clear" w:pos="794"/>
                      <w:tab w:val="clear" w:pos="1191"/>
                      <w:tab w:val="clear" w:pos="1588"/>
                      <w:tab w:val="clear" w:pos="1985"/>
                    </w:tabs>
                    <w:overflowPunct/>
                    <w:autoSpaceDE/>
                    <w:autoSpaceDN/>
                    <w:adjustRightInd/>
                    <w:spacing w:before="80" w:after="160" w:line="240" w:lineRule="auto"/>
                    <w:jc w:val="center"/>
                    <w:textAlignment w:val="auto"/>
                    <w:rPr>
                      <w:rFonts w:asciiTheme="minorHAnsi" w:eastAsia="SimSun" w:hAnsiTheme="minorHAnsi" w:cs="Arial"/>
                      <w:bCs/>
                      <w:color w:val="000000"/>
                      <w:sz w:val="22"/>
                      <w:lang w:val="es-ES" w:eastAsia="zh-CN"/>
                    </w:rPr>
                  </w:pPr>
                  <w:r w:rsidRPr="00DA7BD8">
                    <w:rPr>
                      <w:rFonts w:asciiTheme="minorHAnsi" w:eastAsia="SimSun" w:hAnsiTheme="minorHAnsi" w:cs="Arial"/>
                      <w:bCs/>
                      <w:color w:val="000000"/>
                      <w:sz w:val="22"/>
                      <w:lang w:val="es-ES" w:eastAsia="zh-CN"/>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66845" w:rsidRPr="00DA7BD8" w:rsidRDefault="00F66845" w:rsidP="005579E2">
                  <w:pPr>
                    <w:keepNext/>
                    <w:keepLines/>
                    <w:tabs>
                      <w:tab w:val="clear" w:pos="794"/>
                      <w:tab w:val="clear" w:pos="1191"/>
                      <w:tab w:val="clear" w:pos="1588"/>
                      <w:tab w:val="clear" w:pos="1985"/>
                    </w:tabs>
                    <w:overflowPunct/>
                    <w:autoSpaceDE/>
                    <w:autoSpaceDN/>
                    <w:adjustRightInd/>
                    <w:spacing w:before="80" w:after="160" w:line="240" w:lineRule="auto"/>
                    <w:textAlignment w:val="auto"/>
                    <w:rPr>
                      <w:rFonts w:asciiTheme="minorHAnsi" w:eastAsia="SimSun" w:hAnsiTheme="minorHAnsi" w:cs="Arial"/>
                      <w:color w:val="000000"/>
                      <w:sz w:val="22"/>
                      <w:lang w:val="es-ES" w:eastAsia="zh-CN"/>
                    </w:rPr>
                  </w:pPr>
                </w:p>
              </w:tc>
              <w:tc>
                <w:tcPr>
                  <w:tcW w:w="1560" w:type="dxa"/>
                  <w:tcBorders>
                    <w:top w:val="single" w:sz="4" w:space="0" w:color="auto"/>
                    <w:left w:val="single" w:sz="4" w:space="0" w:color="auto"/>
                    <w:bottom w:val="single" w:sz="4" w:space="0" w:color="auto"/>
                    <w:right w:val="single" w:sz="4" w:space="0" w:color="auto"/>
                  </w:tcBorders>
                  <w:hideMark/>
                </w:tcPr>
                <w:p w:rsidR="00F66845" w:rsidRPr="00DA7BD8" w:rsidRDefault="00F66845" w:rsidP="005579E2">
                  <w:pPr>
                    <w:keepNext/>
                    <w:keepLines/>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rPr>
                      <w:rFonts w:asciiTheme="minorHAnsi" w:eastAsia="SimSun" w:hAnsiTheme="minorHAnsi" w:cs="Arial"/>
                      <w:b/>
                      <w:color w:val="000000"/>
                      <w:sz w:val="22"/>
                      <w:lang w:val="es-ES" w:eastAsia="zh-CN"/>
                    </w:rPr>
                  </w:pPr>
                  <w:r w:rsidRPr="00DA7BD8">
                    <w:rPr>
                      <w:rFonts w:asciiTheme="minorHAnsi" w:eastAsia="SimSun" w:hAnsiTheme="minorHAnsi" w:cs="Arial"/>
                      <w:b/>
                      <w:color w:val="000000"/>
                      <w:sz w:val="22"/>
                      <w:lang w:val="es-ES" w:eastAsia="zh-CN"/>
                    </w:rPr>
                    <w:t>Volumen 1</w:t>
                  </w:r>
                </w:p>
              </w:tc>
              <w:tc>
                <w:tcPr>
                  <w:tcW w:w="2263" w:type="dxa"/>
                  <w:tcBorders>
                    <w:top w:val="single" w:sz="4" w:space="0" w:color="auto"/>
                    <w:left w:val="single" w:sz="4" w:space="0" w:color="auto"/>
                    <w:bottom w:val="single" w:sz="4" w:space="0" w:color="auto"/>
                    <w:right w:val="single" w:sz="4" w:space="0" w:color="auto"/>
                  </w:tcBorders>
                  <w:hideMark/>
                </w:tcPr>
                <w:p w:rsidR="00F66845" w:rsidRPr="00DA7BD8" w:rsidRDefault="00F66845" w:rsidP="005579E2">
                  <w:pPr>
                    <w:keepNext/>
                    <w:keepLines/>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rPr>
                      <w:rFonts w:asciiTheme="minorHAnsi" w:eastAsia="SimSun" w:hAnsiTheme="minorHAnsi" w:cs="Arial"/>
                      <w:b/>
                      <w:color w:val="000000"/>
                      <w:sz w:val="22"/>
                      <w:lang w:val="es-ES" w:eastAsia="zh-CN"/>
                    </w:rPr>
                  </w:pPr>
                  <w:r w:rsidRPr="00DA7BD8">
                    <w:rPr>
                      <w:rFonts w:asciiTheme="minorHAnsi" w:eastAsia="SimSun" w:hAnsiTheme="minorHAnsi" w:cs="Arial"/>
                      <w:b/>
                      <w:color w:val="000000"/>
                      <w:sz w:val="22"/>
                      <w:lang w:val="es-ES" w:eastAsia="zh-CN"/>
                    </w:rPr>
                    <w:t>Artículo 11</w:t>
                  </w:r>
                </w:p>
              </w:tc>
              <w:tc>
                <w:tcPr>
                  <w:tcW w:w="3544" w:type="dxa"/>
                  <w:tcBorders>
                    <w:top w:val="single" w:sz="4" w:space="0" w:color="auto"/>
                    <w:left w:val="single" w:sz="4" w:space="0" w:color="auto"/>
                    <w:bottom w:val="single" w:sz="4" w:space="0" w:color="auto"/>
                    <w:right w:val="single" w:sz="4" w:space="0" w:color="auto"/>
                  </w:tcBorders>
                  <w:hideMark/>
                </w:tcPr>
                <w:p w:rsidR="00F66845" w:rsidRPr="00DA7BD8" w:rsidRDefault="00F66845" w:rsidP="005579E2">
                  <w:pPr>
                    <w:keepNext/>
                    <w:keepLines/>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rPr>
                      <w:rFonts w:asciiTheme="minorHAnsi" w:eastAsia="SimSun" w:hAnsiTheme="minorHAnsi" w:cs="Arial"/>
                      <w:b/>
                      <w:color w:val="000000"/>
                      <w:sz w:val="22"/>
                      <w:lang w:val="es-ES" w:eastAsia="zh-CN"/>
                    </w:rPr>
                  </w:pPr>
                  <w:r w:rsidRPr="00DA7BD8">
                    <w:rPr>
                      <w:rFonts w:asciiTheme="minorHAnsi" w:eastAsia="SimSun" w:hAnsiTheme="minorHAnsi" w:cs="Arial"/>
                      <w:b/>
                      <w:color w:val="000000"/>
                      <w:sz w:val="22"/>
                      <w:lang w:val="es-ES" w:eastAsia="zh-CN"/>
                    </w:rPr>
                    <w:t>Artículo 11</w:t>
                  </w:r>
                </w:p>
              </w:tc>
            </w:tr>
            <w:tr w:rsidR="00F66845" w:rsidRPr="005579E2" w:rsidTr="008B27D9">
              <w:trPr>
                <w:cantSplit/>
                <w:jc w:val="center"/>
              </w:trPr>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66845" w:rsidRPr="00DA7BD8" w:rsidRDefault="00F66845" w:rsidP="005579E2">
                  <w:pPr>
                    <w:keepNext/>
                    <w:keepLines/>
                    <w:tabs>
                      <w:tab w:val="clear" w:pos="794"/>
                      <w:tab w:val="clear" w:pos="1191"/>
                      <w:tab w:val="clear" w:pos="1588"/>
                      <w:tab w:val="clear" w:pos="1985"/>
                    </w:tabs>
                    <w:overflowPunct/>
                    <w:autoSpaceDE/>
                    <w:autoSpaceDN/>
                    <w:adjustRightInd/>
                    <w:spacing w:before="80" w:after="40" w:line="240" w:lineRule="auto"/>
                    <w:jc w:val="center"/>
                    <w:textAlignment w:val="auto"/>
                    <w:rPr>
                      <w:rFonts w:asciiTheme="minorHAnsi" w:eastAsia="SimSun" w:hAnsiTheme="minorHAnsi" w:cs="Arial"/>
                      <w:bCs/>
                      <w:color w:val="000000"/>
                      <w:sz w:val="22"/>
                      <w:lang w:val="es-ES" w:eastAsia="zh-CN"/>
                    </w:rPr>
                  </w:pPr>
                  <w:r w:rsidRPr="00DA7BD8">
                    <w:rPr>
                      <w:rFonts w:asciiTheme="minorHAnsi" w:eastAsia="SimSun" w:hAnsiTheme="minorHAnsi" w:cs="Arial"/>
                      <w:bCs/>
                      <w:color w:val="000000"/>
                      <w:sz w:val="22"/>
                      <w:lang w:val="es-ES" w:eastAsia="zh-CN"/>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66845" w:rsidRPr="00DA7BD8" w:rsidRDefault="00F66845" w:rsidP="005579E2">
                  <w:pPr>
                    <w:keepNext/>
                    <w:keepLines/>
                    <w:tabs>
                      <w:tab w:val="clear" w:pos="794"/>
                      <w:tab w:val="clear" w:pos="1191"/>
                      <w:tab w:val="clear" w:pos="1588"/>
                      <w:tab w:val="clear" w:pos="1985"/>
                    </w:tabs>
                    <w:overflowPunct/>
                    <w:autoSpaceDE/>
                    <w:autoSpaceDN/>
                    <w:adjustRightInd/>
                    <w:spacing w:before="80" w:after="40" w:line="240" w:lineRule="auto"/>
                    <w:jc w:val="center"/>
                    <w:textAlignment w:val="auto"/>
                    <w:rPr>
                      <w:rFonts w:asciiTheme="minorHAnsi" w:eastAsia="SimSun" w:hAnsiTheme="minorHAnsi" w:cs="Arial"/>
                      <w:color w:val="000000"/>
                      <w:sz w:val="22"/>
                      <w:lang w:val="es-ES" w:eastAsia="zh-CN"/>
                    </w:rPr>
                  </w:pPr>
                  <w:r w:rsidRPr="00DA7BD8">
                    <w:rPr>
                      <w:rFonts w:asciiTheme="minorHAnsi" w:eastAsia="SimSun" w:hAnsiTheme="minorHAnsi" w:cs="Arial"/>
                      <w:color w:val="000000"/>
                      <w:sz w:val="22"/>
                      <w:lang w:val="es-ES" w:eastAsia="zh-CN"/>
                    </w:rPr>
                    <w:t>Todos</w:t>
                  </w:r>
                </w:p>
              </w:tc>
              <w:tc>
                <w:tcPr>
                  <w:tcW w:w="1560" w:type="dxa"/>
                  <w:tcBorders>
                    <w:top w:val="single" w:sz="4" w:space="0" w:color="auto"/>
                    <w:left w:val="single" w:sz="4" w:space="0" w:color="auto"/>
                    <w:bottom w:val="single" w:sz="4" w:space="0" w:color="auto"/>
                    <w:right w:val="single" w:sz="4" w:space="0" w:color="auto"/>
                  </w:tcBorders>
                  <w:hideMark/>
                </w:tcPr>
                <w:p w:rsidR="00F66845" w:rsidRPr="00DA7BD8" w:rsidRDefault="00F66845" w:rsidP="005579E2">
                  <w:pPr>
                    <w:keepNext/>
                    <w:keepLines/>
                    <w:tabs>
                      <w:tab w:val="clear" w:pos="794"/>
                      <w:tab w:val="clear" w:pos="1191"/>
                      <w:tab w:val="clear" w:pos="1588"/>
                      <w:tab w:val="clear" w:pos="1985"/>
                    </w:tabs>
                    <w:overflowPunct/>
                    <w:autoSpaceDE/>
                    <w:autoSpaceDN/>
                    <w:adjustRightInd/>
                    <w:spacing w:before="80" w:after="40" w:line="240" w:lineRule="auto"/>
                    <w:jc w:val="center"/>
                    <w:textAlignment w:val="auto"/>
                    <w:rPr>
                      <w:rFonts w:asciiTheme="minorHAnsi" w:eastAsia="SimSun" w:hAnsiTheme="minorHAnsi" w:cs="Arial"/>
                      <w:color w:val="000000"/>
                      <w:sz w:val="22"/>
                      <w:lang w:val="es-ES" w:eastAsia="zh-CN"/>
                    </w:rPr>
                  </w:pPr>
                  <w:r w:rsidRPr="00DA7BD8">
                    <w:rPr>
                      <w:rFonts w:asciiTheme="minorHAnsi" w:eastAsia="SimSun" w:hAnsiTheme="minorHAnsi" w:cs="Arial"/>
                      <w:color w:val="000000"/>
                      <w:sz w:val="22"/>
                      <w:lang w:val="es-ES" w:eastAsia="zh-CN"/>
                    </w:rPr>
                    <w:t>210</w:t>
                  </w:r>
                </w:p>
              </w:tc>
              <w:tc>
                <w:tcPr>
                  <w:tcW w:w="2263" w:type="dxa"/>
                  <w:tcBorders>
                    <w:top w:val="single" w:sz="4" w:space="0" w:color="auto"/>
                    <w:left w:val="single" w:sz="4" w:space="0" w:color="auto"/>
                    <w:bottom w:val="single" w:sz="4" w:space="0" w:color="auto"/>
                    <w:right w:val="single" w:sz="4" w:space="0" w:color="auto"/>
                  </w:tcBorders>
                  <w:hideMark/>
                </w:tcPr>
                <w:p w:rsidR="00F66845" w:rsidRPr="00DA7BD8" w:rsidRDefault="00F66845" w:rsidP="005579E2">
                  <w:pPr>
                    <w:keepNext/>
                    <w:keepLines/>
                    <w:tabs>
                      <w:tab w:val="clear" w:pos="794"/>
                      <w:tab w:val="clear" w:pos="1191"/>
                      <w:tab w:val="clear" w:pos="1588"/>
                      <w:tab w:val="clear" w:pos="1985"/>
                    </w:tabs>
                    <w:overflowPunct/>
                    <w:autoSpaceDE/>
                    <w:autoSpaceDN/>
                    <w:adjustRightInd/>
                    <w:spacing w:before="80" w:after="40" w:line="240" w:lineRule="auto"/>
                    <w:textAlignment w:val="auto"/>
                    <w:rPr>
                      <w:rFonts w:asciiTheme="minorHAnsi" w:eastAsia="SimSun" w:hAnsiTheme="minorHAnsi" w:cs="Arial"/>
                      <w:b/>
                      <w:bCs/>
                      <w:color w:val="000000"/>
                      <w:sz w:val="22"/>
                      <w:lang w:val="es-ES" w:eastAsia="zh-CN"/>
                    </w:rPr>
                  </w:pPr>
                  <w:r w:rsidRPr="00DA7BD8">
                    <w:rPr>
                      <w:rFonts w:asciiTheme="minorHAnsi" w:eastAsia="SimSun" w:hAnsiTheme="minorHAnsi" w:cs="Arial"/>
                      <w:b/>
                      <w:bCs/>
                      <w:color w:val="000000"/>
                      <w:sz w:val="22"/>
                      <w:lang w:val="es-ES" w:eastAsia="zh-CN"/>
                    </w:rPr>
                    <w:t>11.48</w:t>
                  </w:r>
                </w:p>
              </w:tc>
              <w:tc>
                <w:tcPr>
                  <w:tcW w:w="3544" w:type="dxa"/>
                  <w:tcBorders>
                    <w:top w:val="single" w:sz="4" w:space="0" w:color="auto"/>
                    <w:left w:val="single" w:sz="4" w:space="0" w:color="auto"/>
                    <w:bottom w:val="single" w:sz="4" w:space="0" w:color="auto"/>
                    <w:right w:val="single" w:sz="4" w:space="0" w:color="auto"/>
                  </w:tcBorders>
                  <w:hideMark/>
                </w:tcPr>
                <w:p w:rsidR="00F66845" w:rsidRPr="00DA7BD8" w:rsidRDefault="00F66845" w:rsidP="005579E2">
                  <w:pPr>
                    <w:keepNext/>
                    <w:keepLines/>
                    <w:tabs>
                      <w:tab w:val="clear" w:pos="794"/>
                      <w:tab w:val="clear" w:pos="1191"/>
                      <w:tab w:val="clear" w:pos="1588"/>
                      <w:tab w:val="clear" w:pos="1985"/>
                    </w:tabs>
                    <w:overflowPunct/>
                    <w:autoSpaceDE/>
                    <w:autoSpaceDN/>
                    <w:adjustRightInd/>
                    <w:spacing w:before="80" w:after="40" w:line="240" w:lineRule="auto"/>
                    <w:textAlignment w:val="auto"/>
                    <w:rPr>
                      <w:rFonts w:asciiTheme="minorHAnsi" w:eastAsia="SimSun" w:hAnsiTheme="minorHAnsi" w:cs="Arial"/>
                      <w:color w:val="000000"/>
                      <w:sz w:val="22"/>
                      <w:lang w:val="es-ES" w:eastAsia="zh-CN"/>
                    </w:rPr>
                  </w:pPr>
                  <w:r w:rsidRPr="00DA7BD8">
                    <w:rPr>
                      <w:rFonts w:asciiTheme="minorHAnsi" w:eastAsia="SimSun" w:hAnsiTheme="minorHAnsi" w:cs="Arial"/>
                      <w:color w:val="000000"/>
                      <w:sz w:val="22"/>
                      <w:lang w:val="es-ES" w:eastAsia="zh-CN"/>
                    </w:rPr>
                    <w:t>Incoherencia entre el número 11.48 y el § 8 del Anexo 1 a la Resolución 552. Debe añadirse al número 11.48 30 días después de 7 años</w:t>
                  </w:r>
                </w:p>
              </w:tc>
            </w:tr>
          </w:tbl>
          <w:p w:rsidR="00F66845" w:rsidRPr="00DA7BD8" w:rsidRDefault="00F66845" w:rsidP="005579E2">
            <w:pPr>
              <w:tabs>
                <w:tab w:val="clear" w:pos="794"/>
                <w:tab w:val="clear" w:pos="1191"/>
                <w:tab w:val="clear" w:pos="1588"/>
                <w:tab w:val="clear" w:pos="1985"/>
                <w:tab w:val="left" w:pos="1134"/>
              </w:tabs>
              <w:overflowPunct/>
              <w:autoSpaceDE/>
              <w:autoSpaceDN/>
              <w:adjustRightInd/>
              <w:spacing w:before="80" w:line="240" w:lineRule="auto"/>
              <w:textAlignment w:val="auto"/>
              <w:rPr>
                <w:rFonts w:asciiTheme="minorHAnsi" w:hAnsiTheme="minorHAnsi"/>
                <w:bCs/>
                <w:color w:val="000000"/>
                <w:sz w:val="22"/>
                <w:lang w:val="es-ES" w:eastAsia="zh-CN"/>
              </w:rPr>
            </w:pPr>
          </w:p>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color w:val="000000"/>
                <w:sz w:val="22"/>
                <w:lang w:val="es-ES" w:eastAsia="zh-CN"/>
              </w:rPr>
              <w:t>La CMR-15 tomó nota de la incoherencia entre el número 11.48 del RR y el § 8 del Anexo 1 a la Resolución 552 (CMR</w:t>
            </w:r>
            <w:r w:rsidR="00D44CDF">
              <w:rPr>
                <w:rFonts w:asciiTheme="minorHAnsi" w:hAnsiTheme="minorHAnsi"/>
                <w:color w:val="000000"/>
                <w:sz w:val="22"/>
                <w:lang w:val="es-ES" w:eastAsia="zh-CN"/>
              </w:rPr>
              <w:noBreakHyphen/>
            </w:r>
            <w:r w:rsidRPr="00DA7BD8">
              <w:rPr>
                <w:rFonts w:asciiTheme="minorHAnsi" w:hAnsiTheme="minorHAnsi"/>
                <w:color w:val="000000"/>
                <w:sz w:val="22"/>
                <w:lang w:val="es-ES" w:eastAsia="zh-CN"/>
              </w:rPr>
              <w:t xml:space="preserve">12) </w:t>
            </w:r>
            <w:r w:rsidRPr="00DA7BD8">
              <w:rPr>
                <w:rFonts w:asciiTheme="minorHAnsi" w:hAnsiTheme="minorHAnsi"/>
                <w:b/>
                <w:bCs/>
                <w:color w:val="000000"/>
                <w:sz w:val="22"/>
                <w:lang w:val="es-ES" w:eastAsia="zh-CN"/>
              </w:rPr>
              <w:t>y confirmó</w:t>
            </w:r>
            <w:r w:rsidRPr="00DA7BD8">
              <w:rPr>
                <w:rFonts w:asciiTheme="minorHAnsi" w:hAnsiTheme="minorHAnsi"/>
                <w:color w:val="000000"/>
                <w:sz w:val="22"/>
                <w:lang w:val="es-ES" w:eastAsia="zh-CN"/>
              </w:rPr>
              <w:t xml:space="preserve"> que su interpretación era que la Oficina procederá a anular las asignaciones de frecuencia de las redes de satélites que funcionan en la banda 21,4-22 GHz si transcurridos 30 días desde el final de periodo de siete años contados a partir de la fecha de recepción por la Oficina de la información completa pertinente en virtud de los número</w:t>
            </w:r>
            <w:r w:rsidR="00D44CDF">
              <w:rPr>
                <w:rFonts w:asciiTheme="minorHAnsi" w:hAnsiTheme="minorHAnsi"/>
                <w:color w:val="000000"/>
                <w:sz w:val="22"/>
                <w:lang w:val="es-ES" w:eastAsia="zh-CN"/>
              </w:rPr>
              <w:t>s</w:t>
            </w:r>
            <w:r w:rsidRPr="00DA7BD8">
              <w:rPr>
                <w:rFonts w:asciiTheme="minorHAnsi" w:hAnsiTheme="minorHAnsi"/>
                <w:color w:val="000000"/>
                <w:sz w:val="22"/>
                <w:lang w:val="es-ES" w:eastAsia="zh-CN"/>
              </w:rPr>
              <w:t xml:space="preserve"> 9.1 ó 9.2 del RR, según el caso, y una vez finalizado el periodo de tres años contados desde la fecha de suspensión de conformidad con el número 11.49 del RR. </w:t>
            </w:r>
          </w:p>
          <w:p w:rsidR="00F66845" w:rsidRPr="00DA7BD8" w:rsidRDefault="00F66845" w:rsidP="00972257">
            <w:pPr>
              <w:keepNext/>
              <w:tabs>
                <w:tab w:val="clear" w:pos="794"/>
                <w:tab w:val="clear" w:pos="1191"/>
                <w:tab w:val="clear" w:pos="1588"/>
                <w:tab w:val="clear" w:pos="1985"/>
              </w:tabs>
              <w:overflowPunct/>
              <w:autoSpaceDE/>
              <w:autoSpaceDN/>
              <w:adjustRightInd/>
              <w:spacing w:before="120" w:after="80" w:line="240" w:lineRule="auto"/>
              <w:ind w:left="794" w:hanging="794"/>
              <w:textAlignment w:val="auto"/>
              <w:outlineLvl w:val="1"/>
              <w:rPr>
                <w:rFonts w:asciiTheme="minorHAnsi" w:hAnsiTheme="minorHAnsi"/>
                <w:b/>
                <w:color w:val="000000"/>
                <w:sz w:val="22"/>
                <w:lang w:val="es-ES" w:eastAsia="zh-CN"/>
              </w:rPr>
            </w:pPr>
            <w:r w:rsidRPr="00DA7BD8">
              <w:rPr>
                <w:rFonts w:asciiTheme="minorHAnsi" w:hAnsiTheme="minorHAnsi"/>
                <w:b/>
                <w:bCs/>
                <w:color w:val="000000"/>
                <w:sz w:val="22"/>
                <w:lang w:val="es-ES" w:eastAsia="zh-CN"/>
              </w:rPr>
              <w:lastRenderedPageBreak/>
              <w:t>3.2</w:t>
            </w:r>
            <w:r w:rsidRPr="00DA7BD8">
              <w:rPr>
                <w:rFonts w:asciiTheme="minorHAnsi" w:hAnsiTheme="minorHAnsi"/>
                <w:b/>
                <w:color w:val="000000"/>
                <w:sz w:val="22"/>
                <w:lang w:val="es-ES" w:eastAsia="zh-CN"/>
              </w:rPr>
              <w:tab/>
              <w:t>Observaciones relativas a la coordinación, la notificación y la inscripción de las asignaciones de frecuencias a los servicios aeronáuticos, los Apéndices y las Resoluciones</w:t>
            </w:r>
          </w:p>
          <w:p w:rsidR="00F66845" w:rsidRPr="00DA7BD8" w:rsidRDefault="00F66845" w:rsidP="00972257">
            <w:pPr>
              <w:keepNext/>
              <w:tabs>
                <w:tab w:val="clear" w:pos="794"/>
                <w:tab w:val="clear" w:pos="1191"/>
                <w:tab w:val="clear" w:pos="1588"/>
                <w:tab w:val="clear" w:pos="1985"/>
              </w:tabs>
              <w:overflowPunct/>
              <w:autoSpaceDE/>
              <w:autoSpaceDN/>
              <w:adjustRightInd/>
              <w:spacing w:before="120" w:after="80" w:line="240" w:lineRule="auto"/>
              <w:ind w:left="794" w:hanging="794"/>
              <w:textAlignment w:val="auto"/>
              <w:outlineLvl w:val="2"/>
              <w:rPr>
                <w:rFonts w:asciiTheme="minorHAnsi" w:hAnsiTheme="minorHAnsi"/>
                <w:b/>
                <w:color w:val="000000"/>
                <w:sz w:val="22"/>
                <w:lang w:val="es-ES" w:eastAsia="zh-CN"/>
              </w:rPr>
            </w:pPr>
            <w:r w:rsidRPr="00DA7BD8">
              <w:rPr>
                <w:rFonts w:asciiTheme="minorHAnsi" w:hAnsiTheme="minorHAnsi"/>
                <w:b/>
                <w:color w:val="000000"/>
                <w:sz w:val="22"/>
                <w:lang w:val="es-ES" w:eastAsia="zh-CN"/>
              </w:rPr>
              <w:t>3.2.2</w:t>
            </w:r>
            <w:r w:rsidRPr="00DA7BD8">
              <w:rPr>
                <w:rFonts w:asciiTheme="minorHAnsi" w:hAnsiTheme="minorHAnsi"/>
                <w:b/>
                <w:color w:val="000000"/>
                <w:sz w:val="22"/>
                <w:lang w:val="es-ES" w:eastAsia="zh-CN"/>
              </w:rPr>
              <w:tab/>
              <w:t>Artículo 9 del Reglamento de Radiocomunicaciones</w:t>
            </w:r>
          </w:p>
          <w:p w:rsidR="00F66845" w:rsidRPr="00DA7BD8" w:rsidRDefault="00F66845" w:rsidP="00972257">
            <w:pPr>
              <w:keepNext/>
              <w:tabs>
                <w:tab w:val="clear" w:pos="794"/>
                <w:tab w:val="clear" w:pos="1191"/>
                <w:tab w:val="clear" w:pos="1588"/>
                <w:tab w:val="clear" w:pos="1985"/>
                <w:tab w:val="left" w:pos="1021"/>
              </w:tabs>
              <w:overflowPunct/>
              <w:autoSpaceDE/>
              <w:autoSpaceDN/>
              <w:adjustRightInd/>
              <w:spacing w:before="120" w:after="80" w:line="240" w:lineRule="auto"/>
              <w:ind w:left="1021" w:hanging="1021"/>
              <w:textAlignment w:val="auto"/>
              <w:outlineLvl w:val="4"/>
              <w:rPr>
                <w:rFonts w:asciiTheme="minorHAnsi" w:hAnsiTheme="minorHAnsi"/>
                <w:b/>
                <w:color w:val="000000"/>
                <w:sz w:val="22"/>
                <w:lang w:val="es-ES" w:eastAsia="zh-CN"/>
              </w:rPr>
            </w:pPr>
            <w:r w:rsidRPr="00DA7BD8">
              <w:rPr>
                <w:rFonts w:asciiTheme="minorHAnsi" w:hAnsiTheme="minorHAnsi"/>
                <w:b/>
                <w:color w:val="000000"/>
                <w:sz w:val="22"/>
                <w:lang w:val="es-ES" w:eastAsia="zh-CN"/>
              </w:rPr>
              <w:t>3.2.2.4.1</w:t>
            </w:r>
            <w:r w:rsidRPr="00DA7BD8">
              <w:rPr>
                <w:rFonts w:asciiTheme="minorHAnsi" w:hAnsiTheme="minorHAnsi"/>
                <w:b/>
                <w:color w:val="000000"/>
                <w:sz w:val="22"/>
                <w:lang w:val="es-ES" w:eastAsia="zh-CN"/>
              </w:rPr>
              <w:tab/>
              <w:t>Comunicación de solicitudes de coordinación relativas a sistemas de satélites no OSG</w:t>
            </w:r>
          </w:p>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b/>
                <w:color w:val="000000"/>
                <w:sz w:val="22"/>
                <w:lang w:val="es-ES" w:eastAsia="zh-CN"/>
              </w:rPr>
              <w:t xml:space="preserve">La CMR-15 hizo suya </w:t>
            </w:r>
            <w:r w:rsidRPr="00DA7BD8">
              <w:rPr>
                <w:rFonts w:asciiTheme="minorHAnsi" w:hAnsiTheme="minorHAnsi"/>
                <w:bCs/>
                <w:color w:val="000000"/>
                <w:sz w:val="22"/>
                <w:lang w:val="es-ES" w:eastAsia="zh-CN"/>
              </w:rPr>
              <w:t>la sugerencia del Director y recomendó a la RRB que elaborara una Regla de Procedimiento adecuada.</w:t>
            </w:r>
          </w:p>
          <w:p w:rsidR="00F66845" w:rsidRPr="00DA7BD8" w:rsidRDefault="00F66845" w:rsidP="00972257">
            <w:pPr>
              <w:keepNext/>
              <w:tabs>
                <w:tab w:val="clear" w:pos="794"/>
                <w:tab w:val="clear" w:pos="1191"/>
                <w:tab w:val="clear" w:pos="1588"/>
                <w:tab w:val="clear" w:pos="1985"/>
                <w:tab w:val="left" w:pos="1021"/>
              </w:tabs>
              <w:overflowPunct/>
              <w:autoSpaceDE/>
              <w:autoSpaceDN/>
              <w:adjustRightInd/>
              <w:spacing w:before="120" w:after="80" w:line="240" w:lineRule="auto"/>
              <w:ind w:left="1021" w:hanging="1021"/>
              <w:textAlignment w:val="auto"/>
              <w:outlineLvl w:val="4"/>
              <w:rPr>
                <w:rFonts w:asciiTheme="minorHAnsi" w:hAnsiTheme="minorHAnsi"/>
                <w:b/>
                <w:color w:val="000000"/>
                <w:sz w:val="22"/>
                <w:lang w:val="es-ES" w:eastAsia="zh-CN"/>
              </w:rPr>
            </w:pPr>
            <w:r w:rsidRPr="00DA7BD8">
              <w:rPr>
                <w:rFonts w:asciiTheme="minorHAnsi" w:hAnsiTheme="minorHAnsi"/>
                <w:b/>
                <w:color w:val="000000"/>
                <w:sz w:val="22"/>
                <w:lang w:val="es-ES" w:eastAsia="zh-CN"/>
              </w:rPr>
              <w:t>3.2.2.4.2</w:t>
            </w:r>
            <w:r w:rsidRPr="00DA7BD8">
              <w:rPr>
                <w:rFonts w:asciiTheme="minorHAnsi" w:hAnsiTheme="minorHAnsi"/>
                <w:b/>
                <w:color w:val="000000"/>
                <w:sz w:val="22"/>
                <w:lang w:val="es-ES" w:eastAsia="zh-CN"/>
              </w:rPr>
              <w:tab/>
              <w:t>Aplicación del Artículo 22 del Reglamento de Radiocomunicaciones para la protección de redes del SFS OSG y del SRS OSG contra los sistemas del SFS no OSG</w:t>
            </w:r>
          </w:p>
          <w:p w:rsidR="00842CE0"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color w:val="000000"/>
                <w:sz w:val="22"/>
                <w:lang w:val="es-ES" w:eastAsia="zh-CN"/>
              </w:rPr>
              <w:t>En los casos en que el programa informático no sea capaz de establecer el modelo de determinados sistemas del SFS no OSG, la Resolución 85 (CMR-03) seguirá aplicándose hasta que se haya acordado en el UIT-R una actualización de la Recomendación UIT</w:t>
            </w:r>
            <w:r w:rsidR="00842CE0">
              <w:rPr>
                <w:rFonts w:asciiTheme="minorHAnsi" w:hAnsiTheme="minorHAnsi"/>
                <w:color w:val="000000"/>
                <w:sz w:val="22"/>
                <w:lang w:val="es-ES" w:eastAsia="zh-CN"/>
              </w:rPr>
              <w:noBreakHyphen/>
            </w:r>
            <w:r w:rsidRPr="00DA7BD8">
              <w:rPr>
                <w:rFonts w:asciiTheme="minorHAnsi" w:hAnsiTheme="minorHAnsi"/>
                <w:color w:val="000000"/>
                <w:sz w:val="22"/>
                <w:lang w:val="es-ES" w:eastAsia="zh-CN"/>
              </w:rPr>
              <w:t>R S.1503 que mejore la modelización de dichos sistemas no OSG y se haya aplicado en el programa informático de validación de dfpe. Eso no impediría a la Oficina proceder a verificar los sistemas del SFS no OSG para los que se pueda realizar una modelización con la versión existente del programa informático.</w:t>
            </w:r>
          </w:p>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color w:val="000000"/>
                <w:sz w:val="22"/>
                <w:lang w:val="es-ES" w:eastAsia="zh-CN"/>
              </w:rPr>
              <w:t>En el caso de que hubiera una actualización de la Recomendación UIT-R S.1503, habría que exigir en consecuencia una actualización del programa informático de verificación, lo que tendría consecuencias financieras y requeriría una financiación adicional. La Oficina estaría entonces en condiciones de completar la verificación del cumplimiento de los sistemas del SFS para las que no hubiera podido establecerse la modelización con el programa informático actual.</w:t>
            </w:r>
          </w:p>
          <w:p w:rsidR="00F66845" w:rsidRPr="00DA7BD8" w:rsidRDefault="00F66845" w:rsidP="00972257">
            <w:pPr>
              <w:keepNext/>
              <w:tabs>
                <w:tab w:val="clear" w:pos="794"/>
                <w:tab w:val="clear" w:pos="1191"/>
                <w:tab w:val="clear" w:pos="1588"/>
                <w:tab w:val="clear" w:pos="1985"/>
              </w:tabs>
              <w:overflowPunct/>
              <w:autoSpaceDE/>
              <w:autoSpaceDN/>
              <w:adjustRightInd/>
              <w:spacing w:before="120" w:after="80" w:line="240" w:lineRule="auto"/>
              <w:ind w:left="794" w:hanging="794"/>
              <w:textAlignment w:val="auto"/>
              <w:outlineLvl w:val="2"/>
              <w:rPr>
                <w:rFonts w:asciiTheme="minorHAnsi" w:hAnsiTheme="minorHAnsi"/>
                <w:b/>
                <w:color w:val="000000"/>
                <w:sz w:val="22"/>
                <w:lang w:val="es-ES" w:eastAsia="zh-CN"/>
              </w:rPr>
            </w:pPr>
            <w:r w:rsidRPr="00DA7BD8">
              <w:rPr>
                <w:rFonts w:asciiTheme="minorHAnsi" w:hAnsiTheme="minorHAnsi"/>
                <w:b/>
                <w:color w:val="000000"/>
                <w:sz w:val="22"/>
                <w:lang w:val="es-ES" w:eastAsia="zh-CN"/>
              </w:rPr>
              <w:t>3.2.3</w:t>
            </w:r>
            <w:r w:rsidRPr="00DA7BD8">
              <w:rPr>
                <w:rFonts w:asciiTheme="minorHAnsi" w:hAnsiTheme="minorHAnsi"/>
                <w:b/>
                <w:color w:val="000000"/>
                <w:sz w:val="22"/>
                <w:lang w:val="es-ES" w:eastAsia="zh-CN"/>
              </w:rPr>
              <w:tab/>
              <w:t>Artículo 11 del Reglamento de Radiocomunicaciones</w:t>
            </w:r>
          </w:p>
          <w:p w:rsidR="00F66845" w:rsidRPr="00DA7BD8" w:rsidRDefault="00F66845" w:rsidP="00972257">
            <w:pPr>
              <w:keepNext/>
              <w:tabs>
                <w:tab w:val="clear" w:pos="794"/>
                <w:tab w:val="clear" w:pos="1191"/>
                <w:tab w:val="clear" w:pos="1588"/>
                <w:tab w:val="clear" w:pos="1985"/>
                <w:tab w:val="left" w:pos="1021"/>
              </w:tabs>
              <w:overflowPunct/>
              <w:autoSpaceDE/>
              <w:autoSpaceDN/>
              <w:adjustRightInd/>
              <w:spacing w:before="120" w:after="80" w:line="240" w:lineRule="auto"/>
              <w:ind w:left="1021" w:hanging="1021"/>
              <w:textAlignment w:val="auto"/>
              <w:outlineLvl w:val="3"/>
              <w:rPr>
                <w:rFonts w:asciiTheme="minorHAnsi" w:hAnsiTheme="minorHAnsi"/>
                <w:b/>
                <w:color w:val="000000"/>
                <w:sz w:val="22"/>
                <w:lang w:val="es-ES" w:eastAsia="zh-CN"/>
              </w:rPr>
            </w:pPr>
            <w:r w:rsidRPr="00DA7BD8">
              <w:rPr>
                <w:rFonts w:asciiTheme="minorHAnsi" w:hAnsiTheme="minorHAnsi"/>
                <w:b/>
                <w:color w:val="000000"/>
                <w:sz w:val="22"/>
                <w:lang w:val="es-ES" w:eastAsia="zh-CN"/>
              </w:rPr>
              <w:t>3.2.3.2</w:t>
            </w:r>
            <w:r w:rsidRPr="00DA7BD8">
              <w:rPr>
                <w:rFonts w:asciiTheme="minorHAnsi" w:hAnsiTheme="minorHAnsi"/>
                <w:b/>
                <w:color w:val="000000"/>
                <w:sz w:val="22"/>
                <w:lang w:val="es-ES" w:eastAsia="zh-CN"/>
              </w:rPr>
              <w:tab/>
              <w:t>Objeción a un acuerdo de coordinación tras la publicación de la Parte I-S</w:t>
            </w:r>
          </w:p>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b/>
                <w:color w:val="000000"/>
                <w:sz w:val="22"/>
                <w:lang w:val="es-ES" w:eastAsia="zh-CN"/>
              </w:rPr>
              <w:t xml:space="preserve">La CMR-15 apoyó </w:t>
            </w:r>
            <w:r w:rsidRPr="00DA7BD8">
              <w:rPr>
                <w:rFonts w:asciiTheme="minorHAnsi" w:hAnsiTheme="minorHAnsi"/>
                <w:bCs/>
                <w:color w:val="000000"/>
                <w:sz w:val="22"/>
                <w:lang w:val="es-ES" w:eastAsia="zh-CN"/>
              </w:rPr>
              <w:t>la solución presentada en esta sección.</w:t>
            </w:r>
          </w:p>
          <w:p w:rsidR="00F66845" w:rsidRPr="00DA7BD8" w:rsidRDefault="00F66845" w:rsidP="00972257">
            <w:pPr>
              <w:keepNext/>
              <w:tabs>
                <w:tab w:val="clear" w:pos="794"/>
                <w:tab w:val="clear" w:pos="1191"/>
                <w:tab w:val="clear" w:pos="1588"/>
                <w:tab w:val="clear" w:pos="1985"/>
                <w:tab w:val="left" w:pos="1021"/>
              </w:tabs>
              <w:overflowPunct/>
              <w:autoSpaceDE/>
              <w:autoSpaceDN/>
              <w:adjustRightInd/>
              <w:spacing w:before="120" w:after="80" w:line="240" w:lineRule="auto"/>
              <w:ind w:left="1021" w:hanging="1021"/>
              <w:textAlignment w:val="auto"/>
              <w:outlineLvl w:val="3"/>
              <w:rPr>
                <w:rFonts w:asciiTheme="minorHAnsi" w:hAnsiTheme="minorHAnsi"/>
                <w:b/>
                <w:color w:val="000000"/>
                <w:sz w:val="22"/>
                <w:lang w:val="es-ES" w:eastAsia="zh-CN"/>
              </w:rPr>
            </w:pPr>
            <w:r w:rsidRPr="00DA7BD8">
              <w:rPr>
                <w:rFonts w:asciiTheme="minorHAnsi" w:hAnsiTheme="minorHAnsi"/>
                <w:b/>
                <w:color w:val="000000"/>
                <w:sz w:val="22"/>
                <w:lang w:val="es-ES" w:eastAsia="zh-CN"/>
              </w:rPr>
              <w:t>3.2.3.9</w:t>
            </w:r>
            <w:r w:rsidRPr="00DA7BD8">
              <w:rPr>
                <w:rFonts w:asciiTheme="minorHAnsi" w:hAnsiTheme="minorHAnsi"/>
                <w:b/>
                <w:bCs/>
                <w:color w:val="000000"/>
                <w:sz w:val="22"/>
                <w:lang w:val="es-ES" w:eastAsia="zh-CN"/>
              </w:rPr>
              <w:tab/>
            </w:r>
            <w:r w:rsidRPr="00DA7BD8">
              <w:rPr>
                <w:rFonts w:asciiTheme="minorHAnsi" w:hAnsiTheme="minorHAnsi"/>
                <w:b/>
                <w:color w:val="000000"/>
                <w:sz w:val="22"/>
                <w:lang w:val="es-ES" w:eastAsia="zh-CN"/>
              </w:rPr>
              <w:t>Asignaciones de frecuencias a redes de satélites OSG del SFS, el SRS y el SMS, y funciones de operaciones espaciales asociadas, inscritas con exceso de características notificadas</w:t>
            </w:r>
          </w:p>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b/>
                <w:color w:val="000000"/>
                <w:sz w:val="22"/>
                <w:lang w:val="es-ES" w:eastAsia="zh-CN"/>
              </w:rPr>
              <w:t xml:space="preserve">La CMR-15 manifestó su apoyo general </w:t>
            </w:r>
            <w:r w:rsidRPr="00DA7BD8">
              <w:rPr>
                <w:rFonts w:asciiTheme="minorHAnsi" w:hAnsiTheme="minorHAnsi"/>
                <w:bCs/>
                <w:color w:val="000000"/>
                <w:sz w:val="22"/>
                <w:lang w:val="es-ES" w:eastAsia="zh-CN"/>
              </w:rPr>
              <w:t>a las ideas presentadas en esta sección y propuso a la BR que se dirija a las Comisiones de Estudio del UIT-R para que ayuden a definir los criterios que deben utilizarse en sus análisis.</w:t>
            </w:r>
          </w:p>
          <w:p w:rsidR="00F66845" w:rsidRPr="00DA7BD8" w:rsidRDefault="00F66845" w:rsidP="00972257">
            <w:pPr>
              <w:keepNext/>
              <w:tabs>
                <w:tab w:val="clear" w:pos="794"/>
                <w:tab w:val="clear" w:pos="1191"/>
                <w:tab w:val="clear" w:pos="1588"/>
                <w:tab w:val="clear" w:pos="1985"/>
              </w:tabs>
              <w:overflowPunct/>
              <w:autoSpaceDE/>
              <w:autoSpaceDN/>
              <w:adjustRightInd/>
              <w:spacing w:before="120" w:after="80" w:line="240" w:lineRule="auto"/>
              <w:ind w:left="794" w:hanging="794"/>
              <w:textAlignment w:val="auto"/>
              <w:outlineLvl w:val="2"/>
              <w:rPr>
                <w:rFonts w:asciiTheme="minorHAnsi" w:hAnsiTheme="minorHAnsi"/>
                <w:b/>
                <w:color w:val="000000"/>
                <w:sz w:val="22"/>
                <w:lang w:val="es-ES" w:eastAsia="zh-CN"/>
              </w:rPr>
            </w:pPr>
            <w:r w:rsidRPr="00DA7BD8">
              <w:rPr>
                <w:rFonts w:asciiTheme="minorHAnsi" w:hAnsiTheme="minorHAnsi"/>
                <w:b/>
                <w:color w:val="000000"/>
                <w:sz w:val="22"/>
                <w:lang w:val="es-ES" w:eastAsia="zh-CN"/>
              </w:rPr>
              <w:t>3.2.4</w:t>
            </w:r>
            <w:r w:rsidRPr="00DA7BD8">
              <w:rPr>
                <w:rFonts w:asciiTheme="minorHAnsi" w:hAnsiTheme="minorHAnsi"/>
                <w:b/>
                <w:color w:val="000000"/>
                <w:sz w:val="22"/>
                <w:lang w:val="es-ES" w:eastAsia="zh-CN"/>
              </w:rPr>
              <w:tab/>
              <w:t>Otros Artículos del Reglamento de Radiocomunicaciones</w:t>
            </w:r>
          </w:p>
          <w:p w:rsidR="00F66845" w:rsidRPr="00DA7BD8" w:rsidRDefault="00F66845" w:rsidP="00972257">
            <w:pPr>
              <w:keepNext/>
              <w:tabs>
                <w:tab w:val="clear" w:pos="794"/>
                <w:tab w:val="clear" w:pos="1191"/>
                <w:tab w:val="clear" w:pos="1588"/>
                <w:tab w:val="clear" w:pos="1985"/>
                <w:tab w:val="left" w:pos="1021"/>
              </w:tabs>
              <w:overflowPunct/>
              <w:autoSpaceDE/>
              <w:autoSpaceDN/>
              <w:adjustRightInd/>
              <w:spacing w:before="120" w:after="80" w:line="240" w:lineRule="auto"/>
              <w:ind w:left="1021" w:hanging="1021"/>
              <w:textAlignment w:val="auto"/>
              <w:outlineLvl w:val="3"/>
              <w:rPr>
                <w:rFonts w:asciiTheme="minorHAnsi" w:hAnsiTheme="minorHAnsi"/>
                <w:b/>
                <w:color w:val="000000"/>
                <w:sz w:val="22"/>
                <w:lang w:val="es-ES" w:eastAsia="zh-CN"/>
              </w:rPr>
            </w:pPr>
            <w:r w:rsidRPr="00DA7BD8">
              <w:rPr>
                <w:rFonts w:asciiTheme="minorHAnsi" w:hAnsiTheme="minorHAnsi"/>
                <w:b/>
                <w:color w:val="000000"/>
                <w:sz w:val="22"/>
                <w:lang w:val="es-ES" w:eastAsia="zh-CN"/>
              </w:rPr>
              <w:t>3.2.4.2</w:t>
            </w:r>
            <w:r w:rsidRPr="00DA7BD8">
              <w:rPr>
                <w:rFonts w:asciiTheme="minorHAnsi" w:hAnsiTheme="minorHAnsi"/>
                <w:b/>
                <w:color w:val="000000"/>
                <w:sz w:val="22"/>
                <w:lang w:val="es-ES" w:eastAsia="zh-CN"/>
              </w:rPr>
              <w:tab/>
              <w:t>Tramitación de solicitudes en virtud del número 23.13B del Reglamento de Radiocomunicaciones con respecto a una red notificada en virtud del Apéndice 30</w:t>
            </w:r>
          </w:p>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b/>
                <w:color w:val="000000"/>
                <w:sz w:val="22"/>
                <w:lang w:val="es-ES" w:eastAsia="zh-CN"/>
              </w:rPr>
              <w:t xml:space="preserve">La CMR-15 aprobó </w:t>
            </w:r>
            <w:r w:rsidRPr="00DA7BD8">
              <w:rPr>
                <w:rFonts w:asciiTheme="minorHAnsi" w:hAnsiTheme="minorHAnsi"/>
                <w:bCs/>
                <w:color w:val="000000"/>
                <w:sz w:val="22"/>
                <w:lang w:val="es-ES" w:eastAsia="zh-CN"/>
              </w:rPr>
              <w:t>el método propuesto.</w:t>
            </w:r>
          </w:p>
          <w:p w:rsidR="00F66845" w:rsidRPr="00DA7BD8" w:rsidRDefault="00F66845" w:rsidP="00972257">
            <w:pPr>
              <w:keepNext/>
              <w:tabs>
                <w:tab w:val="clear" w:pos="794"/>
                <w:tab w:val="clear" w:pos="1191"/>
                <w:tab w:val="clear" w:pos="1588"/>
                <w:tab w:val="clear" w:pos="1985"/>
                <w:tab w:val="left" w:pos="1021"/>
              </w:tabs>
              <w:overflowPunct/>
              <w:autoSpaceDE/>
              <w:autoSpaceDN/>
              <w:adjustRightInd/>
              <w:spacing w:before="120" w:after="80" w:line="240" w:lineRule="auto"/>
              <w:ind w:left="1021" w:hanging="1021"/>
              <w:textAlignment w:val="auto"/>
              <w:outlineLvl w:val="3"/>
              <w:rPr>
                <w:rFonts w:asciiTheme="minorHAnsi" w:hAnsiTheme="minorHAnsi"/>
                <w:b/>
                <w:color w:val="000000"/>
                <w:sz w:val="22"/>
                <w:lang w:val="es-ES" w:eastAsia="zh-CN"/>
              </w:rPr>
            </w:pPr>
            <w:r w:rsidRPr="00DA7BD8">
              <w:rPr>
                <w:rFonts w:asciiTheme="minorHAnsi" w:hAnsiTheme="minorHAnsi"/>
                <w:b/>
                <w:color w:val="000000"/>
                <w:sz w:val="22"/>
                <w:lang w:val="es-ES" w:eastAsia="zh-CN"/>
              </w:rPr>
              <w:lastRenderedPageBreak/>
              <w:t>3.2.4.3</w:t>
            </w:r>
            <w:r w:rsidRPr="00DA7BD8">
              <w:rPr>
                <w:rFonts w:asciiTheme="minorHAnsi" w:hAnsiTheme="minorHAnsi"/>
                <w:b/>
                <w:color w:val="000000"/>
                <w:sz w:val="22"/>
                <w:lang w:val="es-ES" w:eastAsia="zh-CN"/>
              </w:rPr>
              <w:tab/>
              <w:t>Asignaciones de frecuencias utilizadas en servicios espaciales con referencia directa o indirecta a las disposiciones del Artículo 48 de la Constitución</w:t>
            </w:r>
          </w:p>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bCs/>
                <w:color w:val="000000"/>
                <w:sz w:val="22"/>
                <w:lang w:val="es-ES" w:eastAsia="zh-CN"/>
              </w:rPr>
              <w:t xml:space="preserve">Al debatir los problemas planteados en esta sección, junto con las cuestiones suscitadas en el Informe de la RRB sobre la Resolución 80 en relación con estos mismos problemas (véase la sección 4.4 del Documento 14), </w:t>
            </w:r>
            <w:r w:rsidRPr="00DA7BD8">
              <w:rPr>
                <w:rFonts w:asciiTheme="minorHAnsi" w:hAnsiTheme="minorHAnsi"/>
                <w:b/>
                <w:color w:val="000000"/>
                <w:sz w:val="22"/>
                <w:lang w:val="es-ES" w:eastAsia="zh-CN"/>
              </w:rPr>
              <w:t>la CMR-15 observó</w:t>
            </w:r>
            <w:r w:rsidRPr="00DA7BD8">
              <w:rPr>
                <w:rFonts w:asciiTheme="minorHAnsi" w:hAnsiTheme="minorHAnsi"/>
                <w:bCs/>
                <w:color w:val="000000"/>
                <w:sz w:val="22"/>
                <w:lang w:val="es-ES" w:eastAsia="zh-CN"/>
              </w:rPr>
              <w:t xml:space="preserve"> que el Artículo 48 se refiere a «instalaciones militares de radiocomunicaciones» y no a estaciones utilizadas con fines gubernamentales en general </w:t>
            </w:r>
            <w:r w:rsidRPr="00DA7BD8">
              <w:rPr>
                <w:rFonts w:asciiTheme="minorHAnsi" w:hAnsiTheme="minorHAnsi"/>
                <w:b/>
                <w:color w:val="000000"/>
                <w:sz w:val="22"/>
                <w:lang w:val="es-ES" w:eastAsia="zh-CN"/>
              </w:rPr>
              <w:t>y decidió que la BR</w:t>
            </w:r>
            <w:r w:rsidRPr="00DA7BD8">
              <w:rPr>
                <w:rFonts w:asciiTheme="minorHAnsi" w:hAnsiTheme="minorHAnsi"/>
                <w:bCs/>
                <w:color w:val="000000"/>
                <w:sz w:val="22"/>
                <w:lang w:val="es-ES" w:eastAsia="zh-CN"/>
              </w:rPr>
              <w:t xml:space="preserve"> no debe inferir que una administración se refiere al Artículo 48 de la Constitución en su respuesta a una consulta en virtud del número 13.6 del RR, a no ser que esta administración haya invocado explícitamente el Artículo 48. Además, </w:t>
            </w:r>
            <w:r w:rsidRPr="00DA7BD8">
              <w:rPr>
                <w:rFonts w:asciiTheme="minorHAnsi" w:hAnsiTheme="minorHAnsi"/>
                <w:b/>
                <w:color w:val="000000"/>
                <w:sz w:val="22"/>
                <w:lang w:val="es-ES" w:eastAsia="zh-CN"/>
              </w:rPr>
              <w:t>la CMR-15 también decidió</w:t>
            </w:r>
            <w:r w:rsidRPr="00DA7BD8">
              <w:rPr>
                <w:rFonts w:asciiTheme="minorHAnsi" w:hAnsiTheme="minorHAnsi"/>
                <w:bCs/>
                <w:color w:val="000000"/>
                <w:sz w:val="22"/>
                <w:lang w:val="es-ES" w:eastAsia="zh-CN"/>
              </w:rPr>
              <w:t xml:space="preserve"> que no debían existir restricciones en cuanto a la clase de estación ni naturaleza del servicio para una estación que pueda funcionar con arreglo al Artículo 48.</w:t>
            </w:r>
          </w:p>
          <w:p w:rsidR="00F66845" w:rsidRPr="00DA7BD8" w:rsidRDefault="00F66845" w:rsidP="00972257">
            <w:pPr>
              <w:keepNext/>
              <w:tabs>
                <w:tab w:val="clear" w:pos="794"/>
                <w:tab w:val="clear" w:pos="1191"/>
                <w:tab w:val="clear" w:pos="1588"/>
                <w:tab w:val="clear" w:pos="1985"/>
              </w:tabs>
              <w:overflowPunct/>
              <w:autoSpaceDE/>
              <w:autoSpaceDN/>
              <w:adjustRightInd/>
              <w:spacing w:before="120" w:after="80" w:line="240" w:lineRule="auto"/>
              <w:ind w:left="794" w:hanging="794"/>
              <w:textAlignment w:val="auto"/>
              <w:outlineLvl w:val="2"/>
              <w:rPr>
                <w:rFonts w:asciiTheme="minorHAnsi" w:hAnsiTheme="minorHAnsi"/>
                <w:b/>
                <w:color w:val="000000"/>
                <w:sz w:val="22"/>
                <w:lang w:val="es-ES" w:eastAsia="zh-CN"/>
              </w:rPr>
            </w:pPr>
            <w:r w:rsidRPr="00DA7BD8">
              <w:rPr>
                <w:rFonts w:asciiTheme="minorHAnsi" w:hAnsiTheme="minorHAnsi"/>
                <w:b/>
                <w:color w:val="000000"/>
                <w:sz w:val="22"/>
                <w:lang w:val="es-ES" w:eastAsia="zh-CN"/>
              </w:rPr>
              <w:t>3.2.5</w:t>
            </w:r>
            <w:r w:rsidRPr="00DA7BD8">
              <w:rPr>
                <w:rFonts w:asciiTheme="minorHAnsi" w:hAnsiTheme="minorHAnsi"/>
                <w:b/>
                <w:color w:val="000000"/>
                <w:sz w:val="22"/>
                <w:lang w:val="es-ES" w:eastAsia="zh-CN"/>
              </w:rPr>
              <w:tab/>
              <w:t>Observaciones relativas a los Apéndices 4 y 8 del Reglamento de Radiocomunicaciones</w:t>
            </w:r>
          </w:p>
          <w:p w:rsidR="00F66845" w:rsidRPr="00DA7BD8" w:rsidRDefault="00F66845" w:rsidP="00972257">
            <w:pPr>
              <w:keepNext/>
              <w:tabs>
                <w:tab w:val="clear" w:pos="794"/>
                <w:tab w:val="clear" w:pos="1191"/>
                <w:tab w:val="clear" w:pos="1588"/>
                <w:tab w:val="clear" w:pos="1985"/>
                <w:tab w:val="left" w:pos="1021"/>
              </w:tabs>
              <w:overflowPunct/>
              <w:autoSpaceDE/>
              <w:autoSpaceDN/>
              <w:adjustRightInd/>
              <w:spacing w:before="120" w:after="80" w:line="240" w:lineRule="auto"/>
              <w:ind w:left="1021" w:hanging="1021"/>
              <w:textAlignment w:val="auto"/>
              <w:outlineLvl w:val="4"/>
              <w:rPr>
                <w:rFonts w:asciiTheme="minorHAnsi" w:hAnsiTheme="minorHAnsi"/>
                <w:b/>
                <w:color w:val="000000"/>
                <w:sz w:val="22"/>
                <w:lang w:val="es-ES" w:eastAsia="zh-CN"/>
              </w:rPr>
            </w:pPr>
            <w:r w:rsidRPr="00DA7BD8">
              <w:rPr>
                <w:rFonts w:asciiTheme="minorHAnsi" w:hAnsiTheme="minorHAnsi"/>
                <w:b/>
                <w:color w:val="000000"/>
                <w:sz w:val="22"/>
                <w:lang w:val="es-ES" w:eastAsia="zh-CN"/>
              </w:rPr>
              <w:t>3.2.5.2.2</w:t>
            </w:r>
            <w:r w:rsidRPr="00DA7BD8">
              <w:rPr>
                <w:rFonts w:asciiTheme="minorHAnsi" w:hAnsiTheme="minorHAnsi"/>
                <w:b/>
                <w:color w:val="000000"/>
                <w:sz w:val="22"/>
                <w:lang w:val="es-ES" w:eastAsia="zh-CN"/>
              </w:rPr>
              <w:tab/>
              <w:t>Tratamiento de las asignaciones de frecuencias con un ancho de banda inferior al ancho de banda promediado declarado</w:t>
            </w:r>
          </w:p>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color w:val="000000"/>
                <w:sz w:val="22"/>
                <w:lang w:val="es-ES" w:eastAsia="zh-CN"/>
              </w:rPr>
              <w:t xml:space="preserve">La CMR-15 dio las gracias al Director por esta sección y </w:t>
            </w:r>
            <w:r w:rsidRPr="00DA7BD8">
              <w:rPr>
                <w:rFonts w:asciiTheme="minorHAnsi" w:hAnsiTheme="minorHAnsi"/>
                <w:b/>
                <w:bCs/>
                <w:color w:val="000000"/>
                <w:sz w:val="22"/>
                <w:lang w:val="es-ES" w:eastAsia="zh-CN"/>
              </w:rPr>
              <w:t>propuso que se dé traslado de este asunto, con todo detalle</w:t>
            </w:r>
            <w:r w:rsidRPr="00DA7BD8">
              <w:rPr>
                <w:rFonts w:asciiTheme="minorHAnsi" w:hAnsiTheme="minorHAnsi"/>
                <w:color w:val="000000"/>
                <w:sz w:val="22"/>
                <w:lang w:val="es-ES" w:eastAsia="zh-CN"/>
              </w:rPr>
              <w:t>, a la Comisión de Estudio competente para que siga examinándose.</w:t>
            </w:r>
          </w:p>
          <w:p w:rsidR="00F66845" w:rsidRPr="00DA7BD8" w:rsidRDefault="00F66845" w:rsidP="00972257">
            <w:pPr>
              <w:keepNext/>
              <w:tabs>
                <w:tab w:val="clear" w:pos="794"/>
                <w:tab w:val="clear" w:pos="1191"/>
                <w:tab w:val="clear" w:pos="1588"/>
                <w:tab w:val="clear" w:pos="1985"/>
                <w:tab w:val="left" w:pos="1021"/>
              </w:tabs>
              <w:overflowPunct/>
              <w:autoSpaceDE/>
              <w:autoSpaceDN/>
              <w:adjustRightInd/>
              <w:spacing w:before="120" w:after="80" w:line="240" w:lineRule="auto"/>
              <w:ind w:left="1021" w:hanging="1021"/>
              <w:textAlignment w:val="auto"/>
              <w:outlineLvl w:val="4"/>
              <w:rPr>
                <w:rFonts w:asciiTheme="minorHAnsi" w:hAnsiTheme="minorHAnsi"/>
                <w:b/>
                <w:color w:val="000000"/>
                <w:sz w:val="22"/>
                <w:lang w:val="es-ES" w:eastAsia="zh-CN"/>
              </w:rPr>
            </w:pPr>
            <w:r w:rsidRPr="00DA7BD8">
              <w:rPr>
                <w:rFonts w:asciiTheme="minorHAnsi" w:hAnsiTheme="minorHAnsi"/>
                <w:b/>
                <w:color w:val="000000"/>
                <w:sz w:val="22"/>
                <w:lang w:val="es-ES" w:eastAsia="zh-CN"/>
              </w:rPr>
              <w:t>3.2.5.2.6</w:t>
            </w:r>
            <w:r w:rsidRPr="00DA7BD8">
              <w:rPr>
                <w:rFonts w:asciiTheme="minorHAnsi" w:hAnsiTheme="minorHAnsi"/>
                <w:b/>
                <w:color w:val="000000"/>
                <w:sz w:val="22"/>
                <w:lang w:val="es-ES" w:eastAsia="zh-CN"/>
              </w:rPr>
              <w:tab/>
              <w:t>Zona de servicio por debajo de un ángulo de elevación de 3 grados</w:t>
            </w:r>
          </w:p>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i/>
                <w:color w:val="000000"/>
                <w:sz w:val="22"/>
                <w:lang w:val="es-ES" w:eastAsia="zh-CN"/>
              </w:rPr>
            </w:pPr>
            <w:r w:rsidRPr="00DA7BD8">
              <w:rPr>
                <w:rFonts w:asciiTheme="minorHAnsi" w:hAnsiTheme="minorHAnsi"/>
                <w:color w:val="000000"/>
                <w:sz w:val="22"/>
                <w:lang w:val="es-ES" w:eastAsia="zh-CN"/>
              </w:rPr>
              <w:t xml:space="preserve">La CMR-15 examinó esta cuestión y </w:t>
            </w:r>
            <w:r w:rsidRPr="00DA7BD8">
              <w:rPr>
                <w:rFonts w:asciiTheme="minorHAnsi" w:hAnsiTheme="minorHAnsi"/>
                <w:b/>
                <w:bCs/>
                <w:color w:val="000000"/>
                <w:sz w:val="22"/>
                <w:lang w:val="es-ES" w:eastAsia="zh-CN"/>
              </w:rPr>
              <w:t>decidió solicitar a la BR</w:t>
            </w:r>
            <w:r w:rsidRPr="00DA7BD8">
              <w:rPr>
                <w:rFonts w:asciiTheme="minorHAnsi" w:hAnsiTheme="minorHAnsi"/>
                <w:color w:val="000000"/>
                <w:sz w:val="22"/>
                <w:lang w:val="es-ES" w:eastAsia="zh-CN"/>
              </w:rPr>
              <w:t xml:space="preserve"> que suprimiera el límite de 3 grados.</w:t>
            </w:r>
          </w:p>
          <w:p w:rsidR="00F66845" w:rsidRPr="00DA7BD8" w:rsidRDefault="00F66845" w:rsidP="00972257">
            <w:pPr>
              <w:keepNext/>
              <w:tabs>
                <w:tab w:val="clear" w:pos="794"/>
                <w:tab w:val="clear" w:pos="1191"/>
                <w:tab w:val="clear" w:pos="1588"/>
                <w:tab w:val="clear" w:pos="1985"/>
              </w:tabs>
              <w:overflowPunct/>
              <w:autoSpaceDE/>
              <w:autoSpaceDN/>
              <w:adjustRightInd/>
              <w:spacing w:before="120" w:after="80" w:line="240" w:lineRule="auto"/>
              <w:ind w:left="794" w:hanging="794"/>
              <w:textAlignment w:val="auto"/>
              <w:outlineLvl w:val="2"/>
              <w:rPr>
                <w:rFonts w:asciiTheme="minorHAnsi" w:hAnsiTheme="minorHAnsi"/>
                <w:b/>
                <w:color w:val="000000"/>
                <w:sz w:val="22"/>
                <w:lang w:val="es-ES" w:eastAsia="zh-CN"/>
              </w:rPr>
            </w:pPr>
            <w:r w:rsidRPr="00DA7BD8">
              <w:rPr>
                <w:rFonts w:asciiTheme="minorHAnsi" w:hAnsiTheme="minorHAnsi"/>
                <w:b/>
                <w:color w:val="000000"/>
                <w:sz w:val="22"/>
                <w:lang w:val="es-ES" w:eastAsia="zh-CN"/>
              </w:rPr>
              <w:t>3.2.6</w:t>
            </w:r>
            <w:r w:rsidRPr="00DA7BD8">
              <w:rPr>
                <w:rFonts w:asciiTheme="minorHAnsi" w:hAnsiTheme="minorHAnsi"/>
                <w:b/>
                <w:color w:val="000000"/>
                <w:sz w:val="22"/>
                <w:lang w:val="es-ES" w:eastAsia="zh-CN"/>
              </w:rPr>
              <w:tab/>
              <w:t>Observaciones relativas a los Apéndices 30 y 30A del RR</w:t>
            </w:r>
          </w:p>
          <w:p w:rsidR="00F66845" w:rsidRPr="00094989" w:rsidRDefault="00F66845" w:rsidP="00972257">
            <w:pPr>
              <w:keepNext/>
              <w:tabs>
                <w:tab w:val="clear" w:pos="794"/>
                <w:tab w:val="clear" w:pos="1191"/>
                <w:tab w:val="clear" w:pos="1588"/>
                <w:tab w:val="clear" w:pos="1985"/>
                <w:tab w:val="left" w:pos="1021"/>
              </w:tabs>
              <w:overflowPunct/>
              <w:autoSpaceDE/>
              <w:autoSpaceDN/>
              <w:adjustRightInd/>
              <w:spacing w:before="120" w:after="80" w:line="240" w:lineRule="auto"/>
              <w:ind w:left="1021" w:hanging="1021"/>
              <w:textAlignment w:val="auto"/>
              <w:outlineLvl w:val="3"/>
              <w:rPr>
                <w:rFonts w:asciiTheme="minorHAnsi" w:hAnsiTheme="minorHAnsi"/>
                <w:b/>
                <w:sz w:val="22"/>
                <w:lang w:val="es-ES" w:eastAsia="zh-CN"/>
              </w:rPr>
            </w:pPr>
            <w:r w:rsidRPr="00094989">
              <w:rPr>
                <w:rFonts w:asciiTheme="minorHAnsi" w:hAnsiTheme="minorHAnsi"/>
                <w:b/>
                <w:sz w:val="22"/>
                <w:lang w:val="es-ES" w:eastAsia="zh-CN"/>
              </w:rPr>
              <w:t>3.2.6.2</w:t>
            </w:r>
            <w:r w:rsidRPr="00094989">
              <w:rPr>
                <w:rFonts w:asciiTheme="minorHAnsi" w:hAnsiTheme="minorHAnsi"/>
                <w:b/>
                <w:sz w:val="22"/>
                <w:lang w:val="es-ES" w:eastAsia="zh-CN"/>
              </w:rPr>
              <w:tab/>
              <w:t>Cálculo del valor de control de potencia para las asignaciones de la Lista</w:t>
            </w:r>
          </w:p>
          <w:p w:rsidR="00F66845" w:rsidRPr="00094989"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sz w:val="22"/>
                <w:lang w:val="es-ES" w:eastAsia="zh-CN"/>
              </w:rPr>
            </w:pPr>
            <w:r w:rsidRPr="00094989">
              <w:rPr>
                <w:rFonts w:asciiTheme="minorHAnsi" w:hAnsiTheme="minorHAnsi"/>
                <w:b/>
                <w:bCs/>
                <w:sz w:val="22"/>
                <w:lang w:val="es-ES" w:eastAsia="zh-CN"/>
              </w:rPr>
              <w:t>La CMR-15 explicó</w:t>
            </w:r>
            <w:r w:rsidRPr="00094989">
              <w:rPr>
                <w:rFonts w:asciiTheme="minorHAnsi" w:hAnsiTheme="minorHAnsi"/>
                <w:sz w:val="22"/>
                <w:lang w:val="es-ES" w:eastAsia="zh-CN"/>
              </w:rPr>
              <w:t xml:space="preserve"> que la utilización del control de potencia debe hacerse extensiva a las asignaciones de la Lista de las Regiones 1 y 3 y que por lo tanto debe modificarse en consecuencia la Regla de Procedimiento correspondiente</w:t>
            </w:r>
            <w:r w:rsidRPr="00094989">
              <w:rPr>
                <w:rFonts w:asciiTheme="minorHAnsi" w:hAnsiTheme="minorHAnsi"/>
                <w:i/>
                <w:sz w:val="22"/>
                <w:lang w:val="es-ES" w:eastAsia="zh-CN"/>
              </w:rPr>
              <w:t>.</w:t>
            </w:r>
          </w:p>
          <w:p w:rsidR="00F66845" w:rsidRPr="00094989" w:rsidRDefault="00F66845" w:rsidP="00972257">
            <w:pPr>
              <w:keepNext/>
              <w:tabs>
                <w:tab w:val="clear" w:pos="794"/>
                <w:tab w:val="clear" w:pos="1191"/>
                <w:tab w:val="clear" w:pos="1588"/>
                <w:tab w:val="clear" w:pos="1985"/>
                <w:tab w:val="left" w:pos="1021"/>
              </w:tabs>
              <w:overflowPunct/>
              <w:autoSpaceDE/>
              <w:autoSpaceDN/>
              <w:adjustRightInd/>
              <w:spacing w:before="120" w:after="80" w:line="240" w:lineRule="auto"/>
              <w:ind w:left="1021" w:hanging="1021"/>
              <w:textAlignment w:val="auto"/>
              <w:outlineLvl w:val="3"/>
              <w:rPr>
                <w:rFonts w:asciiTheme="minorHAnsi" w:hAnsiTheme="minorHAnsi"/>
                <w:b/>
                <w:sz w:val="22"/>
                <w:lang w:val="es-ES" w:eastAsia="zh-CN"/>
              </w:rPr>
            </w:pPr>
            <w:bookmarkStart w:id="0" w:name="_Toc418836068"/>
            <w:r w:rsidRPr="00094989">
              <w:rPr>
                <w:rFonts w:asciiTheme="minorHAnsi" w:hAnsiTheme="minorHAnsi"/>
                <w:b/>
                <w:sz w:val="22"/>
                <w:lang w:val="es-ES" w:eastAsia="zh-CN"/>
              </w:rPr>
              <w:t>3.2.6.4</w:t>
            </w:r>
            <w:r w:rsidRPr="00094989">
              <w:rPr>
                <w:rFonts w:asciiTheme="minorHAnsi" w:hAnsiTheme="minorHAnsi"/>
                <w:b/>
                <w:sz w:val="22"/>
                <w:lang w:val="es-ES" w:eastAsia="zh-CN"/>
              </w:rPr>
              <w:tab/>
              <w:t>Acuerdo otorgado en virtud del § 4.1.11 de los Apéndices 30 y 30A del RR</w:t>
            </w:r>
            <w:bookmarkEnd w:id="0"/>
          </w:p>
          <w:p w:rsidR="00F66845" w:rsidRPr="00094989"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sz w:val="22"/>
                <w:lang w:val="es-ES" w:eastAsia="zh-CN"/>
              </w:rPr>
            </w:pPr>
            <w:r w:rsidRPr="00094989">
              <w:rPr>
                <w:rFonts w:asciiTheme="minorHAnsi" w:hAnsiTheme="minorHAnsi"/>
                <w:b/>
                <w:bCs/>
                <w:sz w:val="22"/>
                <w:lang w:val="es-ES" w:eastAsia="zh-CN"/>
              </w:rPr>
              <w:t>La CMR-15 ratificó</w:t>
            </w:r>
            <w:r w:rsidRPr="00094989">
              <w:rPr>
                <w:rFonts w:asciiTheme="minorHAnsi" w:hAnsiTheme="minorHAnsi"/>
                <w:sz w:val="22"/>
                <w:lang w:val="es-ES" w:eastAsia="zh-CN"/>
              </w:rPr>
              <w:t xml:space="preserve"> la práctica actual de la BR descrita a grandes rasgos en esta sección.</w:t>
            </w:r>
          </w:p>
          <w:p w:rsidR="00F66845" w:rsidRPr="00DA7BD8" w:rsidRDefault="00F66845" w:rsidP="00972257">
            <w:pPr>
              <w:keepNext/>
              <w:tabs>
                <w:tab w:val="clear" w:pos="794"/>
                <w:tab w:val="clear" w:pos="1191"/>
                <w:tab w:val="clear" w:pos="1588"/>
                <w:tab w:val="clear" w:pos="1985"/>
                <w:tab w:val="left" w:pos="1021"/>
              </w:tabs>
              <w:overflowPunct/>
              <w:autoSpaceDE/>
              <w:autoSpaceDN/>
              <w:adjustRightInd/>
              <w:spacing w:before="120" w:after="80" w:line="240" w:lineRule="auto"/>
              <w:ind w:left="1021" w:hanging="1021"/>
              <w:textAlignment w:val="auto"/>
              <w:outlineLvl w:val="3"/>
              <w:rPr>
                <w:rFonts w:asciiTheme="minorHAnsi" w:hAnsiTheme="minorHAnsi"/>
                <w:b/>
                <w:color w:val="000000"/>
                <w:sz w:val="22"/>
                <w:lang w:val="es-ES" w:eastAsia="zh-CN"/>
              </w:rPr>
            </w:pPr>
            <w:r w:rsidRPr="00DA7BD8">
              <w:rPr>
                <w:rFonts w:asciiTheme="minorHAnsi" w:hAnsiTheme="minorHAnsi"/>
                <w:b/>
                <w:color w:val="000000"/>
                <w:sz w:val="22"/>
                <w:lang w:val="es-ES" w:eastAsia="zh-CN"/>
              </w:rPr>
              <w:t>3.2.6.10</w:t>
            </w:r>
            <w:r w:rsidRPr="00DA7BD8">
              <w:rPr>
                <w:rFonts w:asciiTheme="minorHAnsi" w:hAnsiTheme="minorHAnsi"/>
                <w:b/>
                <w:color w:val="000000"/>
                <w:sz w:val="22"/>
                <w:lang w:val="es-ES" w:eastAsia="zh-CN"/>
              </w:rPr>
              <w:tab/>
              <w:t>Criterios de coordinación en virtud del § 9.7 para una nueva red de satélites de conformidad con el Artículo 2A (Funciones de operaciones espaciales) en la banda de frecuencias 14,5-14,8 GHz</w:t>
            </w:r>
          </w:p>
          <w:p w:rsidR="00F66845"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b/>
                <w:bCs/>
                <w:color w:val="000000"/>
                <w:sz w:val="22"/>
                <w:lang w:val="es-ES" w:eastAsia="zh-CN"/>
              </w:rPr>
              <w:t>La CMR-15 consideró</w:t>
            </w:r>
            <w:r w:rsidRPr="00DA7BD8">
              <w:rPr>
                <w:rFonts w:asciiTheme="minorHAnsi" w:hAnsiTheme="minorHAnsi"/>
                <w:color w:val="000000"/>
                <w:sz w:val="22"/>
                <w:lang w:val="es-ES" w:eastAsia="zh-CN"/>
              </w:rPr>
              <w:t xml:space="preserve"> que hay que aplicar un arco de coordinación de ±7° para 14,5</w:t>
            </w:r>
            <w:r w:rsidR="00094989">
              <w:rPr>
                <w:rFonts w:asciiTheme="minorHAnsi" w:hAnsiTheme="minorHAnsi"/>
                <w:color w:val="000000"/>
                <w:sz w:val="22"/>
                <w:lang w:val="es-ES" w:eastAsia="zh-CN"/>
              </w:rPr>
              <w:t>-</w:t>
            </w:r>
            <w:r w:rsidRPr="00DA7BD8">
              <w:rPr>
                <w:rFonts w:asciiTheme="minorHAnsi" w:hAnsiTheme="minorHAnsi"/>
                <w:color w:val="000000"/>
                <w:sz w:val="22"/>
                <w:lang w:val="es-ES" w:eastAsia="zh-CN"/>
              </w:rPr>
              <w:t>14,8 GHz (que debe alinearse con la banda Ku del punto 9.1.2 del orden del día).</w:t>
            </w:r>
          </w:p>
          <w:p w:rsidR="00F877D1" w:rsidRPr="00DA7BD8" w:rsidRDefault="00F877D1"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F877D1">
              <w:rPr>
                <w:rFonts w:asciiTheme="minorHAnsi" w:hAnsiTheme="minorHAnsi"/>
                <w:b/>
                <w:bCs/>
                <w:color w:val="000000"/>
                <w:sz w:val="22"/>
                <w:lang w:val="es-ES" w:eastAsia="zh-CN"/>
              </w:rPr>
              <w:t xml:space="preserve">Nota de la </w:t>
            </w:r>
            <w:r w:rsidR="00CF34D4">
              <w:rPr>
                <w:rFonts w:asciiTheme="minorHAnsi" w:hAnsiTheme="minorHAnsi"/>
                <w:b/>
                <w:bCs/>
                <w:color w:val="000000"/>
                <w:sz w:val="22"/>
                <w:lang w:val="es-ES" w:eastAsia="zh-CN"/>
              </w:rPr>
              <w:t>S</w:t>
            </w:r>
            <w:r w:rsidRPr="00F877D1">
              <w:rPr>
                <w:rFonts w:asciiTheme="minorHAnsi" w:hAnsiTheme="minorHAnsi"/>
                <w:b/>
                <w:bCs/>
                <w:color w:val="000000"/>
                <w:sz w:val="22"/>
                <w:lang w:val="es-ES" w:eastAsia="zh-CN"/>
              </w:rPr>
              <w:t>ecretaría</w:t>
            </w:r>
            <w:r w:rsidRPr="00F877D1">
              <w:rPr>
                <w:rFonts w:asciiTheme="minorHAnsi" w:hAnsiTheme="minorHAnsi"/>
                <w:color w:val="000000"/>
                <w:sz w:val="22"/>
                <w:lang w:val="es-ES" w:eastAsia="zh-CN"/>
              </w:rPr>
              <w:t xml:space="preserve">: dado que la CMR-15 decidió modificar el Apéndice 5 del Reglamento de Radiocomunicaciones para aplicar un arco de coordinación de ±6° para </w:t>
            </w:r>
            <w:r>
              <w:rPr>
                <w:rFonts w:asciiTheme="minorHAnsi" w:hAnsiTheme="minorHAnsi"/>
                <w:color w:val="000000"/>
                <w:sz w:val="22"/>
                <w:lang w:val="es-ES" w:eastAsia="zh-CN"/>
              </w:rPr>
              <w:t>«</w:t>
            </w:r>
            <w:r w:rsidRPr="00F877D1">
              <w:rPr>
                <w:rFonts w:asciiTheme="minorHAnsi" w:hAnsiTheme="minorHAnsi"/>
                <w:color w:val="000000"/>
                <w:sz w:val="22"/>
                <w:lang w:val="es-ES" w:eastAsia="zh-CN"/>
              </w:rPr>
              <w:t>el SFS no sujeto a un Plan y cualesquiera operaciones espaciales asociadas</w:t>
            </w:r>
            <w:r>
              <w:rPr>
                <w:rFonts w:asciiTheme="minorHAnsi" w:hAnsiTheme="minorHAnsi"/>
                <w:color w:val="000000"/>
                <w:sz w:val="22"/>
                <w:lang w:val="es-ES" w:eastAsia="zh-CN"/>
              </w:rPr>
              <w:t>»</w:t>
            </w:r>
            <w:r w:rsidRPr="00F877D1">
              <w:rPr>
                <w:rFonts w:asciiTheme="minorHAnsi" w:hAnsiTheme="minorHAnsi"/>
                <w:color w:val="000000"/>
                <w:sz w:val="22"/>
                <w:lang w:val="es-ES" w:eastAsia="zh-CN"/>
              </w:rPr>
              <w:t xml:space="preserve"> en esta banda, la adaptación solicitada por la Plenaria se llevará a cabo aplicando también en este caso el valor de ±6°.</w:t>
            </w:r>
          </w:p>
          <w:p w:rsidR="00F66845" w:rsidRPr="00094989"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sz w:val="22"/>
                <w:lang w:val="es-ES" w:eastAsia="zh-CN"/>
              </w:rPr>
            </w:pPr>
            <w:r w:rsidRPr="00DA7BD8">
              <w:rPr>
                <w:rFonts w:asciiTheme="minorHAnsi" w:hAnsiTheme="minorHAnsi"/>
                <w:b/>
                <w:color w:val="000000"/>
                <w:sz w:val="22"/>
                <w:lang w:val="es-ES" w:eastAsia="zh-CN"/>
              </w:rPr>
              <w:lastRenderedPageBreak/>
              <w:t>3.2.6.11</w:t>
            </w:r>
            <w:r w:rsidRPr="00DA7BD8">
              <w:rPr>
                <w:rFonts w:asciiTheme="minorHAnsi" w:hAnsiTheme="minorHAnsi"/>
                <w:b/>
                <w:color w:val="000000"/>
                <w:sz w:val="22"/>
                <w:lang w:val="es-ES" w:eastAsia="zh-CN"/>
              </w:rPr>
              <w:tab/>
              <w:t xml:space="preserve">Densidad de potencia utilizada para el cálculo de </w:t>
            </w:r>
            <w:r w:rsidRPr="00E55512">
              <w:rPr>
                <w:rFonts w:asciiTheme="minorHAnsi" w:hAnsiTheme="minorHAnsi"/>
                <w:b/>
                <w:i/>
                <w:iCs/>
                <w:color w:val="000000"/>
                <w:sz w:val="22"/>
                <w:lang w:val="es-ES" w:eastAsia="zh-CN"/>
              </w:rPr>
              <w:t>ΔT/T</w:t>
            </w:r>
            <w:r w:rsidRPr="00DA7BD8">
              <w:rPr>
                <w:rFonts w:asciiTheme="minorHAnsi" w:hAnsiTheme="minorHAnsi"/>
                <w:b/>
                <w:color w:val="000000"/>
                <w:sz w:val="22"/>
                <w:lang w:val="es-ES" w:eastAsia="zh-CN"/>
              </w:rPr>
              <w:t xml:space="preserve"> en virtud del § 2 del Anexo 4 al Apéndice 30A del RR</w:t>
            </w:r>
          </w:p>
          <w:p w:rsidR="00F66845" w:rsidRPr="00DA7BD8" w:rsidRDefault="00F66845" w:rsidP="00972257">
            <w:pPr>
              <w:tabs>
                <w:tab w:val="clear" w:pos="794"/>
                <w:tab w:val="clear" w:pos="1191"/>
                <w:tab w:val="clear" w:pos="1588"/>
                <w:tab w:val="clear" w:pos="1985"/>
                <w:tab w:val="left" w:pos="-2610"/>
              </w:tabs>
              <w:overflowPunct/>
              <w:autoSpaceDE/>
              <w:autoSpaceDN/>
              <w:adjustRightInd/>
              <w:spacing w:before="120" w:after="80" w:line="240" w:lineRule="auto"/>
              <w:ind w:left="1170" w:hanging="1170"/>
              <w:textAlignment w:val="auto"/>
              <w:rPr>
                <w:rFonts w:asciiTheme="minorHAnsi" w:hAnsiTheme="minorHAnsi"/>
                <w:color w:val="000000"/>
                <w:sz w:val="22"/>
                <w:lang w:val="es-ES" w:eastAsia="zh-CN"/>
              </w:rPr>
            </w:pPr>
            <w:r w:rsidRPr="00DA7BD8">
              <w:rPr>
                <w:rFonts w:asciiTheme="minorHAnsi" w:hAnsiTheme="minorHAnsi"/>
                <w:b/>
                <w:bCs/>
                <w:color w:val="000000"/>
                <w:sz w:val="22"/>
                <w:lang w:val="es-ES" w:eastAsia="zh-CN"/>
              </w:rPr>
              <w:t>La CMR-15 examinó y confirmó</w:t>
            </w:r>
            <w:r w:rsidRPr="00DA7BD8">
              <w:rPr>
                <w:rFonts w:asciiTheme="minorHAnsi" w:hAnsiTheme="minorHAnsi"/>
                <w:color w:val="000000"/>
                <w:sz w:val="22"/>
                <w:lang w:val="es-ES" w:eastAsia="zh-CN"/>
              </w:rPr>
              <w:t xml:space="preserve"> la solución presentada en esta sección.</w:t>
            </w:r>
          </w:p>
          <w:p w:rsidR="00F66845" w:rsidRPr="00DA7BD8" w:rsidRDefault="00F66845" w:rsidP="00972257">
            <w:pPr>
              <w:keepNext/>
              <w:tabs>
                <w:tab w:val="clear" w:pos="794"/>
                <w:tab w:val="clear" w:pos="1191"/>
                <w:tab w:val="clear" w:pos="1588"/>
                <w:tab w:val="clear" w:pos="1985"/>
              </w:tabs>
              <w:overflowPunct/>
              <w:autoSpaceDE/>
              <w:autoSpaceDN/>
              <w:adjustRightInd/>
              <w:spacing w:before="120" w:after="80" w:line="240" w:lineRule="auto"/>
              <w:ind w:left="794" w:hanging="794"/>
              <w:textAlignment w:val="auto"/>
              <w:outlineLvl w:val="2"/>
              <w:rPr>
                <w:rFonts w:asciiTheme="minorHAnsi" w:hAnsiTheme="minorHAnsi"/>
                <w:b/>
                <w:color w:val="000000"/>
                <w:sz w:val="22"/>
                <w:lang w:val="es-ES" w:eastAsia="zh-CN"/>
              </w:rPr>
            </w:pPr>
            <w:r w:rsidRPr="00DA7BD8">
              <w:rPr>
                <w:rFonts w:asciiTheme="minorHAnsi" w:hAnsiTheme="minorHAnsi"/>
                <w:b/>
                <w:color w:val="000000"/>
                <w:sz w:val="22"/>
                <w:lang w:val="es-ES" w:eastAsia="zh-CN"/>
              </w:rPr>
              <w:t>3.2.7</w:t>
            </w:r>
            <w:r w:rsidRPr="00DA7BD8">
              <w:rPr>
                <w:rFonts w:asciiTheme="minorHAnsi" w:hAnsiTheme="minorHAnsi"/>
                <w:b/>
                <w:color w:val="000000"/>
                <w:sz w:val="22"/>
                <w:lang w:val="es-ES" w:eastAsia="zh-CN"/>
              </w:rPr>
              <w:tab/>
              <w:t>Observaciones relativas al Apéndice 30B del RR</w:t>
            </w:r>
          </w:p>
          <w:p w:rsidR="00F66845" w:rsidRPr="00DA7BD8" w:rsidRDefault="00F66845" w:rsidP="00972257">
            <w:pPr>
              <w:keepNext/>
              <w:tabs>
                <w:tab w:val="clear" w:pos="794"/>
                <w:tab w:val="clear" w:pos="1191"/>
                <w:tab w:val="clear" w:pos="1588"/>
                <w:tab w:val="clear" w:pos="1985"/>
                <w:tab w:val="left" w:pos="1021"/>
              </w:tabs>
              <w:overflowPunct/>
              <w:autoSpaceDE/>
              <w:autoSpaceDN/>
              <w:adjustRightInd/>
              <w:spacing w:before="120" w:after="80" w:line="240" w:lineRule="auto"/>
              <w:ind w:left="1021" w:hanging="1021"/>
              <w:textAlignment w:val="auto"/>
              <w:outlineLvl w:val="3"/>
              <w:rPr>
                <w:rFonts w:asciiTheme="minorHAnsi" w:hAnsiTheme="minorHAnsi"/>
                <w:b/>
                <w:color w:val="000000"/>
                <w:sz w:val="22"/>
                <w:lang w:val="es-ES" w:eastAsia="zh-CN"/>
              </w:rPr>
            </w:pPr>
            <w:r w:rsidRPr="00DA7BD8">
              <w:rPr>
                <w:rFonts w:asciiTheme="minorHAnsi" w:hAnsiTheme="minorHAnsi"/>
                <w:b/>
                <w:color w:val="000000"/>
                <w:sz w:val="22"/>
                <w:lang w:val="es-ES" w:eastAsia="zh-CN"/>
              </w:rPr>
              <w:t>3.2.7.1</w:t>
            </w:r>
            <w:r w:rsidRPr="00DA7BD8">
              <w:rPr>
                <w:rFonts w:asciiTheme="minorHAnsi" w:hAnsiTheme="minorHAnsi"/>
                <w:b/>
                <w:color w:val="000000"/>
                <w:sz w:val="22"/>
                <w:lang w:val="es-ES" w:eastAsia="zh-CN"/>
              </w:rPr>
              <w:tab/>
              <w:t>Inscripción provisional de una asignación convertida</w:t>
            </w:r>
          </w:p>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b/>
                <w:bCs/>
                <w:color w:val="000000"/>
                <w:sz w:val="22"/>
                <w:lang w:val="es-ES" w:eastAsia="zh-CN"/>
              </w:rPr>
              <w:t>La CMR-15 examinó y confirmó</w:t>
            </w:r>
            <w:r w:rsidRPr="00DA7BD8">
              <w:rPr>
                <w:rFonts w:asciiTheme="minorHAnsi" w:hAnsiTheme="minorHAnsi"/>
                <w:color w:val="000000"/>
                <w:sz w:val="22"/>
                <w:lang w:val="es-ES" w:eastAsia="zh-CN"/>
              </w:rPr>
              <w:t xml:space="preserve"> las medidas presentadas en esta sección.</w:t>
            </w:r>
          </w:p>
          <w:p w:rsidR="00F66845" w:rsidRPr="00DA7BD8" w:rsidRDefault="00F66845" w:rsidP="00972257">
            <w:pPr>
              <w:tabs>
                <w:tab w:val="clear" w:pos="794"/>
                <w:tab w:val="clear" w:pos="1191"/>
                <w:tab w:val="clear" w:pos="1588"/>
                <w:tab w:val="clear" w:pos="1985"/>
                <w:tab w:val="left" w:pos="-2610"/>
              </w:tabs>
              <w:overflowPunct/>
              <w:autoSpaceDE/>
              <w:autoSpaceDN/>
              <w:adjustRightInd/>
              <w:spacing w:before="120" w:after="80" w:line="240" w:lineRule="auto"/>
              <w:ind w:left="1170" w:hanging="1170"/>
              <w:textAlignment w:val="auto"/>
              <w:rPr>
                <w:rFonts w:asciiTheme="minorHAnsi" w:hAnsiTheme="minorHAnsi"/>
                <w:color w:val="000000"/>
                <w:sz w:val="22"/>
                <w:lang w:val="es-ES" w:eastAsia="zh-CN"/>
              </w:rPr>
            </w:pPr>
            <w:r w:rsidRPr="00DA7BD8">
              <w:rPr>
                <w:rFonts w:asciiTheme="minorHAnsi" w:hAnsiTheme="minorHAnsi"/>
                <w:b/>
                <w:color w:val="000000"/>
                <w:sz w:val="22"/>
                <w:lang w:val="es-ES" w:eastAsia="zh-CN"/>
              </w:rPr>
              <w:t>Add1 §6</w:t>
            </w:r>
            <w:r w:rsidRPr="00DA7BD8">
              <w:rPr>
                <w:rFonts w:asciiTheme="minorHAnsi" w:hAnsiTheme="minorHAnsi"/>
                <w:b/>
                <w:color w:val="000000"/>
                <w:sz w:val="22"/>
                <w:lang w:val="es-ES" w:eastAsia="zh-CN"/>
              </w:rPr>
              <w:tab/>
              <w:t>Número 13.6 del Reglamento de Radiocomunicaciones</w:t>
            </w:r>
          </w:p>
          <w:p w:rsidR="00F66845" w:rsidRPr="00046311" w:rsidRDefault="00F66845" w:rsidP="00972257">
            <w:pPr>
              <w:keepNext/>
              <w:tabs>
                <w:tab w:val="clear" w:pos="794"/>
                <w:tab w:val="clear" w:pos="1191"/>
                <w:tab w:val="clear" w:pos="1588"/>
                <w:tab w:val="clear" w:pos="1985"/>
                <w:tab w:val="left" w:pos="1134"/>
                <w:tab w:val="left" w:pos="1871"/>
                <w:tab w:val="left" w:pos="2268"/>
              </w:tabs>
              <w:overflowPunct/>
              <w:autoSpaceDE/>
              <w:autoSpaceDN/>
              <w:adjustRightInd/>
              <w:spacing w:before="120" w:after="80" w:line="240" w:lineRule="auto"/>
              <w:textAlignment w:val="auto"/>
              <w:rPr>
                <w:rFonts w:asciiTheme="minorHAnsi" w:hAnsiTheme="minorHAnsi"/>
                <w:caps/>
                <w:color w:val="000000"/>
                <w:sz w:val="22"/>
                <w:lang w:val="es-ES" w:eastAsia="zh-CN"/>
              </w:rPr>
            </w:pPr>
            <w:r w:rsidRPr="00DA7BD8">
              <w:rPr>
                <w:rFonts w:asciiTheme="minorHAnsi" w:hAnsiTheme="minorHAnsi"/>
                <w:color w:val="000000"/>
                <w:sz w:val="22"/>
                <w:lang w:val="es-ES" w:eastAsia="zh-CN"/>
              </w:rPr>
              <w:t xml:space="preserve">Esta sección del informe planteaba la cuestión de si una evidencia parcial proporcionada por una administración para apoyar la utilización de asignaciones de frecuencia en una banda de frecuencias puede considerarse suficiente, en respuesta a una consulta en virtud del número 13.6 del RR, para demostrar que se utilizan las asignaciones de frecuencia, o que se siguen utilizando, de conformidad con las características notificadas inscritas en el Registro Internacional de Frecuencias. Al examinar esta cuestión, </w:t>
            </w:r>
            <w:r w:rsidRPr="00DA7BD8">
              <w:rPr>
                <w:rFonts w:asciiTheme="minorHAnsi" w:hAnsiTheme="minorHAnsi"/>
                <w:b/>
                <w:bCs/>
                <w:color w:val="000000"/>
                <w:sz w:val="22"/>
                <w:lang w:val="es-ES" w:eastAsia="zh-CN"/>
              </w:rPr>
              <w:t>la CMR-15 consideró</w:t>
            </w:r>
            <w:r w:rsidRPr="00DA7BD8">
              <w:rPr>
                <w:rFonts w:asciiTheme="minorHAnsi" w:hAnsiTheme="minorHAnsi"/>
                <w:color w:val="000000"/>
                <w:sz w:val="22"/>
                <w:lang w:val="es-ES" w:eastAsia="zh-CN"/>
              </w:rPr>
              <w:t xml:space="preserve"> que era necesario que las administraciones respondieran de la forma más completa posible a las consultas en virtud del número 13.6 del RR. Si la Oficina recibe lo que considera ser una respuesta parcial a una consulta, se espera que la Oficina aclare aún más el alcance de su consulta a la administración o solicite información adicional o alternativa. Además, se reconoce que la CMR-15 acordó ciertas revisiones al número 13.6 del RR que tienen por objeto garantizar una mayor transparencia en la aplicación de esta disposición. Estas revisiones deben servir para ayudar a resolver esas cuestiones. </w:t>
            </w:r>
          </w:p>
        </w:tc>
      </w:tr>
      <w:tr w:rsidR="00F66845" w:rsidRPr="005579E2" w:rsidTr="00046311">
        <w:tc>
          <w:tcPr>
            <w:tcW w:w="1555" w:type="dxa"/>
            <w:tcBorders>
              <w:top w:val="single" w:sz="4" w:space="0" w:color="auto"/>
              <w:left w:val="single" w:sz="4" w:space="0" w:color="auto"/>
              <w:bottom w:val="single" w:sz="4" w:space="0" w:color="auto"/>
              <w:right w:val="single" w:sz="4" w:space="0" w:color="auto"/>
            </w:tcBorders>
          </w:tcPr>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jc w:val="left"/>
              <w:textAlignment w:val="auto"/>
              <w:rPr>
                <w:rFonts w:asciiTheme="minorHAnsi" w:hAnsiTheme="minorHAnsi"/>
                <w:b/>
                <w:color w:val="000000"/>
                <w:sz w:val="22"/>
                <w:lang w:val="es-ES" w:eastAsia="zh-CN"/>
              </w:rPr>
            </w:pPr>
          </w:p>
        </w:tc>
        <w:tc>
          <w:tcPr>
            <w:tcW w:w="2016" w:type="dxa"/>
            <w:tcBorders>
              <w:top w:val="single" w:sz="4" w:space="0" w:color="auto"/>
              <w:left w:val="single" w:sz="4" w:space="0" w:color="auto"/>
              <w:bottom w:val="single" w:sz="4" w:space="0" w:color="auto"/>
              <w:right w:val="single" w:sz="4" w:space="0" w:color="auto"/>
            </w:tcBorders>
            <w:hideMark/>
          </w:tcPr>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jc w:val="left"/>
              <w:textAlignment w:val="auto"/>
              <w:rPr>
                <w:rFonts w:asciiTheme="minorHAnsi" w:hAnsiTheme="minorHAnsi"/>
                <w:b/>
                <w:color w:val="000000"/>
                <w:sz w:val="22"/>
                <w:lang w:val="es-ES" w:eastAsia="zh-CN"/>
              </w:rPr>
            </w:pPr>
            <w:r w:rsidRPr="00DA7BD8">
              <w:rPr>
                <w:rFonts w:asciiTheme="minorHAnsi" w:hAnsiTheme="minorHAnsi"/>
                <w:b/>
                <w:color w:val="000000"/>
                <w:sz w:val="22"/>
                <w:lang w:val="es-ES" w:eastAsia="zh-CN"/>
              </w:rPr>
              <w:t xml:space="preserve">Párrs. 1.45 a 1.49 </w:t>
            </w:r>
            <w:r w:rsidR="005579E2">
              <w:rPr>
                <w:rFonts w:asciiTheme="minorHAnsi" w:hAnsiTheme="minorHAnsi"/>
                <w:b/>
                <w:color w:val="000000"/>
                <w:sz w:val="22"/>
                <w:lang w:val="es-ES" w:eastAsia="zh-CN"/>
              </w:rPr>
              <w:br/>
            </w:r>
            <w:r w:rsidRPr="00DA7BD8">
              <w:rPr>
                <w:rFonts w:asciiTheme="minorHAnsi" w:hAnsiTheme="minorHAnsi"/>
                <w:b/>
                <w:color w:val="000000"/>
                <w:sz w:val="22"/>
                <w:lang w:val="es-ES" w:eastAsia="zh-CN"/>
              </w:rPr>
              <w:t>Aprobación del Documento 427</w:t>
            </w:r>
          </w:p>
        </w:tc>
        <w:tc>
          <w:tcPr>
            <w:tcW w:w="11594" w:type="dxa"/>
            <w:tcBorders>
              <w:top w:val="single" w:sz="4" w:space="0" w:color="auto"/>
              <w:left w:val="single" w:sz="4" w:space="0" w:color="auto"/>
              <w:bottom w:val="single" w:sz="4" w:space="0" w:color="auto"/>
              <w:right w:val="single" w:sz="4" w:space="0" w:color="auto"/>
            </w:tcBorders>
            <w:hideMark/>
          </w:tcPr>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color w:val="000000"/>
                <w:sz w:val="22"/>
                <w:lang w:val="es-ES" w:eastAsia="zh-CN"/>
              </w:rPr>
              <w:t xml:space="preserve">En el Documento 110, la Administración de Colombia solicitó a la CMR-15 que considerase la posibilidad de ampliar el periodo reglamentario para la puesta en servicio de las asignaciones de frecuencias a la red de satélites SATCOL 1B, habida cuenta del Artículo 44 de la Constitución de la UIT y de la Recomendación 6 de la Conferencia de Plenipotenciarios de 2014 (PP14). La Administración de Colombia solicitó el respaldo de la CMR-15, a fin de que encargase a la Oficina de Radiocomunicaciones que ampliase el periodo reglamentario para la puesta en servicio de las asignaciones a SATCOL 1B hasta el 28 de noviembre de 2018. Las administraciones interesadas celebraron los debates oportunos para llegar a un acuerdo con respecto a la protección de sus redes de satélites. Con arreglo a los acuerdos alcanzados entre las administraciones interesadas, </w:t>
            </w:r>
            <w:r w:rsidRPr="00DA7BD8">
              <w:rPr>
                <w:rFonts w:asciiTheme="minorHAnsi" w:hAnsiTheme="minorHAnsi"/>
                <w:b/>
                <w:bCs/>
                <w:color w:val="000000"/>
                <w:sz w:val="22"/>
                <w:lang w:val="es-ES" w:eastAsia="zh-CN"/>
              </w:rPr>
              <w:t>la CMR-15 encargó a la Oficina de Radiocomunicaciones</w:t>
            </w:r>
            <w:r w:rsidRPr="00DA7BD8">
              <w:rPr>
                <w:rFonts w:asciiTheme="minorHAnsi" w:hAnsiTheme="minorHAnsi"/>
                <w:color w:val="000000"/>
                <w:sz w:val="22"/>
                <w:lang w:val="es-ES" w:eastAsia="zh-CN"/>
              </w:rPr>
              <w:t xml:space="preserve"> que ampliase el periodo reglamentario para la puesta en servicio de las asignaciones a SATCOL 1B hasta el 28 de noviembre de 2018. </w:t>
            </w:r>
          </w:p>
        </w:tc>
      </w:tr>
      <w:tr w:rsidR="00F66845" w:rsidRPr="005579E2" w:rsidTr="00046311">
        <w:tc>
          <w:tcPr>
            <w:tcW w:w="1555" w:type="dxa"/>
            <w:tcBorders>
              <w:top w:val="single" w:sz="4" w:space="0" w:color="auto"/>
              <w:left w:val="single" w:sz="4" w:space="0" w:color="auto"/>
              <w:bottom w:val="single" w:sz="4" w:space="0" w:color="auto"/>
              <w:right w:val="single" w:sz="4" w:space="0" w:color="auto"/>
            </w:tcBorders>
            <w:hideMark/>
          </w:tcPr>
          <w:p w:rsidR="00F66845" w:rsidRPr="00F244D0" w:rsidRDefault="00F66845" w:rsidP="00972257">
            <w:pPr>
              <w:spacing w:before="120" w:after="80" w:line="240" w:lineRule="auto"/>
              <w:jc w:val="left"/>
              <w:rPr>
                <w:b/>
                <w:bCs/>
                <w:sz w:val="22"/>
                <w:lang w:val="es-ES_tradnl"/>
              </w:rPr>
            </w:pPr>
            <w:r w:rsidRPr="00F244D0">
              <w:rPr>
                <w:b/>
                <w:bCs/>
                <w:sz w:val="22"/>
                <w:lang w:val="es-ES_tradnl"/>
              </w:rPr>
              <w:t xml:space="preserve">Documento CMR15/508 – Actas de la undécima Sesión Plenaria </w:t>
            </w:r>
          </w:p>
        </w:tc>
        <w:tc>
          <w:tcPr>
            <w:tcW w:w="2016" w:type="dxa"/>
            <w:tcBorders>
              <w:top w:val="single" w:sz="4" w:space="0" w:color="auto"/>
              <w:left w:val="single" w:sz="4" w:space="0" w:color="auto"/>
              <w:bottom w:val="single" w:sz="4" w:space="0" w:color="auto"/>
              <w:right w:val="single" w:sz="4" w:space="0" w:color="auto"/>
            </w:tcBorders>
            <w:hideMark/>
          </w:tcPr>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jc w:val="left"/>
              <w:textAlignment w:val="auto"/>
              <w:rPr>
                <w:rFonts w:asciiTheme="minorHAnsi" w:hAnsiTheme="minorHAnsi"/>
                <w:b/>
                <w:color w:val="000000"/>
                <w:sz w:val="22"/>
                <w:lang w:val="es-ES" w:eastAsia="zh-CN"/>
              </w:rPr>
            </w:pPr>
            <w:r w:rsidRPr="00DA7BD8">
              <w:rPr>
                <w:rFonts w:asciiTheme="minorHAnsi" w:hAnsiTheme="minorHAnsi"/>
                <w:b/>
                <w:color w:val="000000"/>
                <w:sz w:val="22"/>
                <w:lang w:val="es-ES" w:eastAsia="zh-CN"/>
              </w:rPr>
              <w:t xml:space="preserve">Párrs. 1.1 </w:t>
            </w:r>
            <w:r w:rsidR="00024B71">
              <w:rPr>
                <w:rFonts w:asciiTheme="minorHAnsi" w:hAnsiTheme="minorHAnsi"/>
                <w:b/>
                <w:color w:val="000000"/>
                <w:sz w:val="22"/>
                <w:lang w:val="es-ES" w:eastAsia="zh-CN"/>
              </w:rPr>
              <w:t>a</w:t>
            </w:r>
            <w:r w:rsidRPr="00DA7BD8">
              <w:rPr>
                <w:rFonts w:asciiTheme="minorHAnsi" w:hAnsiTheme="minorHAnsi"/>
                <w:b/>
                <w:color w:val="000000"/>
                <w:sz w:val="22"/>
                <w:lang w:val="es-ES" w:eastAsia="zh-CN"/>
              </w:rPr>
              <w:t xml:space="preserve"> 1.5 </w:t>
            </w:r>
            <w:r w:rsidR="005579E2">
              <w:rPr>
                <w:rFonts w:asciiTheme="minorHAnsi" w:hAnsiTheme="minorHAnsi"/>
                <w:b/>
                <w:color w:val="000000"/>
                <w:sz w:val="22"/>
                <w:lang w:val="es-ES" w:eastAsia="zh-CN"/>
              </w:rPr>
              <w:br/>
            </w:r>
            <w:r w:rsidRPr="00DA7BD8">
              <w:rPr>
                <w:rFonts w:asciiTheme="minorHAnsi" w:hAnsiTheme="minorHAnsi"/>
                <w:b/>
                <w:color w:val="000000"/>
                <w:sz w:val="22"/>
                <w:lang w:val="es-ES" w:eastAsia="zh-CN"/>
              </w:rPr>
              <w:t>Aprobación del Documento 456</w:t>
            </w:r>
          </w:p>
        </w:tc>
        <w:tc>
          <w:tcPr>
            <w:tcW w:w="11594" w:type="dxa"/>
            <w:tcBorders>
              <w:top w:val="single" w:sz="4" w:space="0" w:color="auto"/>
              <w:left w:val="single" w:sz="4" w:space="0" w:color="auto"/>
              <w:bottom w:val="single" w:sz="4" w:space="0" w:color="auto"/>
              <w:right w:val="single" w:sz="4" w:space="0" w:color="auto"/>
            </w:tcBorders>
            <w:hideMark/>
          </w:tcPr>
          <w:p w:rsidR="00F66845" w:rsidRPr="00046311"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b/>
                <w:sz w:val="22"/>
                <w:lang w:val="es-ES" w:eastAsia="zh-CN"/>
              </w:rPr>
            </w:pPr>
            <w:r w:rsidRPr="00046311">
              <w:rPr>
                <w:rFonts w:asciiTheme="minorHAnsi" w:hAnsiTheme="minorHAnsi"/>
                <w:sz w:val="22"/>
                <w:lang w:val="es-ES" w:eastAsia="zh-CN"/>
              </w:rPr>
              <w:t xml:space="preserve">Al adoptar el número 5.A112, </w:t>
            </w:r>
            <w:r w:rsidRPr="00046311">
              <w:rPr>
                <w:rFonts w:asciiTheme="minorHAnsi" w:hAnsiTheme="minorHAnsi"/>
                <w:b/>
                <w:bCs/>
                <w:sz w:val="22"/>
                <w:lang w:val="es-ES" w:eastAsia="zh-CN"/>
              </w:rPr>
              <w:t>la CMR-15 reconoció</w:t>
            </w:r>
            <w:r w:rsidRPr="00046311">
              <w:rPr>
                <w:rFonts w:asciiTheme="minorHAnsi" w:hAnsiTheme="minorHAnsi"/>
                <w:sz w:val="22"/>
                <w:lang w:val="es-ES" w:eastAsia="zh-CN"/>
              </w:rPr>
              <w:t xml:space="preserve"> la Resolución 174 (Rev. Busán, 2014), relativa a la «Función de la UIT respecto a los problemas de política pública internacional asociados al riesgo de utilización ilícita de las tecnologías de la información y la comunicación», así como la Resolución A/RES/41/65 de la Asamblea General de las Naciones Unidas sobre «Principios relativos a la teleobservación de la Tierra desde el espacio» y, en particular, su Principio IV, los cuales revisten una importancia particular para esta aplicación.</w:t>
            </w:r>
          </w:p>
        </w:tc>
      </w:tr>
      <w:tr w:rsidR="00F66845" w:rsidRPr="005579E2" w:rsidTr="00046311">
        <w:tc>
          <w:tcPr>
            <w:tcW w:w="1555" w:type="dxa"/>
            <w:tcBorders>
              <w:top w:val="single" w:sz="4" w:space="0" w:color="auto"/>
              <w:left w:val="single" w:sz="4" w:space="0" w:color="auto"/>
              <w:bottom w:val="single" w:sz="4" w:space="0" w:color="auto"/>
              <w:right w:val="single" w:sz="4" w:space="0" w:color="auto"/>
            </w:tcBorders>
          </w:tcPr>
          <w:p w:rsidR="00F66845" w:rsidRPr="00F244D0" w:rsidRDefault="00F66845" w:rsidP="00972257">
            <w:pPr>
              <w:spacing w:before="120" w:after="80" w:line="240" w:lineRule="auto"/>
              <w:jc w:val="left"/>
              <w:rPr>
                <w:b/>
                <w:bCs/>
                <w:sz w:val="22"/>
                <w:lang w:val="es-ES_tradnl"/>
              </w:rPr>
            </w:pPr>
            <w:r w:rsidRPr="00F244D0">
              <w:rPr>
                <w:b/>
                <w:bCs/>
                <w:sz w:val="22"/>
                <w:lang w:val="es-ES_tradnl"/>
              </w:rPr>
              <w:lastRenderedPageBreak/>
              <w:t xml:space="preserve">Documento CMR15/509 – Actas de la duodécima Sesión Plenaria </w:t>
            </w:r>
          </w:p>
        </w:tc>
        <w:tc>
          <w:tcPr>
            <w:tcW w:w="2016" w:type="dxa"/>
            <w:tcBorders>
              <w:top w:val="single" w:sz="4" w:space="0" w:color="auto"/>
              <w:left w:val="single" w:sz="4" w:space="0" w:color="auto"/>
              <w:bottom w:val="single" w:sz="4" w:space="0" w:color="auto"/>
              <w:right w:val="single" w:sz="4" w:space="0" w:color="auto"/>
            </w:tcBorders>
            <w:hideMark/>
          </w:tcPr>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jc w:val="left"/>
              <w:textAlignment w:val="auto"/>
              <w:rPr>
                <w:rFonts w:asciiTheme="minorHAnsi" w:hAnsiTheme="minorHAnsi"/>
                <w:b/>
                <w:color w:val="000000"/>
                <w:sz w:val="22"/>
                <w:lang w:val="es-ES" w:eastAsia="zh-CN"/>
              </w:rPr>
            </w:pPr>
            <w:r w:rsidRPr="00DA7BD8">
              <w:rPr>
                <w:rFonts w:asciiTheme="minorHAnsi" w:hAnsiTheme="minorHAnsi"/>
                <w:b/>
                <w:color w:val="000000"/>
                <w:sz w:val="22"/>
                <w:lang w:val="es-ES" w:eastAsia="zh-CN"/>
              </w:rPr>
              <w:t xml:space="preserve">Párrs. 3.1 </w:t>
            </w:r>
            <w:r w:rsidR="005579E2">
              <w:rPr>
                <w:rFonts w:asciiTheme="minorHAnsi" w:hAnsiTheme="minorHAnsi"/>
                <w:b/>
                <w:color w:val="000000"/>
                <w:sz w:val="22"/>
                <w:lang w:val="es-ES" w:eastAsia="zh-CN"/>
              </w:rPr>
              <w:t>a</w:t>
            </w:r>
            <w:r w:rsidRPr="00DA7BD8">
              <w:rPr>
                <w:rFonts w:asciiTheme="minorHAnsi" w:hAnsiTheme="minorHAnsi"/>
                <w:b/>
                <w:color w:val="000000"/>
                <w:sz w:val="22"/>
                <w:lang w:val="es-ES" w:eastAsia="zh-CN"/>
              </w:rPr>
              <w:t xml:space="preserve"> 3.10 </w:t>
            </w:r>
            <w:r w:rsidR="005579E2">
              <w:rPr>
                <w:rFonts w:asciiTheme="minorHAnsi" w:hAnsiTheme="minorHAnsi"/>
                <w:b/>
                <w:color w:val="000000"/>
                <w:sz w:val="22"/>
                <w:lang w:val="es-ES" w:eastAsia="zh-CN"/>
              </w:rPr>
              <w:br/>
            </w:r>
            <w:r w:rsidRPr="00DA7BD8">
              <w:rPr>
                <w:rFonts w:asciiTheme="minorHAnsi" w:hAnsiTheme="minorHAnsi"/>
                <w:b/>
                <w:color w:val="000000"/>
                <w:sz w:val="22"/>
                <w:lang w:val="es-ES" w:eastAsia="zh-CN"/>
              </w:rPr>
              <w:t>Aprobación del Documento 453</w:t>
            </w:r>
          </w:p>
        </w:tc>
        <w:tc>
          <w:tcPr>
            <w:tcW w:w="11594" w:type="dxa"/>
            <w:tcBorders>
              <w:top w:val="single" w:sz="4" w:space="0" w:color="auto"/>
              <w:left w:val="single" w:sz="4" w:space="0" w:color="auto"/>
              <w:bottom w:val="single" w:sz="4" w:space="0" w:color="auto"/>
              <w:right w:val="single" w:sz="4" w:space="0" w:color="auto"/>
            </w:tcBorders>
          </w:tcPr>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color w:val="000000"/>
                <w:sz w:val="22"/>
                <w:lang w:val="es-ES" w:eastAsia="zh-CN"/>
              </w:rPr>
              <w:t xml:space="preserve">Antes de adoptar la decisión de modificar el número 11.49 del Reglamento de Radiocomunicaciones en el marco del punto 7 del orden del día, tema A, </w:t>
            </w:r>
            <w:r w:rsidRPr="00DA7BD8">
              <w:rPr>
                <w:rFonts w:asciiTheme="minorHAnsi" w:hAnsiTheme="minorHAnsi"/>
                <w:b/>
                <w:bCs/>
                <w:color w:val="000000"/>
                <w:sz w:val="22"/>
                <w:lang w:val="es-ES" w:eastAsia="zh-CN"/>
              </w:rPr>
              <w:t>la CMR-15 reconoció</w:t>
            </w:r>
            <w:r w:rsidRPr="00DA7BD8">
              <w:rPr>
                <w:rFonts w:asciiTheme="minorHAnsi" w:hAnsiTheme="minorHAnsi"/>
                <w:color w:val="000000"/>
                <w:sz w:val="22"/>
                <w:lang w:val="es-ES" w:eastAsia="zh-CN"/>
              </w:rPr>
              <w:t xml:space="preserve"> la necesidad de promover la transparencia sin comprometer el trato equitativo de las administraciones. En particular, la CMR-15 ha examinado detalladamente las inquietudes expresadas por algunas administraciones en relación con la posible incertidumbre que podría provocar la adopción de una disposición que puede reducir el per</w:t>
            </w:r>
            <w:r w:rsidR="00E55512">
              <w:rPr>
                <w:rFonts w:asciiTheme="minorHAnsi" w:hAnsiTheme="minorHAnsi"/>
                <w:color w:val="000000"/>
                <w:sz w:val="22"/>
                <w:lang w:val="es-ES" w:eastAsia="zh-CN"/>
              </w:rPr>
              <w:t>i</w:t>
            </w:r>
            <w:r w:rsidRPr="00DA7BD8">
              <w:rPr>
                <w:rFonts w:asciiTheme="minorHAnsi" w:hAnsiTheme="minorHAnsi"/>
                <w:color w:val="000000"/>
                <w:sz w:val="22"/>
                <w:lang w:val="es-ES" w:eastAsia="zh-CN"/>
              </w:rPr>
              <w:t xml:space="preserve">odo de nueva puesta en servicio por la presentación fuera de plazo de información a la Oficina para la suspensión de asignaciones de frecuencias inscritas. </w:t>
            </w:r>
            <w:r w:rsidRPr="00DA7BD8">
              <w:rPr>
                <w:rFonts w:asciiTheme="minorHAnsi" w:hAnsiTheme="minorHAnsi"/>
                <w:b/>
                <w:bCs/>
                <w:color w:val="000000"/>
                <w:sz w:val="22"/>
                <w:lang w:val="es-ES" w:eastAsia="zh-CN"/>
              </w:rPr>
              <w:t>En consecuencia, la CMR-15 decide encargar a la Junta del Reglamento de Radiocomunicaciones</w:t>
            </w:r>
            <w:r w:rsidRPr="00DA7BD8">
              <w:rPr>
                <w:rFonts w:asciiTheme="minorHAnsi" w:hAnsiTheme="minorHAnsi"/>
                <w:color w:val="000000"/>
                <w:sz w:val="22"/>
                <w:lang w:val="es-ES" w:eastAsia="zh-CN"/>
              </w:rPr>
              <w:t>, en aplicación del número 11.49 en su forma revisada por la CMR-15, que tenga en cuenta todas las circunstancias atenuantes legítimas que podrían impedir que una administración notificante cumpliera el plazo de seis meses. Si la Oficina cuenta con información fidedigna sobre la suspensión de la utilización de una asignación de frecuencia, realizada no obstante dentro del per</w:t>
            </w:r>
            <w:r w:rsidR="00E55512">
              <w:rPr>
                <w:rFonts w:asciiTheme="minorHAnsi" w:hAnsiTheme="minorHAnsi"/>
                <w:color w:val="000000"/>
                <w:sz w:val="22"/>
                <w:lang w:val="es-ES" w:eastAsia="zh-CN"/>
              </w:rPr>
              <w:t>i</w:t>
            </w:r>
            <w:r w:rsidRPr="00DA7BD8">
              <w:rPr>
                <w:rFonts w:asciiTheme="minorHAnsi" w:hAnsiTheme="minorHAnsi"/>
                <w:color w:val="000000"/>
                <w:sz w:val="22"/>
                <w:lang w:val="es-ES" w:eastAsia="zh-CN"/>
              </w:rPr>
              <w:t xml:space="preserve">odo de seis meses, </w:t>
            </w:r>
            <w:r w:rsidRPr="00DA7BD8">
              <w:rPr>
                <w:rFonts w:asciiTheme="minorHAnsi" w:hAnsiTheme="minorHAnsi"/>
                <w:b/>
                <w:bCs/>
                <w:color w:val="000000"/>
                <w:sz w:val="22"/>
                <w:lang w:val="es-ES" w:eastAsia="zh-CN"/>
              </w:rPr>
              <w:t>se alienta a la Oficina</w:t>
            </w:r>
            <w:r w:rsidRPr="00DA7BD8">
              <w:rPr>
                <w:rFonts w:asciiTheme="minorHAnsi" w:hAnsiTheme="minorHAnsi"/>
                <w:color w:val="000000"/>
                <w:sz w:val="22"/>
                <w:lang w:val="es-ES" w:eastAsia="zh-CN"/>
              </w:rPr>
              <w:t xml:space="preserve">, por cortesía, a que recuerde a la administración notificante su obligación de informar a la Oficina de la suspensión en virtud del número 11.49. </w:t>
            </w:r>
          </w:p>
        </w:tc>
      </w:tr>
      <w:tr w:rsidR="00F66845" w:rsidRPr="005579E2" w:rsidTr="00046311">
        <w:tc>
          <w:tcPr>
            <w:tcW w:w="1555" w:type="dxa"/>
            <w:tcBorders>
              <w:top w:val="single" w:sz="4" w:space="0" w:color="auto"/>
              <w:left w:val="single" w:sz="4" w:space="0" w:color="auto"/>
              <w:bottom w:val="single" w:sz="4" w:space="0" w:color="auto"/>
              <w:right w:val="single" w:sz="4" w:space="0" w:color="auto"/>
            </w:tcBorders>
            <w:hideMark/>
          </w:tcPr>
          <w:p w:rsidR="00F66845" w:rsidRPr="00F244D0" w:rsidRDefault="00F66845" w:rsidP="00972257">
            <w:pPr>
              <w:spacing w:before="120" w:after="80" w:line="240" w:lineRule="auto"/>
              <w:jc w:val="left"/>
              <w:rPr>
                <w:b/>
                <w:bCs/>
                <w:sz w:val="22"/>
                <w:lang w:val="es-ES_tradnl"/>
              </w:rPr>
            </w:pPr>
            <w:r w:rsidRPr="00F244D0">
              <w:rPr>
                <w:b/>
                <w:bCs/>
                <w:sz w:val="22"/>
                <w:lang w:val="es-ES_tradnl"/>
              </w:rPr>
              <w:t xml:space="preserve">Documento CMR15/510 – Actas de la decimotercera Sesión Plenaria </w:t>
            </w:r>
          </w:p>
        </w:tc>
        <w:tc>
          <w:tcPr>
            <w:tcW w:w="2016" w:type="dxa"/>
            <w:tcBorders>
              <w:top w:val="single" w:sz="4" w:space="0" w:color="auto"/>
              <w:left w:val="single" w:sz="4" w:space="0" w:color="auto"/>
              <w:bottom w:val="single" w:sz="4" w:space="0" w:color="auto"/>
              <w:right w:val="single" w:sz="4" w:space="0" w:color="auto"/>
            </w:tcBorders>
            <w:hideMark/>
          </w:tcPr>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jc w:val="left"/>
              <w:textAlignment w:val="auto"/>
              <w:rPr>
                <w:rFonts w:asciiTheme="minorHAnsi" w:hAnsiTheme="minorHAnsi"/>
                <w:b/>
                <w:color w:val="000000"/>
                <w:sz w:val="22"/>
                <w:lang w:val="es-ES" w:eastAsia="zh-CN"/>
              </w:rPr>
            </w:pPr>
            <w:r w:rsidRPr="00DA7BD8">
              <w:rPr>
                <w:rFonts w:asciiTheme="minorHAnsi" w:hAnsiTheme="minorHAnsi"/>
                <w:b/>
                <w:color w:val="000000"/>
                <w:sz w:val="22"/>
                <w:lang w:val="es-ES" w:eastAsia="zh-CN"/>
              </w:rPr>
              <w:t xml:space="preserve">Párrs. 7.13 </w:t>
            </w:r>
            <w:r w:rsidR="00024B71">
              <w:rPr>
                <w:rFonts w:asciiTheme="minorHAnsi" w:hAnsiTheme="minorHAnsi"/>
                <w:b/>
                <w:color w:val="000000"/>
                <w:sz w:val="22"/>
                <w:lang w:val="es-ES" w:eastAsia="zh-CN"/>
              </w:rPr>
              <w:t>a</w:t>
            </w:r>
            <w:r w:rsidRPr="00DA7BD8">
              <w:rPr>
                <w:rFonts w:asciiTheme="minorHAnsi" w:hAnsiTheme="minorHAnsi"/>
                <w:b/>
                <w:color w:val="000000"/>
                <w:sz w:val="22"/>
                <w:lang w:val="es-ES" w:eastAsia="zh-CN"/>
              </w:rPr>
              <w:t xml:space="preserve"> 7.32</w:t>
            </w:r>
            <w:r w:rsidR="005579E2">
              <w:rPr>
                <w:rFonts w:asciiTheme="minorHAnsi" w:hAnsiTheme="minorHAnsi"/>
                <w:b/>
                <w:color w:val="000000"/>
                <w:sz w:val="22"/>
                <w:lang w:val="es-ES" w:eastAsia="zh-CN"/>
              </w:rPr>
              <w:br/>
            </w:r>
            <w:r w:rsidRPr="00DA7BD8">
              <w:rPr>
                <w:rFonts w:asciiTheme="minorHAnsi" w:hAnsiTheme="minorHAnsi"/>
                <w:b/>
                <w:color w:val="000000"/>
                <w:sz w:val="22"/>
                <w:lang w:val="es-ES" w:eastAsia="zh-CN"/>
              </w:rPr>
              <w:t>Aprobación del Documento 468</w:t>
            </w:r>
          </w:p>
        </w:tc>
        <w:tc>
          <w:tcPr>
            <w:tcW w:w="11594" w:type="dxa"/>
            <w:tcBorders>
              <w:top w:val="single" w:sz="4" w:space="0" w:color="auto"/>
              <w:left w:val="single" w:sz="4" w:space="0" w:color="auto"/>
              <w:bottom w:val="single" w:sz="4" w:space="0" w:color="auto"/>
              <w:right w:val="single" w:sz="4" w:space="0" w:color="auto"/>
            </w:tcBorders>
          </w:tcPr>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color w:val="000000"/>
                <w:sz w:val="22"/>
                <w:lang w:val="es-ES" w:eastAsia="zh-CN"/>
              </w:rPr>
              <w:t xml:space="preserve">7.32 </w:t>
            </w:r>
            <w:r w:rsidRPr="00DA7BD8">
              <w:rPr>
                <w:rFonts w:asciiTheme="minorHAnsi" w:hAnsiTheme="minorHAnsi"/>
                <w:b/>
                <w:bCs/>
                <w:color w:val="000000"/>
                <w:sz w:val="22"/>
                <w:lang w:val="es-ES" w:eastAsia="zh-CN"/>
              </w:rPr>
              <w:t>Se acordó</w:t>
            </w:r>
            <w:r w:rsidRPr="00DA7BD8">
              <w:rPr>
                <w:rFonts w:asciiTheme="minorHAnsi" w:hAnsiTheme="minorHAnsi"/>
                <w:color w:val="000000"/>
                <w:sz w:val="22"/>
                <w:lang w:val="es-ES" w:eastAsia="zh-CN"/>
              </w:rPr>
              <w:t xml:space="preserve"> transmitir a la RRB la cuestión de la admisibilidad de solicitudes de coordinación para la nueva atribución al SFS en la banda 13,4-13,65 GHz antes de su entrada en vigor, a fin de que estudiara con detalle esta cuestión teniendo en cuenta todas las observaciones formuladas. </w:t>
            </w:r>
          </w:p>
        </w:tc>
      </w:tr>
      <w:tr w:rsidR="00F66845" w:rsidRPr="005579E2" w:rsidTr="00046311">
        <w:tc>
          <w:tcPr>
            <w:tcW w:w="1555" w:type="dxa"/>
            <w:vMerge w:val="restart"/>
            <w:tcBorders>
              <w:top w:val="single" w:sz="4" w:space="0" w:color="auto"/>
              <w:left w:val="single" w:sz="4" w:space="0" w:color="auto"/>
              <w:bottom w:val="single" w:sz="4" w:space="0" w:color="auto"/>
              <w:right w:val="single" w:sz="4" w:space="0" w:color="auto"/>
            </w:tcBorders>
          </w:tcPr>
          <w:p w:rsidR="00F66845" w:rsidRPr="00F244D0" w:rsidRDefault="00F66845" w:rsidP="00972257">
            <w:pPr>
              <w:spacing w:before="120" w:after="80" w:line="240" w:lineRule="auto"/>
              <w:jc w:val="left"/>
              <w:rPr>
                <w:b/>
                <w:bCs/>
                <w:sz w:val="22"/>
                <w:lang w:val="es-ES_tradnl"/>
              </w:rPr>
            </w:pPr>
            <w:r w:rsidRPr="00F244D0">
              <w:rPr>
                <w:b/>
                <w:bCs/>
                <w:sz w:val="22"/>
                <w:lang w:val="es-ES_tradnl"/>
              </w:rPr>
              <w:t>Documento CMR15/511 – A</w:t>
            </w:r>
            <w:r w:rsidR="00024B71" w:rsidRPr="00F244D0">
              <w:rPr>
                <w:b/>
                <w:bCs/>
                <w:sz w:val="22"/>
                <w:lang w:val="es-ES_tradnl"/>
              </w:rPr>
              <w:t xml:space="preserve">ctas de la decimocuarta Sesión </w:t>
            </w:r>
            <w:r w:rsidRPr="00F244D0">
              <w:rPr>
                <w:b/>
                <w:bCs/>
                <w:sz w:val="22"/>
                <w:lang w:val="es-ES_tradnl"/>
              </w:rPr>
              <w:t xml:space="preserve">Plenaria </w:t>
            </w:r>
          </w:p>
        </w:tc>
        <w:tc>
          <w:tcPr>
            <w:tcW w:w="2016" w:type="dxa"/>
            <w:tcBorders>
              <w:top w:val="single" w:sz="4" w:space="0" w:color="auto"/>
              <w:left w:val="single" w:sz="4" w:space="0" w:color="auto"/>
              <w:bottom w:val="single" w:sz="4" w:space="0" w:color="auto"/>
              <w:right w:val="single" w:sz="4" w:space="0" w:color="auto"/>
            </w:tcBorders>
            <w:hideMark/>
          </w:tcPr>
          <w:p w:rsidR="00F66845" w:rsidRPr="00DA7BD8" w:rsidRDefault="00F66845" w:rsidP="00C15F04">
            <w:pPr>
              <w:tabs>
                <w:tab w:val="clear" w:pos="794"/>
                <w:tab w:val="clear" w:pos="1191"/>
                <w:tab w:val="clear" w:pos="1588"/>
                <w:tab w:val="clear" w:pos="1985"/>
              </w:tabs>
              <w:overflowPunct/>
              <w:autoSpaceDE/>
              <w:autoSpaceDN/>
              <w:adjustRightInd/>
              <w:spacing w:before="120" w:after="80" w:line="240" w:lineRule="auto"/>
              <w:jc w:val="left"/>
              <w:textAlignment w:val="auto"/>
              <w:rPr>
                <w:rFonts w:asciiTheme="minorHAnsi" w:hAnsiTheme="minorHAnsi"/>
                <w:b/>
                <w:color w:val="000000"/>
                <w:sz w:val="22"/>
                <w:lang w:val="es-ES" w:eastAsia="zh-CN"/>
              </w:rPr>
            </w:pPr>
            <w:r w:rsidRPr="00DA7BD8">
              <w:rPr>
                <w:rFonts w:asciiTheme="minorHAnsi" w:hAnsiTheme="minorHAnsi"/>
                <w:b/>
                <w:color w:val="000000"/>
                <w:sz w:val="22"/>
                <w:lang w:val="es-ES" w:eastAsia="zh-CN"/>
              </w:rPr>
              <w:t>Párrs. 1.16 a 1.31, 2.1 a 2.4 y 22.31 a</w:t>
            </w:r>
            <w:r w:rsidR="00C15F04">
              <w:rPr>
                <w:rFonts w:asciiTheme="minorHAnsi" w:hAnsiTheme="minorHAnsi"/>
                <w:b/>
                <w:color w:val="000000"/>
                <w:sz w:val="22"/>
                <w:lang w:val="es-ES" w:eastAsia="zh-CN"/>
              </w:rPr>
              <w:t> </w:t>
            </w:r>
            <w:bookmarkStart w:id="1" w:name="_GoBack"/>
            <w:bookmarkEnd w:id="1"/>
            <w:r w:rsidRPr="00DA7BD8">
              <w:rPr>
                <w:rFonts w:asciiTheme="minorHAnsi" w:hAnsiTheme="minorHAnsi"/>
                <w:b/>
                <w:color w:val="000000"/>
                <w:sz w:val="22"/>
                <w:lang w:val="es-ES" w:eastAsia="zh-CN"/>
              </w:rPr>
              <w:t>22.33</w:t>
            </w:r>
            <w:r w:rsidR="005579E2">
              <w:rPr>
                <w:rFonts w:asciiTheme="minorHAnsi" w:hAnsiTheme="minorHAnsi"/>
                <w:b/>
                <w:color w:val="000000"/>
                <w:sz w:val="22"/>
                <w:lang w:val="es-ES" w:eastAsia="zh-CN"/>
              </w:rPr>
              <w:br/>
            </w:r>
            <w:r w:rsidRPr="00DA7BD8">
              <w:rPr>
                <w:rFonts w:asciiTheme="minorHAnsi" w:hAnsiTheme="minorHAnsi"/>
                <w:b/>
                <w:color w:val="000000"/>
                <w:sz w:val="22"/>
                <w:lang w:val="es-ES" w:eastAsia="zh-CN"/>
              </w:rPr>
              <w:t>Aprobación del Documento 483</w:t>
            </w:r>
          </w:p>
        </w:tc>
        <w:tc>
          <w:tcPr>
            <w:tcW w:w="11594" w:type="dxa"/>
            <w:tcBorders>
              <w:top w:val="single" w:sz="4" w:space="0" w:color="auto"/>
              <w:left w:val="single" w:sz="4" w:space="0" w:color="auto"/>
              <w:bottom w:val="single" w:sz="4" w:space="0" w:color="auto"/>
              <w:right w:val="single" w:sz="4" w:space="0" w:color="auto"/>
            </w:tcBorders>
            <w:hideMark/>
          </w:tcPr>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color w:val="000000"/>
                <w:sz w:val="22"/>
                <w:lang w:val="es-ES" w:eastAsia="zh-CN"/>
              </w:rPr>
              <w:t>Al considerar el Documento 483 relativo al punto 1.5 del orden del día, se expresaron inquietudes respecto de la complejidad de la cuestión y la complejidad del texto de la Resolución en que se describen tanto el caso como la conducta a seguir para su implementación, así como respecto de las numerosas partes dispositivas del documento, la falta de claridad de ciertas partes de la Resolución y la dificultad de su aplicación.</w:t>
            </w:r>
          </w:p>
          <w:p w:rsidR="00F66845" w:rsidRPr="00046311"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color w:val="000000"/>
                <w:sz w:val="22"/>
                <w:lang w:val="es-ES" w:eastAsia="zh-CN"/>
              </w:rPr>
              <w:t xml:space="preserve">Habida cuenta de lo anterior, la Conferencia consideró oportuno indicar que resulta muy difícil autorizar el uso de la banda de frecuencias en cuestión para la explotación de SANT/CNPC, en particular la estación terrena en movimiento a bordo de una aeronave, antes de que el estudio y los procedimientos que se piden en la Resolución para abordar diversos aspectos de la explotación se completen y sean acordados por la CMR-23, ya que la falta de prudencia para dicha explotación afectaría negativamente al funcionamiento seguro del vuelo y resultaría perjudicial para los servicios de satélite y los servicios terrenales de otras administraciones. </w:t>
            </w:r>
          </w:p>
        </w:tc>
      </w:tr>
      <w:tr w:rsidR="00F66845" w:rsidRPr="00DA7BD8" w:rsidTr="00046311">
        <w:tc>
          <w:tcPr>
            <w:tcW w:w="1555" w:type="dxa"/>
            <w:vMerge/>
            <w:tcBorders>
              <w:top w:val="single" w:sz="4" w:space="0" w:color="auto"/>
              <w:left w:val="single" w:sz="4" w:space="0" w:color="auto"/>
              <w:bottom w:val="single" w:sz="4" w:space="0" w:color="auto"/>
              <w:right w:val="single" w:sz="4" w:space="0" w:color="auto"/>
            </w:tcBorders>
            <w:vAlign w:val="center"/>
            <w:hideMark/>
          </w:tcPr>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b/>
                <w:color w:val="000000"/>
                <w:sz w:val="22"/>
                <w:lang w:val="es-ES" w:eastAsia="zh-CN"/>
              </w:rPr>
            </w:pPr>
          </w:p>
        </w:tc>
        <w:tc>
          <w:tcPr>
            <w:tcW w:w="2016" w:type="dxa"/>
            <w:tcBorders>
              <w:top w:val="single" w:sz="4" w:space="0" w:color="auto"/>
              <w:left w:val="single" w:sz="4" w:space="0" w:color="auto"/>
              <w:bottom w:val="single" w:sz="4" w:space="0" w:color="auto"/>
              <w:right w:val="single" w:sz="4" w:space="0" w:color="auto"/>
            </w:tcBorders>
            <w:hideMark/>
          </w:tcPr>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jc w:val="left"/>
              <w:textAlignment w:val="auto"/>
              <w:rPr>
                <w:rFonts w:asciiTheme="minorHAnsi" w:hAnsiTheme="minorHAnsi"/>
                <w:b/>
                <w:color w:val="000000"/>
                <w:sz w:val="22"/>
                <w:lang w:val="es-ES" w:eastAsia="zh-CN"/>
              </w:rPr>
            </w:pPr>
            <w:r w:rsidRPr="00DA7BD8">
              <w:rPr>
                <w:rFonts w:asciiTheme="minorHAnsi" w:hAnsiTheme="minorHAnsi"/>
                <w:b/>
                <w:color w:val="000000"/>
                <w:sz w:val="22"/>
                <w:lang w:val="es-ES" w:eastAsia="zh-CN"/>
              </w:rPr>
              <w:t xml:space="preserve">Párrs. 16.19 </w:t>
            </w:r>
            <w:r w:rsidR="00024B71">
              <w:rPr>
                <w:rFonts w:asciiTheme="minorHAnsi" w:hAnsiTheme="minorHAnsi"/>
                <w:b/>
                <w:color w:val="000000"/>
                <w:sz w:val="22"/>
                <w:lang w:val="es-ES" w:eastAsia="zh-CN"/>
              </w:rPr>
              <w:t>a</w:t>
            </w:r>
            <w:r w:rsidRPr="00DA7BD8">
              <w:rPr>
                <w:rFonts w:asciiTheme="minorHAnsi" w:hAnsiTheme="minorHAnsi"/>
                <w:b/>
                <w:color w:val="000000"/>
                <w:sz w:val="22"/>
                <w:lang w:val="es-ES" w:eastAsia="zh-CN"/>
              </w:rPr>
              <w:t xml:space="preserve"> 16.26</w:t>
            </w:r>
            <w:r w:rsidR="005579E2">
              <w:rPr>
                <w:rFonts w:asciiTheme="minorHAnsi" w:hAnsiTheme="minorHAnsi"/>
                <w:b/>
                <w:color w:val="000000"/>
                <w:sz w:val="22"/>
                <w:lang w:val="es-ES" w:eastAsia="zh-CN"/>
              </w:rPr>
              <w:br/>
            </w:r>
            <w:r w:rsidRPr="00DA7BD8">
              <w:rPr>
                <w:rFonts w:asciiTheme="minorHAnsi" w:hAnsiTheme="minorHAnsi"/>
                <w:b/>
                <w:color w:val="000000"/>
                <w:sz w:val="22"/>
                <w:lang w:val="es-ES" w:eastAsia="zh-CN"/>
              </w:rPr>
              <w:t>Aprobación del Documento 499</w:t>
            </w:r>
          </w:p>
        </w:tc>
        <w:tc>
          <w:tcPr>
            <w:tcW w:w="11594" w:type="dxa"/>
            <w:tcBorders>
              <w:top w:val="single" w:sz="4" w:space="0" w:color="auto"/>
              <w:left w:val="single" w:sz="4" w:space="0" w:color="auto"/>
              <w:bottom w:val="single" w:sz="4" w:space="0" w:color="auto"/>
              <w:right w:val="single" w:sz="4" w:space="0" w:color="auto"/>
            </w:tcBorders>
            <w:hideMark/>
          </w:tcPr>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color w:val="000000"/>
                <w:sz w:val="22"/>
                <w:lang w:val="es-ES" w:eastAsia="zh-CN"/>
              </w:rPr>
              <w:t>16.20</w:t>
            </w:r>
            <w:r w:rsidRPr="00DA7BD8">
              <w:rPr>
                <w:rFonts w:asciiTheme="minorHAnsi" w:hAnsiTheme="minorHAnsi"/>
                <w:color w:val="000000"/>
                <w:sz w:val="22"/>
                <w:lang w:val="es-ES" w:eastAsia="zh-CN"/>
              </w:rPr>
              <w:tab/>
              <w:t xml:space="preserve">El </w:t>
            </w:r>
            <w:r w:rsidRPr="00DA7BD8">
              <w:rPr>
                <w:rFonts w:asciiTheme="minorHAnsi" w:hAnsiTheme="minorHAnsi"/>
                <w:b/>
                <w:bCs/>
                <w:color w:val="000000"/>
                <w:sz w:val="22"/>
                <w:lang w:val="es-ES" w:eastAsia="zh-CN"/>
              </w:rPr>
              <w:t>delegado de la República Islámica del Irán</w:t>
            </w:r>
            <w:r w:rsidRPr="00DA7BD8">
              <w:rPr>
                <w:rFonts w:asciiTheme="minorHAnsi" w:hAnsiTheme="minorHAnsi"/>
                <w:color w:val="000000"/>
                <w:sz w:val="22"/>
                <w:lang w:val="es-ES" w:eastAsia="zh-CN"/>
              </w:rPr>
              <w:t>, al informar acerca del resultado de las consultas informales llevadas a cabo en relación con la lista de países de las Resoluciones PLEN/1 (CMR</w:t>
            </w:r>
            <w:r w:rsidRPr="00DA7BD8">
              <w:rPr>
                <w:rFonts w:asciiTheme="minorHAnsi" w:hAnsiTheme="minorHAnsi"/>
                <w:color w:val="000000"/>
                <w:sz w:val="22"/>
                <w:lang w:val="es-ES" w:eastAsia="zh-CN"/>
              </w:rPr>
              <w:noBreakHyphen/>
              <w:t xml:space="preserve">15) y PLEN/2 (CMR-15), afirma que se ha acordado una solución para las inquietudes manifestadas, a saber, que, al recibir la notificación correspondiente de la administración interesada, la Oficina de Radiocomunicaciones seguirá con su práctica habitual de comprobar, con arreglo al número 11.31, si se cumplen las condiciones previstas en las notas aplicables. En caso de que las conclusiones de la Oficina fueran desfavorables, </w:t>
            </w:r>
            <w:r w:rsidRPr="00DA7BD8">
              <w:rPr>
                <w:rFonts w:asciiTheme="minorHAnsi" w:hAnsiTheme="minorHAnsi"/>
                <w:color w:val="000000"/>
                <w:sz w:val="22"/>
                <w:lang w:val="es-ES" w:eastAsia="zh-CN"/>
              </w:rPr>
              <w:lastRenderedPageBreak/>
              <w:t xml:space="preserve">toda asignación recibida en virtud del número 11.31 será devuelta a la administración notificante. Sin embargo, si la administración notificante pudiera dar satisfacción a sus vecinos en cuanto a que sus operaciones no causarán interferencia en su territorio, podrá acordarse de manera explícita una excepción a los límites especificados en las citadas notas. Quedando así entendido, la propuesta es que la lista de países que aparece en ambas Resoluciones se mantenga en su versión actual. En cuanto al posicionamiento de estaciones terrenas en el territorio de terceros países, ello no está permitido con arreglo a </w:t>
            </w:r>
            <w:r w:rsidR="00024B71">
              <w:rPr>
                <w:rFonts w:asciiTheme="minorHAnsi" w:hAnsiTheme="minorHAnsi"/>
                <w:color w:val="000000"/>
                <w:sz w:val="22"/>
                <w:lang w:val="es-ES" w:eastAsia="zh-CN"/>
              </w:rPr>
              <w:t>la Resolución</w:t>
            </w:r>
            <w:r w:rsidR="00033853">
              <w:rPr>
                <w:rFonts w:asciiTheme="minorHAnsi" w:hAnsiTheme="minorHAnsi"/>
                <w:color w:val="000000"/>
                <w:sz w:val="22"/>
                <w:lang w:val="es-ES" w:eastAsia="zh-CN"/>
              </w:rPr>
              <w:t> 1 (Rev.</w:t>
            </w:r>
            <w:r w:rsidR="00024B71">
              <w:rPr>
                <w:rFonts w:asciiTheme="minorHAnsi" w:hAnsiTheme="minorHAnsi"/>
                <w:color w:val="000000"/>
                <w:sz w:val="22"/>
                <w:lang w:val="es-ES" w:eastAsia="zh-CN"/>
              </w:rPr>
              <w:t>CMR-97).</w:t>
            </w:r>
          </w:p>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color w:val="000000"/>
                <w:sz w:val="22"/>
                <w:lang w:val="es-ES" w:eastAsia="zh-CN"/>
              </w:rPr>
              <w:t>16.21</w:t>
            </w:r>
            <w:r w:rsidRPr="00DA7BD8">
              <w:rPr>
                <w:rFonts w:asciiTheme="minorHAnsi" w:hAnsiTheme="minorHAnsi"/>
                <w:color w:val="000000"/>
                <w:sz w:val="22"/>
                <w:lang w:val="es-ES" w:eastAsia="zh-CN"/>
              </w:rPr>
              <w:tab/>
              <w:t xml:space="preserve">El </w:t>
            </w:r>
            <w:r w:rsidRPr="00DA7BD8">
              <w:rPr>
                <w:rFonts w:asciiTheme="minorHAnsi" w:hAnsiTheme="minorHAnsi"/>
                <w:b/>
                <w:bCs/>
                <w:color w:val="000000"/>
                <w:sz w:val="22"/>
                <w:lang w:val="es-ES" w:eastAsia="zh-CN"/>
              </w:rPr>
              <w:t xml:space="preserve">Director de la BR </w:t>
            </w:r>
            <w:r w:rsidRPr="00DA7BD8">
              <w:rPr>
                <w:rFonts w:asciiTheme="minorHAnsi" w:hAnsiTheme="minorHAnsi"/>
                <w:color w:val="000000"/>
                <w:sz w:val="22"/>
                <w:lang w:val="es-ES" w:eastAsia="zh-CN"/>
              </w:rPr>
              <w:t>confirma que, en tales casos, la Oficina de Radiocomunicaciones aplicará en efecto el procedimiento descrito.</w:t>
            </w:r>
          </w:p>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bCs/>
                <w:color w:val="000000"/>
                <w:sz w:val="22"/>
                <w:lang w:val="es-ES" w:eastAsia="zh-CN"/>
              </w:rPr>
            </w:pPr>
            <w:r w:rsidRPr="00DA7BD8">
              <w:rPr>
                <w:rFonts w:asciiTheme="minorHAnsi" w:hAnsiTheme="minorHAnsi"/>
                <w:color w:val="000000"/>
                <w:sz w:val="22"/>
                <w:lang w:val="es-ES" w:eastAsia="zh-CN"/>
              </w:rPr>
              <w:t>16.26</w:t>
            </w:r>
            <w:r w:rsidRPr="00DA7BD8">
              <w:rPr>
                <w:rFonts w:asciiTheme="minorHAnsi" w:hAnsiTheme="minorHAnsi"/>
                <w:color w:val="000000"/>
                <w:sz w:val="22"/>
                <w:lang w:val="es-ES" w:eastAsia="zh-CN"/>
              </w:rPr>
              <w:tab/>
              <w:t xml:space="preserve">Así se </w:t>
            </w:r>
            <w:r w:rsidRPr="00DA7BD8">
              <w:rPr>
                <w:rFonts w:asciiTheme="minorHAnsi" w:hAnsiTheme="minorHAnsi"/>
                <w:b/>
                <w:bCs/>
                <w:color w:val="000000"/>
                <w:sz w:val="22"/>
                <w:lang w:val="es-ES" w:eastAsia="zh-CN"/>
              </w:rPr>
              <w:t>acuerda</w:t>
            </w:r>
            <w:r w:rsidRPr="00DA7BD8">
              <w:rPr>
                <w:rFonts w:asciiTheme="minorHAnsi" w:hAnsiTheme="minorHAnsi"/>
                <w:bCs/>
                <w:color w:val="000000"/>
                <w:sz w:val="22"/>
                <w:lang w:val="es-ES" w:eastAsia="zh-CN"/>
              </w:rPr>
              <w:t>.</w:t>
            </w:r>
          </w:p>
        </w:tc>
      </w:tr>
      <w:tr w:rsidR="00F66845" w:rsidRPr="005579E2" w:rsidTr="00046311">
        <w:tc>
          <w:tcPr>
            <w:tcW w:w="1555" w:type="dxa"/>
            <w:vMerge/>
            <w:tcBorders>
              <w:top w:val="single" w:sz="4" w:space="0" w:color="auto"/>
              <w:left w:val="single" w:sz="4" w:space="0" w:color="auto"/>
              <w:bottom w:val="single" w:sz="4" w:space="0" w:color="auto"/>
              <w:right w:val="single" w:sz="4" w:space="0" w:color="auto"/>
            </w:tcBorders>
            <w:vAlign w:val="center"/>
            <w:hideMark/>
          </w:tcPr>
          <w:p w:rsidR="00F66845" w:rsidRPr="00DA7BD8" w:rsidRDefault="00F66845" w:rsidP="00CF34D4">
            <w:pPr>
              <w:tabs>
                <w:tab w:val="clear" w:pos="794"/>
                <w:tab w:val="clear" w:pos="1191"/>
                <w:tab w:val="clear" w:pos="1588"/>
                <w:tab w:val="clear" w:pos="1985"/>
              </w:tabs>
              <w:overflowPunct/>
              <w:autoSpaceDE/>
              <w:autoSpaceDN/>
              <w:adjustRightInd/>
              <w:spacing w:before="80" w:after="80" w:line="240" w:lineRule="auto"/>
              <w:textAlignment w:val="auto"/>
              <w:rPr>
                <w:rFonts w:asciiTheme="minorHAnsi" w:hAnsiTheme="minorHAnsi"/>
                <w:b/>
                <w:color w:val="000000"/>
                <w:sz w:val="22"/>
                <w:lang w:val="es-ES" w:eastAsia="zh-CN"/>
              </w:rPr>
            </w:pPr>
          </w:p>
        </w:tc>
        <w:tc>
          <w:tcPr>
            <w:tcW w:w="2016" w:type="dxa"/>
            <w:tcBorders>
              <w:top w:val="single" w:sz="4" w:space="0" w:color="auto"/>
              <w:left w:val="single" w:sz="4" w:space="0" w:color="auto"/>
              <w:bottom w:val="single" w:sz="4" w:space="0" w:color="auto"/>
              <w:right w:val="single" w:sz="4" w:space="0" w:color="auto"/>
            </w:tcBorders>
            <w:hideMark/>
          </w:tcPr>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jc w:val="left"/>
              <w:textAlignment w:val="auto"/>
              <w:rPr>
                <w:rFonts w:asciiTheme="minorHAnsi" w:hAnsiTheme="minorHAnsi"/>
                <w:b/>
                <w:color w:val="000000"/>
                <w:sz w:val="22"/>
                <w:lang w:val="es-ES" w:eastAsia="zh-CN"/>
              </w:rPr>
            </w:pPr>
            <w:r w:rsidRPr="00DA7BD8">
              <w:rPr>
                <w:rFonts w:asciiTheme="minorHAnsi" w:hAnsiTheme="minorHAnsi"/>
                <w:b/>
                <w:color w:val="000000"/>
                <w:sz w:val="22"/>
                <w:lang w:val="es-ES" w:eastAsia="zh-CN"/>
              </w:rPr>
              <w:t xml:space="preserve">Párrs. 22.36 </w:t>
            </w:r>
            <w:r w:rsidR="00024B71">
              <w:rPr>
                <w:rFonts w:asciiTheme="minorHAnsi" w:hAnsiTheme="minorHAnsi"/>
                <w:b/>
                <w:color w:val="000000"/>
                <w:sz w:val="22"/>
                <w:lang w:val="es-ES" w:eastAsia="zh-CN"/>
              </w:rPr>
              <w:t>a</w:t>
            </w:r>
            <w:r w:rsidRPr="00DA7BD8">
              <w:rPr>
                <w:rFonts w:asciiTheme="minorHAnsi" w:hAnsiTheme="minorHAnsi"/>
                <w:b/>
                <w:color w:val="000000"/>
                <w:sz w:val="22"/>
                <w:lang w:val="es-ES" w:eastAsia="zh-CN"/>
              </w:rPr>
              <w:t xml:space="preserve"> 22.39</w:t>
            </w:r>
            <w:r w:rsidR="005579E2">
              <w:rPr>
                <w:rFonts w:asciiTheme="minorHAnsi" w:hAnsiTheme="minorHAnsi"/>
                <w:b/>
                <w:color w:val="000000"/>
                <w:sz w:val="22"/>
                <w:lang w:val="es-ES" w:eastAsia="zh-CN"/>
              </w:rPr>
              <w:br/>
            </w:r>
            <w:r w:rsidRPr="00DA7BD8">
              <w:rPr>
                <w:rFonts w:asciiTheme="minorHAnsi" w:hAnsiTheme="minorHAnsi"/>
                <w:b/>
                <w:color w:val="000000"/>
                <w:sz w:val="22"/>
                <w:lang w:val="es-ES" w:eastAsia="zh-CN"/>
              </w:rPr>
              <w:t>Aprobación del Documento 501</w:t>
            </w:r>
          </w:p>
        </w:tc>
        <w:tc>
          <w:tcPr>
            <w:tcW w:w="11594" w:type="dxa"/>
            <w:tcBorders>
              <w:top w:val="single" w:sz="4" w:space="0" w:color="auto"/>
              <w:left w:val="single" w:sz="4" w:space="0" w:color="auto"/>
              <w:bottom w:val="single" w:sz="4" w:space="0" w:color="auto"/>
              <w:right w:val="single" w:sz="4" w:space="0" w:color="auto"/>
            </w:tcBorders>
          </w:tcPr>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color w:val="000000"/>
                <w:sz w:val="22"/>
                <w:lang w:val="es-ES" w:eastAsia="zh-CN"/>
              </w:rPr>
              <w:t>22.37</w:t>
            </w:r>
            <w:r w:rsidRPr="00DA7BD8">
              <w:rPr>
                <w:rFonts w:asciiTheme="minorHAnsi" w:hAnsiTheme="minorHAnsi"/>
                <w:color w:val="000000"/>
                <w:sz w:val="22"/>
                <w:lang w:val="es-ES" w:eastAsia="zh-CN"/>
              </w:rPr>
              <w:tab/>
              <w:t xml:space="preserve">El </w:t>
            </w:r>
            <w:r w:rsidRPr="00DA7BD8">
              <w:rPr>
                <w:rFonts w:asciiTheme="minorHAnsi" w:hAnsiTheme="minorHAnsi"/>
                <w:b/>
                <w:bCs/>
                <w:color w:val="000000"/>
                <w:sz w:val="22"/>
                <w:lang w:val="es-ES" w:eastAsia="zh-CN"/>
              </w:rPr>
              <w:t>Director de la BR</w:t>
            </w:r>
            <w:r w:rsidRPr="00DA7BD8">
              <w:rPr>
                <w:rFonts w:asciiTheme="minorHAnsi" w:hAnsiTheme="minorHAnsi"/>
                <w:color w:val="000000"/>
                <w:sz w:val="22"/>
                <w:lang w:val="es-ES" w:eastAsia="zh-CN"/>
              </w:rPr>
              <w:t xml:space="preserve"> ofrece la siguiente explicación: </w:t>
            </w:r>
          </w:p>
          <w:p w:rsidR="00F66845" w:rsidRPr="00DA7BD8" w:rsidRDefault="00024B71"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Pr>
                <w:rFonts w:asciiTheme="minorHAnsi" w:hAnsiTheme="minorHAnsi"/>
                <w:color w:val="000000"/>
                <w:sz w:val="22"/>
                <w:lang w:val="es-ES" w:eastAsia="zh-CN"/>
              </w:rPr>
              <w:t>«</w:t>
            </w:r>
            <w:r w:rsidR="00F66845" w:rsidRPr="00DA7BD8">
              <w:rPr>
                <w:rFonts w:asciiTheme="minorHAnsi" w:hAnsiTheme="minorHAnsi"/>
                <w:color w:val="000000"/>
                <w:sz w:val="22"/>
                <w:lang w:val="es-ES" w:eastAsia="zh-CN"/>
              </w:rPr>
              <w:t xml:space="preserve">Sin las palabras </w:t>
            </w:r>
            <w:r>
              <w:rPr>
                <w:rFonts w:asciiTheme="minorHAnsi" w:hAnsiTheme="minorHAnsi"/>
                <w:color w:val="000000"/>
                <w:sz w:val="22"/>
                <w:lang w:val="es-ES" w:eastAsia="zh-CN"/>
              </w:rPr>
              <w:t>"</w:t>
            </w:r>
            <w:r w:rsidR="00F66845" w:rsidRPr="00DA7BD8">
              <w:rPr>
                <w:rFonts w:asciiTheme="minorHAnsi" w:hAnsiTheme="minorHAnsi"/>
                <w:color w:val="000000"/>
                <w:sz w:val="22"/>
                <w:lang w:val="es-ES" w:eastAsia="zh-CN"/>
              </w:rPr>
              <w:t>en los países arriba citados</w:t>
            </w:r>
            <w:r>
              <w:rPr>
                <w:rFonts w:asciiTheme="minorHAnsi" w:hAnsiTheme="minorHAnsi"/>
                <w:color w:val="000000"/>
                <w:sz w:val="22"/>
                <w:lang w:val="es-ES" w:eastAsia="zh-CN"/>
              </w:rPr>
              <w:t>"</w:t>
            </w:r>
            <w:r w:rsidR="00F66845" w:rsidRPr="00DA7BD8">
              <w:rPr>
                <w:rFonts w:asciiTheme="minorHAnsi" w:hAnsiTheme="minorHAnsi"/>
                <w:color w:val="000000"/>
                <w:sz w:val="22"/>
                <w:lang w:val="es-ES" w:eastAsia="zh-CN"/>
              </w:rPr>
              <w:t>, ADD 5.R1b concierne a varias administraciones, y a la manera en que dichas administraciones puedan implementar las IMT en la banda 1 452-1 492 MHz aplicando el número 9.21 del Reglamento de Radiocomunicaciones respecto del servicio móvil utilizado por la telemedida aer</w:t>
            </w:r>
            <w:r>
              <w:rPr>
                <w:rFonts w:asciiTheme="minorHAnsi" w:hAnsiTheme="minorHAnsi"/>
                <w:color w:val="000000"/>
                <w:sz w:val="22"/>
                <w:lang w:val="es-ES" w:eastAsia="zh-CN"/>
              </w:rPr>
              <w:t xml:space="preserve">onáutica con arreglo al número </w:t>
            </w:r>
            <w:r w:rsidR="00F66845" w:rsidRPr="00DA7BD8">
              <w:rPr>
                <w:rFonts w:asciiTheme="minorHAnsi" w:hAnsiTheme="minorHAnsi"/>
                <w:color w:val="000000"/>
                <w:sz w:val="22"/>
                <w:lang w:val="es-ES" w:eastAsia="zh-CN"/>
              </w:rPr>
              <w:t>5.342. Así pues, ADD 5.R1b trata de las relaciones entre los países que en él se enumeran y los países e</w:t>
            </w:r>
            <w:r>
              <w:rPr>
                <w:rFonts w:asciiTheme="minorHAnsi" w:hAnsiTheme="minorHAnsi"/>
                <w:color w:val="000000"/>
                <w:sz w:val="22"/>
                <w:lang w:val="es-ES" w:eastAsia="zh-CN"/>
              </w:rPr>
              <w:t>numerados en el número 5.342.»</w:t>
            </w:r>
          </w:p>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color w:val="000000"/>
                <w:sz w:val="22"/>
                <w:lang w:val="es-ES" w:eastAsia="zh-CN"/>
              </w:rPr>
              <w:t>22.38</w:t>
            </w:r>
            <w:r w:rsidRPr="00DA7BD8">
              <w:rPr>
                <w:rFonts w:asciiTheme="minorHAnsi" w:hAnsiTheme="minorHAnsi"/>
                <w:color w:val="000000"/>
                <w:sz w:val="22"/>
                <w:lang w:val="es-ES" w:eastAsia="zh-CN"/>
              </w:rPr>
              <w:tab/>
              <w:t xml:space="preserve">Con esta explicación, el </w:t>
            </w:r>
            <w:r w:rsidRPr="00DA7BD8">
              <w:rPr>
                <w:rFonts w:asciiTheme="minorHAnsi" w:hAnsiTheme="minorHAnsi"/>
                <w:b/>
                <w:bCs/>
                <w:color w:val="000000"/>
                <w:sz w:val="22"/>
                <w:lang w:val="es-ES" w:eastAsia="zh-CN"/>
              </w:rPr>
              <w:t>Presidente</w:t>
            </w:r>
            <w:r w:rsidRPr="00DA7BD8">
              <w:rPr>
                <w:rFonts w:asciiTheme="minorHAnsi" w:hAnsiTheme="minorHAnsi"/>
                <w:color w:val="000000"/>
                <w:sz w:val="22"/>
                <w:lang w:val="es-ES" w:eastAsia="zh-CN"/>
              </w:rPr>
              <w:t xml:space="preserve"> invita a la Plenaria a aprobar ADD 5.R1b quedando entendido que los nombres de los países que se enumeran en los Documentos 25(Add.1) (Add.4), 28 y 130 quedarán incluidos y que se eliminarán de este las palabras </w:t>
            </w:r>
            <w:r w:rsidR="00024B71">
              <w:rPr>
                <w:rFonts w:asciiTheme="minorHAnsi" w:hAnsiTheme="minorHAnsi"/>
                <w:color w:val="000000"/>
                <w:sz w:val="22"/>
                <w:lang w:val="es-ES" w:eastAsia="zh-CN"/>
              </w:rPr>
              <w:t>«</w:t>
            </w:r>
            <w:r w:rsidRPr="00DA7BD8">
              <w:rPr>
                <w:rFonts w:asciiTheme="minorHAnsi" w:hAnsiTheme="minorHAnsi"/>
                <w:color w:val="000000"/>
                <w:sz w:val="22"/>
                <w:lang w:val="es-ES" w:eastAsia="zh-CN"/>
              </w:rPr>
              <w:t>en los países arriba citados</w:t>
            </w:r>
            <w:r w:rsidR="00024B71">
              <w:rPr>
                <w:rFonts w:asciiTheme="minorHAnsi" w:hAnsiTheme="minorHAnsi"/>
                <w:color w:val="000000"/>
                <w:sz w:val="22"/>
                <w:lang w:val="es-ES" w:eastAsia="zh-CN"/>
              </w:rPr>
              <w:t>»</w:t>
            </w:r>
            <w:r w:rsidRPr="00DA7BD8">
              <w:rPr>
                <w:rFonts w:asciiTheme="minorHAnsi" w:hAnsiTheme="minorHAnsi"/>
                <w:color w:val="000000"/>
                <w:sz w:val="22"/>
                <w:lang w:val="es-ES" w:eastAsia="zh-CN"/>
              </w:rPr>
              <w:t>.</w:t>
            </w:r>
          </w:p>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color w:val="000000"/>
                <w:sz w:val="22"/>
                <w:lang w:val="es-ES" w:eastAsia="zh-CN"/>
              </w:rPr>
              <w:t>22.39</w:t>
            </w:r>
            <w:r w:rsidRPr="00DA7BD8">
              <w:rPr>
                <w:rFonts w:asciiTheme="minorHAnsi" w:hAnsiTheme="minorHAnsi"/>
                <w:color w:val="000000"/>
                <w:sz w:val="22"/>
                <w:lang w:val="es-ES" w:eastAsia="zh-CN"/>
              </w:rPr>
              <w:tab/>
              <w:t xml:space="preserve">ADD 5.R1b, en su versión enmendada, se </w:t>
            </w:r>
            <w:r w:rsidRPr="00DA7BD8">
              <w:rPr>
                <w:rFonts w:asciiTheme="minorHAnsi" w:hAnsiTheme="minorHAnsi"/>
                <w:b/>
                <w:bCs/>
                <w:color w:val="000000"/>
                <w:sz w:val="22"/>
                <w:lang w:val="es-ES" w:eastAsia="zh-CN"/>
              </w:rPr>
              <w:t>aprueba</w:t>
            </w:r>
            <w:r w:rsidRPr="00DA7BD8">
              <w:rPr>
                <w:rFonts w:asciiTheme="minorHAnsi" w:hAnsiTheme="minorHAnsi"/>
                <w:color w:val="000000"/>
                <w:sz w:val="22"/>
                <w:lang w:val="es-ES" w:eastAsia="zh-CN"/>
              </w:rPr>
              <w:t xml:space="preserve"> en segunda lectura.</w:t>
            </w:r>
          </w:p>
        </w:tc>
      </w:tr>
      <w:tr w:rsidR="00F66845" w:rsidRPr="00BD4186" w:rsidTr="00046311">
        <w:tc>
          <w:tcPr>
            <w:tcW w:w="1555" w:type="dxa"/>
            <w:vMerge/>
            <w:tcBorders>
              <w:top w:val="single" w:sz="4" w:space="0" w:color="auto"/>
              <w:left w:val="single" w:sz="4" w:space="0" w:color="auto"/>
              <w:bottom w:val="single" w:sz="4" w:space="0" w:color="auto"/>
              <w:right w:val="single" w:sz="4" w:space="0" w:color="auto"/>
            </w:tcBorders>
            <w:vAlign w:val="center"/>
            <w:hideMark/>
          </w:tcPr>
          <w:p w:rsidR="00F66845" w:rsidRPr="00DA7BD8" w:rsidRDefault="00F66845" w:rsidP="00CF34D4">
            <w:pPr>
              <w:tabs>
                <w:tab w:val="clear" w:pos="794"/>
                <w:tab w:val="clear" w:pos="1191"/>
                <w:tab w:val="clear" w:pos="1588"/>
                <w:tab w:val="clear" w:pos="1985"/>
              </w:tabs>
              <w:overflowPunct/>
              <w:autoSpaceDE/>
              <w:autoSpaceDN/>
              <w:adjustRightInd/>
              <w:spacing w:before="80" w:after="80" w:line="240" w:lineRule="auto"/>
              <w:textAlignment w:val="auto"/>
              <w:rPr>
                <w:rFonts w:asciiTheme="minorHAnsi" w:hAnsiTheme="minorHAnsi"/>
                <w:b/>
                <w:color w:val="000000"/>
                <w:sz w:val="22"/>
                <w:lang w:val="es-ES" w:eastAsia="zh-CN"/>
              </w:rPr>
            </w:pPr>
          </w:p>
        </w:tc>
        <w:tc>
          <w:tcPr>
            <w:tcW w:w="2016" w:type="dxa"/>
            <w:tcBorders>
              <w:top w:val="single" w:sz="4" w:space="0" w:color="auto"/>
              <w:left w:val="single" w:sz="4" w:space="0" w:color="auto"/>
              <w:bottom w:val="single" w:sz="4" w:space="0" w:color="auto"/>
              <w:right w:val="single" w:sz="4" w:space="0" w:color="auto"/>
            </w:tcBorders>
            <w:hideMark/>
          </w:tcPr>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jc w:val="left"/>
              <w:textAlignment w:val="auto"/>
              <w:rPr>
                <w:rFonts w:asciiTheme="minorHAnsi" w:hAnsiTheme="minorHAnsi"/>
                <w:b/>
                <w:color w:val="000000"/>
                <w:sz w:val="22"/>
                <w:lang w:val="es-ES" w:eastAsia="zh-CN"/>
              </w:rPr>
            </w:pPr>
            <w:r w:rsidRPr="00DA7BD8">
              <w:rPr>
                <w:rFonts w:asciiTheme="minorHAnsi" w:hAnsiTheme="minorHAnsi"/>
                <w:b/>
                <w:color w:val="000000"/>
                <w:sz w:val="22"/>
                <w:lang w:val="es-ES" w:eastAsia="zh-CN"/>
              </w:rPr>
              <w:t xml:space="preserve">Párrs. 23.1 </w:t>
            </w:r>
            <w:r w:rsidR="00024B71">
              <w:rPr>
                <w:rFonts w:asciiTheme="minorHAnsi" w:hAnsiTheme="minorHAnsi"/>
                <w:b/>
                <w:color w:val="000000"/>
                <w:sz w:val="22"/>
                <w:lang w:val="es-ES" w:eastAsia="zh-CN"/>
              </w:rPr>
              <w:t>a</w:t>
            </w:r>
            <w:r w:rsidRPr="00DA7BD8">
              <w:rPr>
                <w:rFonts w:asciiTheme="minorHAnsi" w:hAnsiTheme="minorHAnsi"/>
                <w:b/>
                <w:color w:val="000000"/>
                <w:sz w:val="22"/>
                <w:lang w:val="es-ES" w:eastAsia="zh-CN"/>
              </w:rPr>
              <w:t xml:space="preserve"> 23.3</w:t>
            </w:r>
            <w:r w:rsidR="005579E2">
              <w:rPr>
                <w:rFonts w:asciiTheme="minorHAnsi" w:hAnsiTheme="minorHAnsi"/>
                <w:b/>
                <w:color w:val="000000"/>
                <w:sz w:val="22"/>
                <w:lang w:val="es-ES" w:eastAsia="zh-CN"/>
              </w:rPr>
              <w:br/>
            </w:r>
            <w:r w:rsidRPr="00DA7BD8">
              <w:rPr>
                <w:rFonts w:asciiTheme="minorHAnsi" w:hAnsiTheme="minorHAnsi"/>
                <w:b/>
                <w:color w:val="000000"/>
                <w:sz w:val="22"/>
                <w:lang w:val="es-ES" w:eastAsia="zh-CN"/>
              </w:rPr>
              <w:t>Aprobación del Documento 502</w:t>
            </w:r>
          </w:p>
        </w:tc>
        <w:tc>
          <w:tcPr>
            <w:tcW w:w="11594" w:type="dxa"/>
            <w:tcBorders>
              <w:top w:val="single" w:sz="4" w:space="0" w:color="auto"/>
              <w:left w:val="single" w:sz="4" w:space="0" w:color="auto"/>
              <w:bottom w:val="single" w:sz="4" w:space="0" w:color="auto"/>
              <w:right w:val="single" w:sz="4" w:space="0" w:color="auto"/>
            </w:tcBorders>
          </w:tcPr>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color w:val="000000"/>
                <w:sz w:val="22"/>
                <w:lang w:val="es-ES" w:eastAsia="zh-CN"/>
              </w:rPr>
              <w:t>23.1</w:t>
            </w:r>
            <w:r w:rsidRPr="00DA7BD8">
              <w:rPr>
                <w:rFonts w:asciiTheme="minorHAnsi" w:hAnsiTheme="minorHAnsi"/>
                <w:color w:val="000000"/>
                <w:sz w:val="22"/>
                <w:lang w:val="es-ES" w:eastAsia="zh-CN"/>
              </w:rPr>
              <w:tab/>
              <w:t xml:space="preserve">El </w:t>
            </w:r>
            <w:r w:rsidRPr="00DA7BD8">
              <w:rPr>
                <w:rFonts w:asciiTheme="minorHAnsi" w:hAnsiTheme="minorHAnsi"/>
                <w:b/>
                <w:bCs/>
                <w:color w:val="000000"/>
                <w:sz w:val="22"/>
                <w:lang w:val="es-ES" w:eastAsia="zh-CN"/>
              </w:rPr>
              <w:t>Presidente de la Comisión de redacción</w:t>
            </w:r>
            <w:r w:rsidRPr="00DA7BD8">
              <w:rPr>
                <w:rFonts w:asciiTheme="minorHAnsi" w:hAnsiTheme="minorHAnsi"/>
                <w:color w:val="000000"/>
                <w:sz w:val="22"/>
                <w:lang w:val="es-ES" w:eastAsia="zh-CN"/>
              </w:rPr>
              <w:t xml:space="preserve"> presenta el Documento 502, que trata de la corrección de errores tipográficos y otros errores aparentes en las distintas versiones lingüísticas de la edición de 2012 del Reglamento de Radiocomunicaciones. Se solicita el acuerdo de la Conferencia para autorizar al Director de la BR a proceder a la inclusión de las correcciones en la sigu</w:t>
            </w:r>
            <w:r w:rsidR="00024B71">
              <w:rPr>
                <w:rFonts w:asciiTheme="minorHAnsi" w:hAnsiTheme="minorHAnsi"/>
                <w:color w:val="000000"/>
                <w:sz w:val="22"/>
                <w:lang w:val="es-ES" w:eastAsia="zh-CN"/>
              </w:rPr>
              <w:t>iente edición del Reglamento.</w:t>
            </w:r>
          </w:p>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color w:val="000000"/>
                <w:sz w:val="22"/>
                <w:lang w:val="es-ES" w:eastAsia="zh-CN"/>
              </w:rPr>
              <w:t>23.2</w:t>
            </w:r>
            <w:r w:rsidRPr="00DA7BD8">
              <w:rPr>
                <w:rFonts w:asciiTheme="minorHAnsi" w:hAnsiTheme="minorHAnsi"/>
                <w:color w:val="000000"/>
                <w:sz w:val="22"/>
                <w:lang w:val="es-ES" w:eastAsia="zh-CN"/>
              </w:rPr>
              <w:tab/>
              <w:t xml:space="preserve">El </w:t>
            </w:r>
            <w:r w:rsidRPr="00DA7BD8">
              <w:rPr>
                <w:rFonts w:asciiTheme="minorHAnsi" w:hAnsiTheme="minorHAnsi"/>
                <w:b/>
                <w:bCs/>
                <w:color w:val="000000"/>
                <w:sz w:val="22"/>
                <w:lang w:val="es-ES" w:eastAsia="zh-CN"/>
              </w:rPr>
              <w:t>Presidente</w:t>
            </w:r>
            <w:r w:rsidRPr="00DA7BD8">
              <w:rPr>
                <w:rFonts w:asciiTheme="minorHAnsi" w:hAnsiTheme="minorHAnsi"/>
                <w:color w:val="000000"/>
                <w:sz w:val="22"/>
                <w:lang w:val="es-ES" w:eastAsia="zh-CN"/>
              </w:rPr>
              <w:t xml:space="preserve"> entiende que la Conferencia está de acuer</w:t>
            </w:r>
            <w:r w:rsidR="00046311">
              <w:rPr>
                <w:rFonts w:asciiTheme="minorHAnsi" w:hAnsiTheme="minorHAnsi"/>
                <w:color w:val="000000"/>
                <w:sz w:val="22"/>
                <w:lang w:val="es-ES" w:eastAsia="zh-CN"/>
              </w:rPr>
              <w:t>do con esta manera de proceder.</w:t>
            </w:r>
          </w:p>
          <w:p w:rsidR="00F66845" w:rsidRPr="00DA7BD8" w:rsidRDefault="00F66845" w:rsidP="00972257">
            <w:pPr>
              <w:tabs>
                <w:tab w:val="clear" w:pos="794"/>
                <w:tab w:val="clear" w:pos="1191"/>
                <w:tab w:val="clear" w:pos="1588"/>
                <w:tab w:val="clear" w:pos="1985"/>
              </w:tabs>
              <w:overflowPunct/>
              <w:autoSpaceDE/>
              <w:autoSpaceDN/>
              <w:adjustRightInd/>
              <w:spacing w:before="120" w:after="80" w:line="240" w:lineRule="auto"/>
              <w:textAlignment w:val="auto"/>
              <w:rPr>
                <w:rFonts w:asciiTheme="minorHAnsi" w:hAnsiTheme="minorHAnsi"/>
                <w:color w:val="000000"/>
                <w:sz w:val="22"/>
                <w:lang w:val="es-ES" w:eastAsia="zh-CN"/>
              </w:rPr>
            </w:pPr>
            <w:r w:rsidRPr="00DA7BD8">
              <w:rPr>
                <w:rFonts w:asciiTheme="minorHAnsi" w:hAnsiTheme="minorHAnsi"/>
                <w:color w:val="000000"/>
                <w:sz w:val="22"/>
                <w:lang w:val="es-ES" w:eastAsia="zh-CN"/>
              </w:rPr>
              <w:t>23.3</w:t>
            </w:r>
            <w:r w:rsidRPr="00DA7BD8">
              <w:rPr>
                <w:rFonts w:asciiTheme="minorHAnsi" w:hAnsiTheme="minorHAnsi"/>
                <w:color w:val="000000"/>
                <w:sz w:val="22"/>
                <w:lang w:val="es-ES" w:eastAsia="zh-CN"/>
              </w:rPr>
              <w:tab/>
              <w:t xml:space="preserve">Así se </w:t>
            </w:r>
            <w:r w:rsidRPr="00DA7BD8">
              <w:rPr>
                <w:rFonts w:asciiTheme="minorHAnsi" w:hAnsiTheme="minorHAnsi"/>
                <w:b/>
                <w:bCs/>
                <w:color w:val="000000"/>
                <w:sz w:val="22"/>
                <w:lang w:val="es-ES" w:eastAsia="zh-CN"/>
              </w:rPr>
              <w:t>acuerda</w:t>
            </w:r>
            <w:r w:rsidRPr="00DA7BD8">
              <w:rPr>
                <w:rFonts w:asciiTheme="minorHAnsi" w:hAnsiTheme="minorHAnsi"/>
                <w:color w:val="000000"/>
                <w:sz w:val="22"/>
                <w:lang w:val="es-ES" w:eastAsia="zh-CN"/>
              </w:rPr>
              <w:t>.</w:t>
            </w:r>
          </w:p>
        </w:tc>
      </w:tr>
    </w:tbl>
    <w:p w:rsidR="00F66845" w:rsidRDefault="00F66845" w:rsidP="005579E2">
      <w:pPr>
        <w:pStyle w:val="Reasons"/>
      </w:pPr>
    </w:p>
    <w:p w:rsidR="00F66845" w:rsidRDefault="00F66845" w:rsidP="005579E2">
      <w:pPr>
        <w:spacing w:line="240" w:lineRule="auto"/>
        <w:jc w:val="center"/>
      </w:pPr>
      <w:r>
        <w:t>______________</w:t>
      </w:r>
    </w:p>
    <w:sectPr w:rsidR="00F66845" w:rsidSect="00F66845">
      <w:headerReference w:type="first" r:id="rId14"/>
      <w:footerReference w:type="first" r:id="rId15"/>
      <w:pgSz w:w="16834" w:h="11907" w:orient="landscape" w:code="9"/>
      <w:pgMar w:top="1134" w:right="1134" w:bottom="1134" w:left="993"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00C" w:rsidRDefault="0043500C">
      <w:r>
        <w:separator/>
      </w:r>
    </w:p>
  </w:endnote>
  <w:endnote w:type="continuationSeparator" w:id="0">
    <w:p w:rsidR="0043500C" w:rsidRDefault="0043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845" w:rsidRPr="00F66845" w:rsidRDefault="00F66845" w:rsidP="00F66845">
    <w:pPr>
      <w:pStyle w:val="Footer"/>
      <w:rPr>
        <w:sz w:val="16"/>
        <w:szCs w:val="16"/>
        <w:lang w:val="es-ES_tradnl"/>
      </w:rPr>
    </w:pPr>
    <w:r w:rsidRPr="00F66845">
      <w:rPr>
        <w:sz w:val="16"/>
        <w:szCs w:val="16"/>
      </w:rPr>
      <w:fldChar w:fldCharType="begin"/>
    </w:r>
    <w:r w:rsidRPr="00F66845">
      <w:rPr>
        <w:sz w:val="16"/>
        <w:szCs w:val="16"/>
        <w:lang w:val="es-ES_tradnl"/>
      </w:rPr>
      <w:instrText xml:space="preserve"> FILENAME \p  \* MERGEFORMAT </w:instrText>
    </w:r>
    <w:r w:rsidRPr="00F66845">
      <w:rPr>
        <w:sz w:val="16"/>
        <w:szCs w:val="16"/>
      </w:rPr>
      <w:fldChar w:fldCharType="separate"/>
    </w:r>
    <w:r w:rsidR="00046311">
      <w:rPr>
        <w:noProof/>
        <w:sz w:val="16"/>
        <w:szCs w:val="16"/>
        <w:lang w:val="es-ES_tradnl"/>
      </w:rPr>
      <w:t>P:\ESP\ITU-R\BR\DIR\CR\300\389S.docx</w:t>
    </w:r>
    <w:r w:rsidRPr="00F66845">
      <w:rPr>
        <w:noProof/>
        <w:sz w:val="16"/>
        <w:szCs w:val="16"/>
      </w:rPr>
      <w:fldChar w:fldCharType="end"/>
    </w:r>
    <w:r w:rsidRPr="00F66845">
      <w:rPr>
        <w:noProof/>
        <w:sz w:val="16"/>
        <w:szCs w:val="16"/>
        <w:lang w:val="es-ES_tradnl"/>
      </w:rPr>
      <w:t xml:space="preserve"> (392998)</w:t>
    </w:r>
    <w:r w:rsidRPr="00F66845">
      <w:rPr>
        <w:sz w:val="16"/>
        <w:szCs w:val="16"/>
        <w:lang w:val="es-ES_tradnl"/>
      </w:rPr>
      <w:tab/>
    </w:r>
    <w:r w:rsidRPr="00F66845">
      <w:rPr>
        <w:sz w:val="16"/>
        <w:szCs w:val="16"/>
      </w:rPr>
      <w:fldChar w:fldCharType="begin"/>
    </w:r>
    <w:r w:rsidRPr="00F66845">
      <w:rPr>
        <w:sz w:val="16"/>
        <w:szCs w:val="16"/>
      </w:rPr>
      <w:instrText xml:space="preserve"> SAVEDATE \@ DD.MM.YY </w:instrText>
    </w:r>
    <w:r w:rsidRPr="00F66845">
      <w:rPr>
        <w:sz w:val="16"/>
        <w:szCs w:val="16"/>
      </w:rPr>
      <w:fldChar w:fldCharType="separate"/>
    </w:r>
    <w:r w:rsidR="00C15F04">
      <w:rPr>
        <w:noProof/>
        <w:sz w:val="16"/>
        <w:szCs w:val="16"/>
      </w:rPr>
      <w:t>28.01.16</w:t>
    </w:r>
    <w:r w:rsidRPr="00F66845">
      <w:rPr>
        <w:sz w:val="16"/>
        <w:szCs w:val="16"/>
      </w:rPr>
      <w:fldChar w:fldCharType="end"/>
    </w:r>
    <w:r w:rsidRPr="00F66845">
      <w:rPr>
        <w:sz w:val="16"/>
        <w:szCs w:val="16"/>
        <w:lang w:val="es-ES_tradnl"/>
      </w:rPr>
      <w:tab/>
    </w:r>
    <w:r w:rsidRPr="00F66845">
      <w:rPr>
        <w:sz w:val="16"/>
        <w:szCs w:val="16"/>
      </w:rPr>
      <w:fldChar w:fldCharType="begin"/>
    </w:r>
    <w:r w:rsidRPr="00F66845">
      <w:rPr>
        <w:sz w:val="16"/>
        <w:szCs w:val="16"/>
      </w:rPr>
      <w:instrText xml:space="preserve"> PRINTDATE \@ DD.MM.YY </w:instrText>
    </w:r>
    <w:r w:rsidRPr="00F66845">
      <w:rPr>
        <w:sz w:val="16"/>
        <w:szCs w:val="16"/>
      </w:rPr>
      <w:fldChar w:fldCharType="separate"/>
    </w:r>
    <w:r w:rsidR="00046311">
      <w:rPr>
        <w:noProof/>
        <w:sz w:val="16"/>
        <w:szCs w:val="16"/>
      </w:rPr>
      <w:t>27.01.16</w:t>
    </w:r>
    <w:r w:rsidRPr="00F66845">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845" w:rsidRPr="00F66845" w:rsidRDefault="00F66845" w:rsidP="00F66845">
    <w:pPr>
      <w:pStyle w:val="Footer"/>
      <w:rPr>
        <w:sz w:val="16"/>
        <w:szCs w:val="16"/>
        <w:lang w:val="es-ES_tradnl"/>
      </w:rPr>
    </w:pPr>
    <w:r w:rsidRPr="00F66845">
      <w:rPr>
        <w:sz w:val="16"/>
        <w:szCs w:val="16"/>
      </w:rPr>
      <w:fldChar w:fldCharType="begin"/>
    </w:r>
    <w:r w:rsidRPr="00F66845">
      <w:rPr>
        <w:sz w:val="16"/>
        <w:szCs w:val="16"/>
        <w:lang w:val="es-ES_tradnl"/>
      </w:rPr>
      <w:instrText xml:space="preserve"> FILENAME \p  \* MERGEFORMAT </w:instrText>
    </w:r>
    <w:r w:rsidRPr="00F66845">
      <w:rPr>
        <w:sz w:val="16"/>
        <w:szCs w:val="16"/>
      </w:rPr>
      <w:fldChar w:fldCharType="separate"/>
    </w:r>
    <w:r w:rsidR="00046311">
      <w:rPr>
        <w:noProof/>
        <w:sz w:val="16"/>
        <w:szCs w:val="16"/>
        <w:lang w:val="es-ES_tradnl"/>
      </w:rPr>
      <w:t>P:\ESP\ITU-R\BR\DIR\CR\300\389S.docx</w:t>
    </w:r>
    <w:r w:rsidRPr="00F66845">
      <w:rPr>
        <w:noProof/>
        <w:sz w:val="16"/>
        <w:szCs w:val="16"/>
      </w:rPr>
      <w:fldChar w:fldCharType="end"/>
    </w:r>
    <w:r w:rsidRPr="00F66845">
      <w:rPr>
        <w:noProof/>
        <w:sz w:val="16"/>
        <w:szCs w:val="16"/>
        <w:lang w:val="es-ES_tradnl"/>
      </w:rPr>
      <w:t xml:space="preserve"> (392998)</w:t>
    </w:r>
    <w:r w:rsidRPr="00F66845">
      <w:rPr>
        <w:sz w:val="16"/>
        <w:szCs w:val="16"/>
        <w:lang w:val="es-ES_tradnl"/>
      </w:rPr>
      <w:tab/>
    </w:r>
    <w:r w:rsidRPr="00F66845">
      <w:rPr>
        <w:sz w:val="16"/>
        <w:szCs w:val="16"/>
      </w:rPr>
      <w:fldChar w:fldCharType="begin"/>
    </w:r>
    <w:r w:rsidRPr="00F66845">
      <w:rPr>
        <w:sz w:val="16"/>
        <w:szCs w:val="16"/>
      </w:rPr>
      <w:instrText xml:space="preserve"> SAVEDATE \@ DD.MM.YY </w:instrText>
    </w:r>
    <w:r w:rsidRPr="00F66845">
      <w:rPr>
        <w:sz w:val="16"/>
        <w:szCs w:val="16"/>
      </w:rPr>
      <w:fldChar w:fldCharType="separate"/>
    </w:r>
    <w:r w:rsidR="00C15F04">
      <w:rPr>
        <w:noProof/>
        <w:sz w:val="16"/>
        <w:szCs w:val="16"/>
      </w:rPr>
      <w:t>28.01.16</w:t>
    </w:r>
    <w:r w:rsidRPr="00F66845">
      <w:rPr>
        <w:sz w:val="16"/>
        <w:szCs w:val="16"/>
      </w:rPr>
      <w:fldChar w:fldCharType="end"/>
    </w:r>
    <w:r w:rsidRPr="00F66845">
      <w:rPr>
        <w:sz w:val="16"/>
        <w:szCs w:val="16"/>
        <w:lang w:val="es-ES_tradnl"/>
      </w:rPr>
      <w:tab/>
    </w:r>
    <w:r w:rsidRPr="00F66845">
      <w:rPr>
        <w:sz w:val="16"/>
        <w:szCs w:val="16"/>
      </w:rPr>
      <w:fldChar w:fldCharType="begin"/>
    </w:r>
    <w:r w:rsidRPr="00F66845">
      <w:rPr>
        <w:sz w:val="16"/>
        <w:szCs w:val="16"/>
      </w:rPr>
      <w:instrText xml:space="preserve"> PRINTDATE \@ DD.MM.YY </w:instrText>
    </w:r>
    <w:r w:rsidRPr="00F66845">
      <w:rPr>
        <w:sz w:val="16"/>
        <w:szCs w:val="16"/>
      </w:rPr>
      <w:fldChar w:fldCharType="separate"/>
    </w:r>
    <w:r w:rsidR="00046311">
      <w:rPr>
        <w:noProof/>
        <w:sz w:val="16"/>
        <w:szCs w:val="16"/>
      </w:rPr>
      <w:t>27.01.16</w:t>
    </w:r>
    <w:r w:rsidRPr="00F66845">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912DAB" w:rsidRDefault="00912DAB" w:rsidP="00912DAB">
    <w:pPr>
      <w:pStyle w:val="FirstFooter"/>
      <w:spacing w:line="240" w:lineRule="auto"/>
      <w:ind w:left="-397" w:right="-397"/>
      <w:jc w:val="center"/>
      <w:rPr>
        <w:sz w:val="18"/>
        <w:szCs w:val="18"/>
        <w:lang w:val="es-ES_tradnl"/>
      </w:rPr>
    </w:pPr>
    <w:r w:rsidRPr="00345938">
      <w:rPr>
        <w:sz w:val="18"/>
        <w:szCs w:val="18"/>
        <w:lang w:val="es-ES_tradnl"/>
      </w:rPr>
      <w:t>Unión Internacional de Telecomunicaciones • Place des Nations • CH</w:t>
    </w:r>
    <w:r w:rsidRPr="00345938">
      <w:rPr>
        <w:sz w:val="18"/>
        <w:szCs w:val="18"/>
        <w:lang w:val="es-ES_tradnl"/>
      </w:rPr>
      <w:noBreakHyphen/>
      <w:t>1211 Ginebra 20 • Suiza</w:t>
    </w:r>
    <w:r w:rsidRPr="00345938">
      <w:rPr>
        <w:sz w:val="18"/>
        <w:szCs w:val="18"/>
        <w:lang w:val="es-ES_tradnl"/>
      </w:rPr>
      <w:br/>
      <w:t>Tel</w:t>
    </w:r>
    <w:r w:rsidR="00F66845">
      <w:rPr>
        <w:sz w:val="18"/>
        <w:szCs w:val="18"/>
        <w:lang w:val="es-ES_tradnl"/>
      </w:rPr>
      <w:t>.</w:t>
    </w:r>
    <w:r w:rsidRPr="00345938">
      <w:rPr>
        <w:sz w:val="18"/>
        <w:szCs w:val="18"/>
        <w:lang w:val="es-ES_tradnl"/>
      </w:rPr>
      <w:t xml:space="preserve">: +41 22 730 5111 • Fax: +41 22 733 7256 • Correo-e: </w:t>
    </w:r>
    <w:hyperlink r:id="rId1" w:history="1">
      <w:r w:rsidRPr="00345938">
        <w:rPr>
          <w:rStyle w:val="Hyperlink"/>
          <w:sz w:val="18"/>
          <w:szCs w:val="18"/>
          <w:lang w:val="es-ES_tradnl"/>
        </w:rPr>
        <w:t>itumail@itu.int</w:t>
      </w:r>
    </w:hyperlink>
    <w:r w:rsidRPr="00345938">
      <w:rPr>
        <w:sz w:val="18"/>
        <w:szCs w:val="18"/>
        <w:lang w:val="es-ES_tradnl"/>
      </w:rPr>
      <w:t xml:space="preserve"> • </w:t>
    </w:r>
    <w:hyperlink r:id="rId2" w:history="1">
      <w:r w:rsidRPr="00345938">
        <w:rPr>
          <w:rStyle w:val="Hyperlink"/>
          <w:sz w:val="18"/>
          <w:szCs w:val="18"/>
          <w:lang w:val="es-ES_tradnl"/>
        </w:rPr>
        <w:t>www.itu.int</w:t>
      </w:r>
    </w:hyperlink>
    <w:r w:rsidRPr="00345938">
      <w:rPr>
        <w:sz w:val="18"/>
        <w:szCs w:val="18"/>
        <w:lang w:val="es-ES_tradnl"/>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845" w:rsidRPr="00F66845" w:rsidRDefault="00F66845" w:rsidP="00F66845">
    <w:pPr>
      <w:pStyle w:val="Footer"/>
      <w:rPr>
        <w:sz w:val="16"/>
        <w:szCs w:val="16"/>
        <w:lang w:val="es-ES_tradnl"/>
      </w:rPr>
    </w:pPr>
    <w:r w:rsidRPr="00F66845">
      <w:rPr>
        <w:sz w:val="16"/>
        <w:szCs w:val="16"/>
      </w:rPr>
      <w:fldChar w:fldCharType="begin"/>
    </w:r>
    <w:r w:rsidRPr="00F66845">
      <w:rPr>
        <w:sz w:val="16"/>
        <w:szCs w:val="16"/>
        <w:lang w:val="es-ES_tradnl"/>
      </w:rPr>
      <w:instrText xml:space="preserve"> FILENAME \p  \* MERGEFORMAT </w:instrText>
    </w:r>
    <w:r w:rsidRPr="00F66845">
      <w:rPr>
        <w:sz w:val="16"/>
        <w:szCs w:val="16"/>
      </w:rPr>
      <w:fldChar w:fldCharType="separate"/>
    </w:r>
    <w:r w:rsidR="00046311">
      <w:rPr>
        <w:noProof/>
        <w:sz w:val="16"/>
        <w:szCs w:val="16"/>
        <w:lang w:val="es-ES_tradnl"/>
      </w:rPr>
      <w:t>P:\ESP\ITU-R\BR\DIR\CR\300\389S.docx</w:t>
    </w:r>
    <w:r w:rsidRPr="00F66845">
      <w:rPr>
        <w:noProof/>
        <w:sz w:val="16"/>
        <w:szCs w:val="16"/>
      </w:rPr>
      <w:fldChar w:fldCharType="end"/>
    </w:r>
    <w:r w:rsidRPr="00F66845">
      <w:rPr>
        <w:noProof/>
        <w:sz w:val="16"/>
        <w:szCs w:val="16"/>
        <w:lang w:val="es-ES_tradnl"/>
      </w:rPr>
      <w:t xml:space="preserve"> (392998)</w:t>
    </w:r>
    <w:r w:rsidRPr="00F66845">
      <w:rPr>
        <w:sz w:val="16"/>
        <w:szCs w:val="16"/>
        <w:lang w:val="es-ES_tradnl"/>
      </w:rPr>
      <w:tab/>
    </w:r>
    <w:r w:rsidRPr="00F66845">
      <w:rPr>
        <w:sz w:val="16"/>
        <w:szCs w:val="16"/>
      </w:rPr>
      <w:fldChar w:fldCharType="begin"/>
    </w:r>
    <w:r w:rsidRPr="00F66845">
      <w:rPr>
        <w:sz w:val="16"/>
        <w:szCs w:val="16"/>
      </w:rPr>
      <w:instrText xml:space="preserve"> SAVEDATE \@ DD.MM.YY </w:instrText>
    </w:r>
    <w:r w:rsidRPr="00F66845">
      <w:rPr>
        <w:sz w:val="16"/>
        <w:szCs w:val="16"/>
      </w:rPr>
      <w:fldChar w:fldCharType="separate"/>
    </w:r>
    <w:r w:rsidR="00C15F04">
      <w:rPr>
        <w:noProof/>
        <w:sz w:val="16"/>
        <w:szCs w:val="16"/>
      </w:rPr>
      <w:t>28.01.16</w:t>
    </w:r>
    <w:r w:rsidRPr="00F66845">
      <w:rPr>
        <w:sz w:val="16"/>
        <w:szCs w:val="16"/>
      </w:rPr>
      <w:fldChar w:fldCharType="end"/>
    </w:r>
    <w:r w:rsidRPr="00F66845">
      <w:rPr>
        <w:sz w:val="16"/>
        <w:szCs w:val="16"/>
        <w:lang w:val="es-ES_tradnl"/>
      </w:rPr>
      <w:tab/>
    </w:r>
    <w:r w:rsidRPr="00F66845">
      <w:rPr>
        <w:sz w:val="16"/>
        <w:szCs w:val="16"/>
      </w:rPr>
      <w:fldChar w:fldCharType="begin"/>
    </w:r>
    <w:r w:rsidRPr="00F66845">
      <w:rPr>
        <w:sz w:val="16"/>
        <w:szCs w:val="16"/>
      </w:rPr>
      <w:instrText xml:space="preserve"> PRINTDATE \@ DD.MM.YY </w:instrText>
    </w:r>
    <w:r w:rsidRPr="00F66845">
      <w:rPr>
        <w:sz w:val="16"/>
        <w:szCs w:val="16"/>
      </w:rPr>
      <w:fldChar w:fldCharType="separate"/>
    </w:r>
    <w:r w:rsidR="00046311">
      <w:rPr>
        <w:noProof/>
        <w:sz w:val="16"/>
        <w:szCs w:val="16"/>
      </w:rPr>
      <w:t>27.01.16</w:t>
    </w:r>
    <w:r w:rsidRPr="00F6684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00C" w:rsidRDefault="0043500C">
      <w:r>
        <w:t>____________________</w:t>
      </w:r>
    </w:p>
  </w:footnote>
  <w:footnote w:type="continuationSeparator" w:id="0">
    <w:p w:rsidR="0043500C" w:rsidRDefault="00435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F66845">
      <w:rPr>
        <w:rStyle w:val="PageNumber"/>
        <w:noProof/>
        <w:sz w:val="18"/>
        <w:szCs w:val="16"/>
      </w:rPr>
      <w:t>4</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594948114"/>
      <w:docPartObj>
        <w:docPartGallery w:val="Page Numbers (Top of Page)"/>
        <w:docPartUnique/>
      </w:docPartObj>
    </w:sdtPr>
    <w:sdtEndPr>
      <w:rPr>
        <w:noProof/>
      </w:rPr>
    </w:sdtEndPr>
    <w:sdtContent>
      <w:p w:rsidR="00E915AF" w:rsidRPr="00F66845" w:rsidRDefault="00F66845" w:rsidP="00F66845">
        <w:pPr>
          <w:pStyle w:val="Header"/>
          <w:jc w:val="center"/>
          <w:rPr>
            <w:sz w:val="18"/>
            <w:szCs w:val="18"/>
          </w:rPr>
        </w:pPr>
        <w:r w:rsidRPr="00F66845">
          <w:rPr>
            <w:sz w:val="18"/>
            <w:szCs w:val="18"/>
          </w:rPr>
          <w:fldChar w:fldCharType="begin"/>
        </w:r>
        <w:r w:rsidRPr="00F66845">
          <w:rPr>
            <w:sz w:val="18"/>
            <w:szCs w:val="18"/>
          </w:rPr>
          <w:instrText xml:space="preserve"> PAGE   \* MERGEFORMAT </w:instrText>
        </w:r>
        <w:r w:rsidRPr="00F66845">
          <w:rPr>
            <w:sz w:val="18"/>
            <w:szCs w:val="18"/>
          </w:rPr>
          <w:fldChar w:fldCharType="separate"/>
        </w:r>
        <w:r w:rsidR="00C15F04">
          <w:rPr>
            <w:noProof/>
            <w:sz w:val="18"/>
            <w:szCs w:val="18"/>
          </w:rPr>
          <w:t>3</w:t>
        </w:r>
        <w:r w:rsidRPr="00F66845">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AF5B37" w:rsidTr="00EA378A">
      <w:trPr>
        <w:jc w:val="center"/>
      </w:trPr>
      <w:tc>
        <w:tcPr>
          <w:tcW w:w="9889" w:type="dxa"/>
        </w:tcPr>
        <w:p w:rsidR="00AF5B37" w:rsidRDefault="00AF5B37" w:rsidP="00AF5B37">
          <w:pPr>
            <w:pStyle w:val="Header"/>
            <w:tabs>
              <w:tab w:val="clear" w:pos="794"/>
              <w:tab w:val="clear" w:pos="4820"/>
            </w:tabs>
            <w:spacing w:before="120" w:line="360" w:lineRule="auto"/>
            <w:jc w:val="center"/>
          </w:pPr>
          <w:r>
            <w:rPr>
              <w:b/>
              <w:bCs/>
              <w:noProof/>
              <w:lang w:eastAsia="zh-CN"/>
            </w:rPr>
            <w:drawing>
              <wp:inline distT="0" distB="0" distL="0" distR="0" wp14:anchorId="5FD55C63" wp14:editId="17461AC2">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bl>
  <w:p w:rsidR="00E915AF" w:rsidRPr="009E4595" w:rsidRDefault="00E915AF" w:rsidP="009E45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60807380"/>
      <w:docPartObj>
        <w:docPartGallery w:val="Page Numbers (Top of Page)"/>
        <w:docPartUnique/>
      </w:docPartObj>
    </w:sdtPr>
    <w:sdtEndPr>
      <w:rPr>
        <w:noProof/>
      </w:rPr>
    </w:sdtEndPr>
    <w:sdtContent>
      <w:p w:rsidR="00F66845" w:rsidRPr="00F66845" w:rsidRDefault="00F66845" w:rsidP="00F66845">
        <w:pPr>
          <w:pStyle w:val="Header"/>
          <w:jc w:val="center"/>
          <w:rPr>
            <w:sz w:val="18"/>
            <w:szCs w:val="18"/>
          </w:rPr>
        </w:pPr>
        <w:r w:rsidRPr="00F66845">
          <w:rPr>
            <w:sz w:val="18"/>
            <w:szCs w:val="18"/>
          </w:rPr>
          <w:fldChar w:fldCharType="begin"/>
        </w:r>
        <w:r w:rsidRPr="00F66845">
          <w:rPr>
            <w:sz w:val="18"/>
            <w:szCs w:val="18"/>
          </w:rPr>
          <w:instrText xml:space="preserve"> PAGE   \* MERGEFORMAT </w:instrText>
        </w:r>
        <w:r w:rsidRPr="00F66845">
          <w:rPr>
            <w:sz w:val="18"/>
            <w:szCs w:val="18"/>
          </w:rPr>
          <w:fldChar w:fldCharType="separate"/>
        </w:r>
        <w:r w:rsidR="00C15F04">
          <w:rPr>
            <w:noProof/>
            <w:sz w:val="18"/>
            <w:szCs w:val="18"/>
          </w:rPr>
          <w:t>2</w:t>
        </w:r>
        <w:r w:rsidRPr="00F66845">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3500C"/>
    <w:rsid w:val="00006A31"/>
    <w:rsid w:val="00006C82"/>
    <w:rsid w:val="00010E30"/>
    <w:rsid w:val="00015C76"/>
    <w:rsid w:val="00024B71"/>
    <w:rsid w:val="00026CF8"/>
    <w:rsid w:val="00030BD7"/>
    <w:rsid w:val="00031E64"/>
    <w:rsid w:val="00033853"/>
    <w:rsid w:val="00034340"/>
    <w:rsid w:val="00035CB3"/>
    <w:rsid w:val="00045A8D"/>
    <w:rsid w:val="00046311"/>
    <w:rsid w:val="0005167A"/>
    <w:rsid w:val="00054E5D"/>
    <w:rsid w:val="00070258"/>
    <w:rsid w:val="0007323C"/>
    <w:rsid w:val="00086D03"/>
    <w:rsid w:val="00094989"/>
    <w:rsid w:val="000A096A"/>
    <w:rsid w:val="000A375E"/>
    <w:rsid w:val="000A7051"/>
    <w:rsid w:val="000B0AF6"/>
    <w:rsid w:val="000B0E9B"/>
    <w:rsid w:val="000B2CAE"/>
    <w:rsid w:val="000C03C7"/>
    <w:rsid w:val="000C2AD0"/>
    <w:rsid w:val="000E3DEE"/>
    <w:rsid w:val="000E4BCD"/>
    <w:rsid w:val="00100B72"/>
    <w:rsid w:val="00101F7D"/>
    <w:rsid w:val="00103C76"/>
    <w:rsid w:val="0011265F"/>
    <w:rsid w:val="00117282"/>
    <w:rsid w:val="00117389"/>
    <w:rsid w:val="00121C2D"/>
    <w:rsid w:val="001339A8"/>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21F8"/>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6935"/>
    <w:rsid w:val="003266ED"/>
    <w:rsid w:val="00326C68"/>
    <w:rsid w:val="0033029C"/>
    <w:rsid w:val="003370B8"/>
    <w:rsid w:val="00345D38"/>
    <w:rsid w:val="00352097"/>
    <w:rsid w:val="003666FF"/>
    <w:rsid w:val="0037309C"/>
    <w:rsid w:val="00380A6E"/>
    <w:rsid w:val="003836D4"/>
    <w:rsid w:val="00386589"/>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500C"/>
    <w:rsid w:val="0043682E"/>
    <w:rsid w:val="00447ECB"/>
    <w:rsid w:val="004623F7"/>
    <w:rsid w:val="00480F51"/>
    <w:rsid w:val="00481124"/>
    <w:rsid w:val="004815EB"/>
    <w:rsid w:val="00487569"/>
    <w:rsid w:val="00496864"/>
    <w:rsid w:val="00496920"/>
    <w:rsid w:val="004A2066"/>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10CCC"/>
    <w:rsid w:val="005224A1"/>
    <w:rsid w:val="00534372"/>
    <w:rsid w:val="00543DF8"/>
    <w:rsid w:val="00546101"/>
    <w:rsid w:val="00553DD7"/>
    <w:rsid w:val="005579E2"/>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086E"/>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38E2"/>
    <w:rsid w:val="007D43D0"/>
    <w:rsid w:val="007E1833"/>
    <w:rsid w:val="007E3F13"/>
    <w:rsid w:val="007F751A"/>
    <w:rsid w:val="00800012"/>
    <w:rsid w:val="0080261F"/>
    <w:rsid w:val="00805A02"/>
    <w:rsid w:val="00806160"/>
    <w:rsid w:val="008143A4"/>
    <w:rsid w:val="0081513E"/>
    <w:rsid w:val="00842CE0"/>
    <w:rsid w:val="00854131"/>
    <w:rsid w:val="0085652D"/>
    <w:rsid w:val="00857F67"/>
    <w:rsid w:val="0087694B"/>
    <w:rsid w:val="00880F4D"/>
    <w:rsid w:val="008B35A3"/>
    <w:rsid w:val="008B37E1"/>
    <w:rsid w:val="008B45F8"/>
    <w:rsid w:val="008C2E74"/>
    <w:rsid w:val="008D5409"/>
    <w:rsid w:val="008E006D"/>
    <w:rsid w:val="008E38B4"/>
    <w:rsid w:val="008F4F21"/>
    <w:rsid w:val="00904D4A"/>
    <w:rsid w:val="009076D7"/>
    <w:rsid w:val="00912DAB"/>
    <w:rsid w:val="009151BA"/>
    <w:rsid w:val="00925023"/>
    <w:rsid w:val="009277BC"/>
    <w:rsid w:val="00927D57"/>
    <w:rsid w:val="00931A51"/>
    <w:rsid w:val="00947185"/>
    <w:rsid w:val="009518B3"/>
    <w:rsid w:val="00955333"/>
    <w:rsid w:val="00963D9D"/>
    <w:rsid w:val="00972257"/>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5F04"/>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E6BCA"/>
    <w:rsid w:val="00CF34D4"/>
    <w:rsid w:val="00D10BA0"/>
    <w:rsid w:val="00D21694"/>
    <w:rsid w:val="00D239B4"/>
    <w:rsid w:val="00D24EB5"/>
    <w:rsid w:val="00D35AB9"/>
    <w:rsid w:val="00D41571"/>
    <w:rsid w:val="00D416A0"/>
    <w:rsid w:val="00D44CDF"/>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07240"/>
    <w:rsid w:val="00E17344"/>
    <w:rsid w:val="00E20F30"/>
    <w:rsid w:val="00E2189C"/>
    <w:rsid w:val="00E235EF"/>
    <w:rsid w:val="00E25BB1"/>
    <w:rsid w:val="00E27BBA"/>
    <w:rsid w:val="00E30E3F"/>
    <w:rsid w:val="00E35E8F"/>
    <w:rsid w:val="00E428AB"/>
    <w:rsid w:val="00E438E8"/>
    <w:rsid w:val="00E453A3"/>
    <w:rsid w:val="00E520E2"/>
    <w:rsid w:val="00E530C4"/>
    <w:rsid w:val="00E53DCE"/>
    <w:rsid w:val="00E55512"/>
    <w:rsid w:val="00E55996"/>
    <w:rsid w:val="00E64254"/>
    <w:rsid w:val="00E67928"/>
    <w:rsid w:val="00E70FB5"/>
    <w:rsid w:val="00E8670F"/>
    <w:rsid w:val="00E915AF"/>
    <w:rsid w:val="00E96415"/>
    <w:rsid w:val="00EA15B3"/>
    <w:rsid w:val="00EB2358"/>
    <w:rsid w:val="00EB3EB8"/>
    <w:rsid w:val="00EC00EF"/>
    <w:rsid w:val="00EC02FE"/>
    <w:rsid w:val="00EC4A96"/>
    <w:rsid w:val="00EE03A0"/>
    <w:rsid w:val="00F244D0"/>
    <w:rsid w:val="00F424BF"/>
    <w:rsid w:val="00F44FC3"/>
    <w:rsid w:val="00F46107"/>
    <w:rsid w:val="00F468C5"/>
    <w:rsid w:val="00F52F39"/>
    <w:rsid w:val="00F6184F"/>
    <w:rsid w:val="00F66845"/>
    <w:rsid w:val="00F8310E"/>
    <w:rsid w:val="00F877D1"/>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3295068-2D3B-4DA5-9968-F42DAF5F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66845"/>
    <w:rPr>
      <w:sz w:val="24"/>
      <w:szCs w:val="22"/>
      <w:lang w:val="en-US" w:eastAsia="en-US"/>
    </w:rPr>
  </w:style>
  <w:style w:type="table" w:customStyle="1" w:styleId="TableGrid1">
    <w:name w:val="Table Grid1"/>
    <w:basedOn w:val="TableNormal"/>
    <w:next w:val="TableGrid"/>
    <w:uiPriority w:val="39"/>
    <w:rsid w:val="00F66845"/>
    <w:rPr>
      <w:rFonts w:eastAsia="SimSun"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F6684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61242-51B6-4EA2-8CE3-6812A9FC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151</TotalTime>
  <Pages>11</Pages>
  <Words>4796</Words>
  <Characters>25222</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29959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FHernández</dc:creator>
  <cp:lastModifiedBy>FHernández</cp:lastModifiedBy>
  <cp:revision>22</cp:revision>
  <cp:lastPrinted>2016-01-27T13:48:00Z</cp:lastPrinted>
  <dcterms:created xsi:type="dcterms:W3CDTF">2016-01-27T13:28:00Z</dcterms:created>
  <dcterms:modified xsi:type="dcterms:W3CDTF">2016-01-28T10:06:00Z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