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46390" w:rsidTr="0071555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46390" w:rsidRDefault="00E53DCE" w:rsidP="004406C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E46390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  <w:bookmarkStart w:id="0" w:name="_GoBack"/>
            <w:bookmarkEnd w:id="0"/>
          </w:p>
          <w:p w:rsidR="00E53DCE" w:rsidRPr="00E46390" w:rsidRDefault="00E53DCE" w:rsidP="004406C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E46390" w:rsidRDefault="00E53DCE" w:rsidP="004406C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E46390" w:rsidTr="0071555D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E46390" w:rsidRDefault="00B96F4C" w:rsidP="004406C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E46390">
              <w:rPr>
                <w:szCs w:val="24"/>
                <w:lang w:val="fr-CH"/>
              </w:rPr>
              <w:t>Lettre c</w:t>
            </w:r>
            <w:r w:rsidR="00E53DCE" w:rsidRPr="00E46390">
              <w:rPr>
                <w:szCs w:val="24"/>
                <w:lang w:val="fr-CH"/>
              </w:rPr>
              <w:t>irculaire</w:t>
            </w:r>
          </w:p>
          <w:p w:rsidR="00E53DCE" w:rsidRPr="00E46390" w:rsidRDefault="002641BD" w:rsidP="00896B0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E46390">
              <w:rPr>
                <w:b/>
                <w:bCs/>
                <w:szCs w:val="24"/>
                <w:lang w:val="fr-CH"/>
              </w:rPr>
              <w:t>CR</w:t>
            </w:r>
            <w:r w:rsidR="00E53DCE" w:rsidRPr="00E46390">
              <w:rPr>
                <w:b/>
                <w:bCs/>
                <w:szCs w:val="24"/>
                <w:lang w:val="fr-CH"/>
              </w:rPr>
              <w:t>/</w:t>
            </w:r>
            <w:r w:rsidRPr="00E46390">
              <w:rPr>
                <w:b/>
                <w:bCs/>
                <w:szCs w:val="24"/>
                <w:lang w:val="fr-CH"/>
              </w:rPr>
              <w:t>3</w:t>
            </w:r>
            <w:r w:rsidR="00896B0F" w:rsidRPr="00E46390">
              <w:rPr>
                <w:b/>
                <w:bCs/>
                <w:szCs w:val="24"/>
                <w:lang w:val="fr-CH"/>
              </w:rPr>
              <w:t>96</w:t>
            </w:r>
          </w:p>
        </w:tc>
        <w:tc>
          <w:tcPr>
            <w:tcW w:w="2835" w:type="dxa"/>
            <w:shd w:val="clear" w:color="auto" w:fill="auto"/>
          </w:tcPr>
          <w:p w:rsidR="00E53DCE" w:rsidRPr="00E46390" w:rsidRDefault="006950BA" w:rsidP="00AD6106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E46390">
              <w:rPr>
                <w:szCs w:val="24"/>
                <w:lang w:val="fr-CH"/>
              </w:rPr>
              <w:t>L</w:t>
            </w:r>
            <w:r w:rsidR="00E53DCE" w:rsidRPr="00E46390">
              <w:rPr>
                <w:szCs w:val="24"/>
                <w:lang w:val="fr-CH"/>
              </w:rPr>
              <w:t>e</w:t>
            </w:r>
            <w:r w:rsidR="00CA0288" w:rsidRPr="00E46390">
              <w:rPr>
                <w:rFonts w:cs="Arial"/>
                <w:szCs w:val="24"/>
                <w:lang w:val="fr-CH"/>
              </w:rPr>
              <w:t xml:space="preserve"> </w:t>
            </w:r>
            <w:r w:rsidR="00896B0F" w:rsidRPr="00E46390">
              <w:rPr>
                <w:rFonts w:cs="Arial"/>
                <w:szCs w:val="24"/>
                <w:lang w:val="fr-CH"/>
              </w:rPr>
              <w:t>3</w:t>
            </w:r>
            <w:r w:rsidR="00AD6106">
              <w:rPr>
                <w:rFonts w:cs="Arial"/>
                <w:szCs w:val="24"/>
                <w:lang w:val="fr-CH"/>
              </w:rPr>
              <w:t>1</w:t>
            </w:r>
            <w:r w:rsidR="00896B0F" w:rsidRPr="00E46390">
              <w:rPr>
                <w:rFonts w:cs="Arial"/>
                <w:szCs w:val="24"/>
                <w:lang w:val="fr-CH"/>
              </w:rPr>
              <w:t xml:space="preserve"> mars </w:t>
            </w:r>
            <w:r w:rsidR="00CA0288" w:rsidRPr="00E46390">
              <w:rPr>
                <w:rFonts w:cs="Arial"/>
                <w:szCs w:val="24"/>
                <w:lang w:val="fr-CH"/>
              </w:rPr>
              <w:t>201</w:t>
            </w:r>
            <w:r w:rsidR="00896B0F" w:rsidRPr="00E46390">
              <w:rPr>
                <w:rFonts w:cs="Arial"/>
                <w:szCs w:val="24"/>
                <w:lang w:val="fr-CH"/>
              </w:rPr>
              <w:t>6</w:t>
            </w:r>
          </w:p>
        </w:tc>
      </w:tr>
      <w:tr w:rsidR="00E53DCE" w:rsidRPr="00E46390" w:rsidTr="0071555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46390" w:rsidRDefault="00E53DCE" w:rsidP="004406C0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E46390" w:rsidTr="0071555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46390" w:rsidRDefault="00E53DCE" w:rsidP="004406C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AD6106" w:rsidTr="0071555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46390" w:rsidRDefault="00EE1A57" w:rsidP="004406C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E46390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E46390" w:rsidRDefault="00E53DCE" w:rsidP="004406C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6106" w:rsidTr="0071555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46390" w:rsidRDefault="00E53DCE" w:rsidP="004406C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AD6106" w:rsidTr="0071555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46390" w:rsidRDefault="00E53DCE" w:rsidP="004406C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AD6106" w:rsidTr="0071555D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46390" w:rsidRDefault="00A02C87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E46390">
              <w:rPr>
                <w:lang w:val="fr-CH"/>
              </w:rPr>
              <w:t>Objet: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E46390" w:rsidRDefault="00896B0F" w:rsidP="0071555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E46390">
              <w:rPr>
                <w:b/>
                <w:bCs/>
                <w:szCs w:val="24"/>
                <w:lang w:val="fr-CH"/>
              </w:rPr>
              <w:t>Utilisation d'une station spatiale pour mettre en service des assignations de fréquence à des réseaux à satellite géostationnaire à des positions orbitales différentes sur une courte période</w:t>
            </w:r>
          </w:p>
        </w:tc>
      </w:tr>
      <w:tr w:rsidR="00E53DCE" w:rsidRPr="00AD6106" w:rsidTr="0071555D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46390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46390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6106" w:rsidTr="0071555D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46390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46390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6106" w:rsidTr="0071555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46390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</w:tbl>
    <w:p w:rsidR="00896B0F" w:rsidRPr="00E46390" w:rsidRDefault="005D3FC3" w:rsidP="00BE1C9D">
      <w:pPr>
        <w:spacing w:before="360" w:line="240" w:lineRule="auto"/>
        <w:rPr>
          <w:lang w:val="fr-CH"/>
        </w:rPr>
      </w:pPr>
      <w:r w:rsidRPr="00E46390">
        <w:rPr>
          <w:lang w:val="fr-CH"/>
        </w:rPr>
        <w:t>La Conférence mondiale des r</w:t>
      </w:r>
      <w:r w:rsidR="00896B0F" w:rsidRPr="00E46390">
        <w:rPr>
          <w:lang w:val="fr-CH"/>
        </w:rPr>
        <w:t>adiocommunication</w:t>
      </w:r>
      <w:r w:rsidRPr="00E46390">
        <w:rPr>
          <w:lang w:val="fr-CH"/>
        </w:rPr>
        <w:t>s (</w:t>
      </w:r>
      <w:r w:rsidR="00896B0F" w:rsidRPr="00E46390">
        <w:rPr>
          <w:lang w:val="fr-CH"/>
        </w:rPr>
        <w:t>Gen</w:t>
      </w:r>
      <w:r w:rsidRPr="00E46390">
        <w:rPr>
          <w:lang w:val="fr-CH"/>
        </w:rPr>
        <w:t xml:space="preserve">ève, </w:t>
      </w:r>
      <w:r w:rsidR="00896B0F" w:rsidRPr="00E46390">
        <w:rPr>
          <w:lang w:val="fr-CH"/>
        </w:rPr>
        <w:t>2015</w:t>
      </w:r>
      <w:r w:rsidRPr="00E46390">
        <w:rPr>
          <w:lang w:val="fr-CH"/>
        </w:rPr>
        <w:t>)</w:t>
      </w:r>
      <w:r w:rsidR="00896B0F" w:rsidRPr="00E46390">
        <w:rPr>
          <w:lang w:val="fr-CH"/>
        </w:rPr>
        <w:t xml:space="preserve"> (</w:t>
      </w:r>
      <w:r w:rsidRPr="00E46390">
        <w:rPr>
          <w:lang w:val="fr-CH"/>
        </w:rPr>
        <w:t>CMR</w:t>
      </w:r>
      <w:r w:rsidR="00896B0F" w:rsidRPr="00E46390">
        <w:rPr>
          <w:lang w:val="fr-CH"/>
        </w:rPr>
        <w:t xml:space="preserve">-15) </w:t>
      </w:r>
      <w:r w:rsidRPr="00E46390">
        <w:rPr>
          <w:lang w:val="fr-CH"/>
        </w:rPr>
        <w:t>a adopté</w:t>
      </w:r>
      <w:r w:rsidR="00896B0F" w:rsidRPr="00E46390">
        <w:rPr>
          <w:lang w:val="fr-CH"/>
        </w:rPr>
        <w:t xml:space="preserve"> </w:t>
      </w:r>
      <w:r w:rsidRPr="00E46390">
        <w:rPr>
          <w:lang w:val="fr-CH"/>
        </w:rPr>
        <w:t xml:space="preserve">la </w:t>
      </w:r>
      <w:r w:rsidR="00896B0F" w:rsidRPr="00E46390">
        <w:rPr>
          <w:lang w:val="fr-CH"/>
        </w:rPr>
        <w:t>R</w:t>
      </w:r>
      <w:r w:rsidRPr="00E46390">
        <w:rPr>
          <w:lang w:val="fr-CH"/>
        </w:rPr>
        <w:t>é</w:t>
      </w:r>
      <w:r w:rsidR="00896B0F" w:rsidRPr="00E46390">
        <w:rPr>
          <w:lang w:val="fr-CH"/>
        </w:rPr>
        <w:t>solution</w:t>
      </w:r>
      <w:r w:rsidRPr="00E46390">
        <w:rPr>
          <w:lang w:val="fr-CH"/>
        </w:rPr>
        <w:t> </w:t>
      </w:r>
      <w:r w:rsidR="00896B0F" w:rsidRPr="00E46390">
        <w:rPr>
          <w:b/>
          <w:bCs/>
          <w:lang w:val="fr-CH"/>
        </w:rPr>
        <w:t>40</w:t>
      </w:r>
      <w:r w:rsidR="00896B0F" w:rsidRPr="00E46390">
        <w:rPr>
          <w:lang w:val="fr-CH"/>
        </w:rPr>
        <w:t xml:space="preserve"> (</w:t>
      </w:r>
      <w:r w:rsidRPr="00E46390">
        <w:rPr>
          <w:lang w:val="fr-CH"/>
        </w:rPr>
        <w:t>CMR</w:t>
      </w:r>
      <w:r w:rsidR="00896B0F" w:rsidRPr="00E46390">
        <w:rPr>
          <w:lang w:val="fr-CH"/>
        </w:rPr>
        <w:t>-15)</w:t>
      </w:r>
      <w:r w:rsidRPr="00E46390">
        <w:rPr>
          <w:lang w:val="fr-CH"/>
        </w:rPr>
        <w:t xml:space="preserve">, entrée en vigueur le </w:t>
      </w:r>
      <w:r w:rsidR="00896B0F" w:rsidRPr="00E46390">
        <w:rPr>
          <w:lang w:val="fr-CH"/>
        </w:rPr>
        <w:t xml:space="preserve">28 </w:t>
      </w:r>
      <w:r w:rsidRPr="00E46390">
        <w:rPr>
          <w:lang w:val="fr-CH"/>
        </w:rPr>
        <w:t xml:space="preserve">novembre </w:t>
      </w:r>
      <w:r w:rsidR="00896B0F" w:rsidRPr="00E46390">
        <w:rPr>
          <w:lang w:val="fr-CH"/>
        </w:rPr>
        <w:t>2015</w:t>
      </w:r>
      <w:r w:rsidR="00BE1C9D">
        <w:rPr>
          <w:lang w:val="fr-CH"/>
        </w:rPr>
        <w:t xml:space="preserve">, relative à </w:t>
      </w:r>
      <w:r w:rsidRPr="00E46390">
        <w:rPr>
          <w:lang w:val="fr-CH"/>
        </w:rPr>
        <w:t>l'utilisation d'une station spatiale pour mettre en service des assignations de fréquence à des réseaux à satellite géostationnaire à des positions orbitales différentes sur une courte période</w:t>
      </w:r>
      <w:r w:rsidR="00896B0F" w:rsidRPr="00E46390">
        <w:rPr>
          <w:lang w:val="fr-CH"/>
        </w:rPr>
        <w:t>.</w:t>
      </w:r>
    </w:p>
    <w:p w:rsidR="00896B0F" w:rsidRPr="00E46390" w:rsidRDefault="005D3FC3" w:rsidP="005D3FC3">
      <w:pPr>
        <w:spacing w:line="240" w:lineRule="auto"/>
        <w:rPr>
          <w:rFonts w:asciiTheme="minorHAnsi" w:hAnsiTheme="minorHAnsi"/>
          <w:szCs w:val="24"/>
          <w:lang w:val="fr-CH"/>
        </w:rPr>
      </w:pPr>
      <w:r w:rsidRPr="00E46390">
        <w:rPr>
          <w:lang w:val="fr-CH"/>
        </w:rPr>
        <w:t xml:space="preserve">Conformément au point 1 du </w:t>
      </w:r>
      <w:r w:rsidRPr="00E46390">
        <w:rPr>
          <w:i/>
          <w:iCs/>
          <w:lang w:val="fr-CH"/>
        </w:rPr>
        <w:t>décide</w:t>
      </w:r>
      <w:r w:rsidRPr="00E46390">
        <w:rPr>
          <w:lang w:val="fr-CH"/>
        </w:rPr>
        <w:t xml:space="preserve"> de la </w:t>
      </w:r>
      <w:r w:rsidR="00896B0F" w:rsidRPr="00E46390">
        <w:rPr>
          <w:lang w:val="fr-CH"/>
        </w:rPr>
        <w:t>R</w:t>
      </w:r>
      <w:r w:rsidRPr="00E46390">
        <w:rPr>
          <w:lang w:val="fr-CH"/>
        </w:rPr>
        <w:t>é</w:t>
      </w:r>
      <w:r w:rsidR="00896B0F" w:rsidRPr="00E46390">
        <w:rPr>
          <w:lang w:val="fr-CH"/>
        </w:rPr>
        <w:t xml:space="preserve">solution </w:t>
      </w:r>
      <w:r w:rsidR="00896B0F" w:rsidRPr="00E46390">
        <w:rPr>
          <w:b/>
          <w:bCs/>
          <w:lang w:val="fr-CH"/>
        </w:rPr>
        <w:t>40</w:t>
      </w:r>
      <w:r w:rsidR="00896B0F" w:rsidRPr="00E46390">
        <w:rPr>
          <w:lang w:val="fr-CH"/>
        </w:rPr>
        <w:t xml:space="preserve"> (</w:t>
      </w:r>
      <w:r w:rsidRPr="00E46390">
        <w:rPr>
          <w:lang w:val="fr-CH"/>
        </w:rPr>
        <w:t>CMR</w:t>
      </w:r>
      <w:r w:rsidR="00896B0F" w:rsidRPr="00E46390">
        <w:rPr>
          <w:lang w:val="fr-CH"/>
        </w:rPr>
        <w:t xml:space="preserve">-15), </w:t>
      </w:r>
      <w:r w:rsidRPr="00E46390">
        <w:rPr>
          <w:lang w:val="fr-CH"/>
        </w:rPr>
        <w:t>l</w:t>
      </w:r>
      <w:r w:rsidRPr="00E46390">
        <w:rPr>
          <w:rFonts w:asciiTheme="minorHAnsi" w:hAnsiTheme="minorHAnsi"/>
          <w:szCs w:val="24"/>
          <w:lang w:val="fr-CH"/>
        </w:rPr>
        <w:t>'administration notificatrice, lorsqu'elle informe le Bureau de la mise en service, ou de la remise en service après une suspension, d'une assignation de fréquence à une station spatiale d'un réseau à satellite géostationnaire, doit indiquer au Bureau si elle a utilisé à cette fin une station spatiale qui a été utilisée précédemment pour mettre en service, ou remettre en service, des assignations de fréquence à une position orbitale différente au cours des trois ans précédant la date de soumission de ces renseignements</w:t>
      </w:r>
      <w:r w:rsidR="00896B0F" w:rsidRPr="00E46390">
        <w:rPr>
          <w:rFonts w:asciiTheme="minorHAnsi" w:hAnsiTheme="minorHAnsi"/>
          <w:szCs w:val="24"/>
          <w:lang w:val="fr-CH"/>
        </w:rPr>
        <w:t>.</w:t>
      </w:r>
    </w:p>
    <w:p w:rsidR="00896B0F" w:rsidRPr="00E46390" w:rsidRDefault="005D3FC3" w:rsidP="00BE1C9D">
      <w:pPr>
        <w:spacing w:line="240" w:lineRule="auto"/>
        <w:rPr>
          <w:lang w:val="fr-CH"/>
        </w:rPr>
      </w:pPr>
      <w:r w:rsidRPr="00E46390">
        <w:rPr>
          <w:lang w:val="fr-CH"/>
        </w:rPr>
        <w:t xml:space="preserve">Conformément au point 2 du </w:t>
      </w:r>
      <w:r w:rsidRPr="00E46390">
        <w:rPr>
          <w:i/>
          <w:iCs/>
          <w:lang w:val="fr-CH"/>
        </w:rPr>
        <w:t>décide</w:t>
      </w:r>
      <w:r w:rsidRPr="00E46390">
        <w:rPr>
          <w:lang w:val="fr-CH"/>
        </w:rPr>
        <w:t xml:space="preserve"> de la Résolution </w:t>
      </w:r>
      <w:r w:rsidRPr="00E46390">
        <w:rPr>
          <w:b/>
          <w:bCs/>
          <w:lang w:val="fr-CH"/>
        </w:rPr>
        <w:t>40</w:t>
      </w:r>
      <w:r w:rsidRPr="00E46390">
        <w:rPr>
          <w:lang w:val="fr-CH"/>
        </w:rPr>
        <w:t xml:space="preserve"> (CMR-15), dans les cas où une administration notificatrice fait savoir au Bureau, conformément au point 1 du </w:t>
      </w:r>
      <w:r w:rsidRPr="00BE1C9D">
        <w:rPr>
          <w:i/>
          <w:iCs/>
          <w:lang w:val="fr-CH"/>
        </w:rPr>
        <w:t>décide</w:t>
      </w:r>
      <w:r w:rsidRPr="00E46390">
        <w:rPr>
          <w:lang w:val="fr-CH"/>
        </w:rPr>
        <w:t xml:space="preserve"> ci-dessus, qu'elle a mis en service, ou remis en service après une suspension, une assignation de fréquence à une station spatiale d'un réseau à satellite géostationnaire au moyen d'une station spatiale ayant été utilisée précédemment pour mettre en service, ou remettre en service, des assignations de fréquence à une position orbitale différente au cours des trois ans précédant la date de soumission de ces renseignements, l'administration notificatrice doit également indiquer, pour cette même période de trois ans:</w:t>
      </w:r>
    </w:p>
    <w:p w:rsidR="00896B0F" w:rsidRPr="0071555D" w:rsidRDefault="00896B0F" w:rsidP="00340FBB">
      <w:pPr>
        <w:pStyle w:val="enumlev1"/>
        <w:rPr>
          <w:lang w:val="fr-CH"/>
        </w:rPr>
      </w:pPr>
      <w:r w:rsidRPr="0071555D">
        <w:rPr>
          <w:lang w:val="fr-CH"/>
        </w:rPr>
        <w:t>a)</w:t>
      </w:r>
      <w:r w:rsidRPr="0071555D">
        <w:rPr>
          <w:lang w:val="fr-CH"/>
        </w:rPr>
        <w:tab/>
      </w:r>
      <w:r w:rsidR="0071555D">
        <w:rPr>
          <w:lang w:val="fr-CH"/>
        </w:rPr>
        <w:t>L</w:t>
      </w:r>
      <w:r w:rsidR="005D3FC3" w:rsidRPr="0071555D">
        <w:rPr>
          <w:lang w:val="fr-CH"/>
        </w:rPr>
        <w:t>a dernière position orbitale à laquelle la station spatiale a été utilisée pour mettre en service, ou remettre en service, des assignations de fréquence</w:t>
      </w:r>
      <w:r w:rsidR="0071555D">
        <w:rPr>
          <w:lang w:val="fr-CH"/>
        </w:rPr>
        <w:t>.</w:t>
      </w:r>
    </w:p>
    <w:p w:rsidR="00896B0F" w:rsidRPr="0071555D" w:rsidRDefault="00896B0F" w:rsidP="00340FBB">
      <w:pPr>
        <w:pStyle w:val="enumlev1"/>
        <w:rPr>
          <w:lang w:val="fr-CH"/>
        </w:rPr>
      </w:pPr>
      <w:r w:rsidRPr="0071555D">
        <w:rPr>
          <w:lang w:val="fr-CH"/>
        </w:rPr>
        <w:lastRenderedPageBreak/>
        <w:t>b)</w:t>
      </w:r>
      <w:r w:rsidRPr="0071555D">
        <w:rPr>
          <w:lang w:val="fr-CH"/>
        </w:rPr>
        <w:tab/>
      </w:r>
      <w:r w:rsidR="0071555D">
        <w:rPr>
          <w:lang w:val="fr-CH"/>
        </w:rPr>
        <w:t>L</w:t>
      </w:r>
      <w:r w:rsidR="005D3FC3" w:rsidRPr="0071555D">
        <w:rPr>
          <w:lang w:val="fr-CH"/>
        </w:rPr>
        <w:t>e ou les réseaux à satellite auxquels les assignation</w:t>
      </w:r>
      <w:r w:rsidR="000D235F" w:rsidRPr="0071555D">
        <w:rPr>
          <w:lang w:val="fr-CH"/>
        </w:rPr>
        <w:t xml:space="preserve">s de fréquence visées au point </w:t>
      </w:r>
      <w:r w:rsidR="005D3FC3" w:rsidRPr="0071555D">
        <w:rPr>
          <w:lang w:val="fr-CH"/>
        </w:rPr>
        <w:t xml:space="preserve">a) </w:t>
      </w:r>
      <w:r w:rsidR="0071555D" w:rsidRPr="0071555D">
        <w:rPr>
          <w:lang w:val="fr-CH"/>
        </w:rPr>
        <w:t>ci</w:t>
      </w:r>
      <w:r w:rsidR="0071555D" w:rsidRPr="0071555D">
        <w:rPr>
          <w:lang w:val="fr-CH"/>
        </w:rPr>
        <w:noBreakHyphen/>
      </w:r>
      <w:r w:rsidR="005D3FC3" w:rsidRPr="0071555D">
        <w:rPr>
          <w:lang w:val="fr-CH"/>
        </w:rPr>
        <w:t>dessus étaient associées</w:t>
      </w:r>
      <w:r w:rsidR="0071555D">
        <w:rPr>
          <w:lang w:val="fr-CH"/>
        </w:rPr>
        <w:t>.</w:t>
      </w:r>
    </w:p>
    <w:p w:rsidR="00896B0F" w:rsidRPr="0071555D" w:rsidRDefault="00896B0F" w:rsidP="00340FBB">
      <w:pPr>
        <w:pStyle w:val="enumlev1"/>
        <w:rPr>
          <w:lang w:val="fr-CH"/>
        </w:rPr>
      </w:pPr>
      <w:r w:rsidRPr="0071555D">
        <w:rPr>
          <w:lang w:val="fr-CH"/>
        </w:rPr>
        <w:t>c)</w:t>
      </w:r>
      <w:r w:rsidRPr="0071555D">
        <w:rPr>
          <w:lang w:val="fr-CH"/>
        </w:rPr>
        <w:tab/>
      </w:r>
      <w:r w:rsidR="0071555D">
        <w:rPr>
          <w:lang w:val="fr-CH"/>
        </w:rPr>
        <w:t>L</w:t>
      </w:r>
      <w:r w:rsidR="005D3FC3" w:rsidRPr="0071555D">
        <w:rPr>
          <w:lang w:val="fr-CH"/>
        </w:rPr>
        <w:t xml:space="preserve">a date à laquelle la station spatiale n'a plus été maintenue à la position orbitale visée au </w:t>
      </w:r>
      <w:r w:rsidR="000D235F" w:rsidRPr="0071555D">
        <w:rPr>
          <w:lang w:val="fr-CH"/>
        </w:rPr>
        <w:t xml:space="preserve">point </w:t>
      </w:r>
      <w:r w:rsidR="005D3FC3" w:rsidRPr="0071555D">
        <w:rPr>
          <w:lang w:val="fr-CH"/>
        </w:rPr>
        <w:t>a) ci-dessus</w:t>
      </w:r>
      <w:r w:rsidRPr="0071555D">
        <w:rPr>
          <w:lang w:val="fr-CH"/>
        </w:rPr>
        <w:t>.</w:t>
      </w:r>
    </w:p>
    <w:p w:rsidR="00896B0F" w:rsidRPr="00E46390" w:rsidRDefault="00466BD0" w:rsidP="00BE1C9D">
      <w:pPr>
        <w:spacing w:line="240" w:lineRule="auto"/>
        <w:rPr>
          <w:lang w:val="fr-CH"/>
        </w:rPr>
      </w:pPr>
      <w:r w:rsidRPr="00E46390">
        <w:rPr>
          <w:lang w:val="fr-CH"/>
        </w:rPr>
        <w:t xml:space="preserve">Le </w:t>
      </w:r>
      <w:r w:rsidR="00896B0F" w:rsidRPr="00E46390">
        <w:rPr>
          <w:lang w:val="fr-CH"/>
        </w:rPr>
        <w:t xml:space="preserve">Bureau </w:t>
      </w:r>
      <w:r w:rsidRPr="00E46390">
        <w:rPr>
          <w:lang w:val="fr-CH"/>
        </w:rPr>
        <w:t>a l'honneur d'</w:t>
      </w:r>
      <w:r w:rsidR="00896B0F" w:rsidRPr="00E46390">
        <w:rPr>
          <w:lang w:val="fr-CH"/>
        </w:rPr>
        <w:t>inform</w:t>
      </w:r>
      <w:r w:rsidRPr="00E46390">
        <w:rPr>
          <w:lang w:val="fr-CH"/>
        </w:rPr>
        <w:t>er les</w:t>
      </w:r>
      <w:r w:rsidR="00896B0F" w:rsidRPr="00E46390">
        <w:rPr>
          <w:lang w:val="fr-CH"/>
        </w:rPr>
        <w:t xml:space="preserve"> administrations </w:t>
      </w:r>
      <w:r w:rsidRPr="00E46390">
        <w:rPr>
          <w:lang w:val="fr-CH"/>
        </w:rPr>
        <w:t xml:space="preserve">qu'un formulaire spécifique a été élaboré pour faciliter la soumission des </w:t>
      </w:r>
      <w:r w:rsidR="00BE1C9D">
        <w:rPr>
          <w:lang w:val="fr-CH"/>
        </w:rPr>
        <w:t xml:space="preserve">renseignements </w:t>
      </w:r>
      <w:r w:rsidRPr="00E46390">
        <w:rPr>
          <w:lang w:val="fr-CH"/>
        </w:rPr>
        <w:t>ci-dessus</w:t>
      </w:r>
      <w:r w:rsidR="00896B0F" w:rsidRPr="00E46390">
        <w:rPr>
          <w:lang w:val="fr-CH"/>
        </w:rPr>
        <w:t xml:space="preserve">. </w:t>
      </w:r>
      <w:r w:rsidRPr="00E46390">
        <w:rPr>
          <w:lang w:val="fr-CH"/>
        </w:rPr>
        <w:t xml:space="preserve">Ce </w:t>
      </w:r>
      <w:r w:rsidR="00896B0F" w:rsidRPr="00E46390">
        <w:rPr>
          <w:lang w:val="fr-CH"/>
        </w:rPr>
        <w:t>form</w:t>
      </w:r>
      <w:r w:rsidRPr="00E46390">
        <w:rPr>
          <w:lang w:val="fr-CH"/>
        </w:rPr>
        <w:t xml:space="preserve">ulaire est joint en annexe et est également disponible à l'adresse </w:t>
      </w:r>
      <w:hyperlink r:id="rId8" w:history="1">
        <w:r w:rsidR="00896B0F" w:rsidRPr="00E46390">
          <w:rPr>
            <w:color w:val="0000FF"/>
            <w:u w:val="single"/>
            <w:lang w:val="fr-CH" w:eastAsia="zh-CN"/>
          </w:rPr>
          <w:t>http://www.itu.int/ITU-R/go/space-res40-form</w:t>
        </w:r>
      </w:hyperlink>
      <w:r w:rsidR="00896B0F" w:rsidRPr="00E46390">
        <w:rPr>
          <w:lang w:val="fr-CH"/>
        </w:rPr>
        <w:t>.</w:t>
      </w:r>
    </w:p>
    <w:p w:rsidR="00896B0F" w:rsidRPr="00E46390" w:rsidRDefault="00466BD0" w:rsidP="00340FBB">
      <w:pPr>
        <w:spacing w:line="240" w:lineRule="auto"/>
        <w:rPr>
          <w:lang w:val="fr-CH"/>
        </w:rPr>
      </w:pPr>
      <w:r w:rsidRPr="00E46390">
        <w:rPr>
          <w:lang w:val="fr-CH"/>
        </w:rPr>
        <w:t>Les a</w:t>
      </w:r>
      <w:r w:rsidR="00896B0F" w:rsidRPr="00E46390">
        <w:rPr>
          <w:lang w:val="fr-CH"/>
        </w:rPr>
        <w:t xml:space="preserve">dministrations </w:t>
      </w:r>
      <w:r w:rsidRPr="00E46390">
        <w:rPr>
          <w:lang w:val="fr-CH"/>
        </w:rPr>
        <w:t xml:space="preserve">sont </w:t>
      </w:r>
      <w:r w:rsidR="00BE1C9D">
        <w:rPr>
          <w:lang w:val="fr-CH"/>
        </w:rPr>
        <w:t xml:space="preserve">priées de </w:t>
      </w:r>
      <w:r w:rsidRPr="00E46390">
        <w:rPr>
          <w:lang w:val="fr-CH"/>
        </w:rPr>
        <w:t xml:space="preserve">remplir ce formulaire et </w:t>
      </w:r>
      <w:r w:rsidR="00BE1C9D">
        <w:rPr>
          <w:lang w:val="fr-CH"/>
        </w:rPr>
        <w:t xml:space="preserve">de </w:t>
      </w:r>
      <w:r w:rsidRPr="00E46390">
        <w:rPr>
          <w:lang w:val="fr-CH"/>
        </w:rPr>
        <w:t xml:space="preserve">l'envoyer au </w:t>
      </w:r>
      <w:r w:rsidR="00896B0F" w:rsidRPr="00E46390">
        <w:rPr>
          <w:lang w:val="fr-CH"/>
        </w:rPr>
        <w:t xml:space="preserve">Bureau </w:t>
      </w:r>
      <w:r w:rsidRPr="00E46390">
        <w:rPr>
          <w:lang w:val="fr-CH"/>
        </w:rPr>
        <w:t>par télécopie dans l'</w:t>
      </w:r>
      <w:r w:rsidR="00E46390">
        <w:rPr>
          <w:lang w:val="fr-CH"/>
        </w:rPr>
        <w:t>a</w:t>
      </w:r>
      <w:r w:rsidRPr="00E46390">
        <w:rPr>
          <w:lang w:val="fr-CH"/>
        </w:rPr>
        <w:t xml:space="preserve">ttente de la mise en </w:t>
      </w:r>
      <w:r w:rsidR="00340FBB">
        <w:rPr>
          <w:lang w:val="fr-CH"/>
        </w:rPr>
        <w:t>oe</w:t>
      </w:r>
      <w:r w:rsidR="00E46390" w:rsidRPr="00E46390">
        <w:rPr>
          <w:lang w:val="fr-CH"/>
        </w:rPr>
        <w:t>uvre</w:t>
      </w:r>
      <w:r w:rsidRPr="00E46390">
        <w:rPr>
          <w:lang w:val="fr-CH"/>
        </w:rPr>
        <w:t xml:space="preserve"> de moyens de communication électroniques </w:t>
      </w:r>
      <w:r w:rsidR="00896B0F" w:rsidRPr="00E46390">
        <w:rPr>
          <w:lang w:val="fr-CH"/>
        </w:rPr>
        <w:t>modern</w:t>
      </w:r>
      <w:r w:rsidRPr="00E46390">
        <w:rPr>
          <w:lang w:val="fr-CH"/>
        </w:rPr>
        <w:t>es</w:t>
      </w:r>
      <w:r w:rsidR="00896B0F" w:rsidRPr="00E46390">
        <w:rPr>
          <w:lang w:val="fr-CH"/>
        </w:rPr>
        <w:t xml:space="preserve"> </w:t>
      </w:r>
      <w:r w:rsidR="00E46390" w:rsidRPr="00E46390">
        <w:rPr>
          <w:lang w:val="fr-CH"/>
        </w:rPr>
        <w:t>conformément</w:t>
      </w:r>
      <w:r w:rsidRPr="00E46390">
        <w:rPr>
          <w:lang w:val="fr-CH"/>
        </w:rPr>
        <w:t xml:space="preserve"> à la </w:t>
      </w:r>
      <w:r w:rsidR="00896B0F" w:rsidRPr="00E46390">
        <w:rPr>
          <w:lang w:val="fr-CH"/>
        </w:rPr>
        <w:t>R</w:t>
      </w:r>
      <w:r w:rsidRPr="00E46390">
        <w:rPr>
          <w:lang w:val="fr-CH"/>
        </w:rPr>
        <w:t>é</w:t>
      </w:r>
      <w:r w:rsidR="00896B0F" w:rsidRPr="00E46390">
        <w:rPr>
          <w:lang w:val="fr-CH"/>
        </w:rPr>
        <w:t xml:space="preserve">solution </w:t>
      </w:r>
      <w:r w:rsidR="00896B0F" w:rsidRPr="00E46390">
        <w:rPr>
          <w:b/>
          <w:bCs/>
          <w:lang w:val="fr-CH"/>
        </w:rPr>
        <w:t>907</w:t>
      </w:r>
      <w:r w:rsidR="00896B0F" w:rsidRPr="00E46390">
        <w:rPr>
          <w:lang w:val="fr-CH"/>
        </w:rPr>
        <w:t xml:space="preserve"> (R</w:t>
      </w:r>
      <w:r w:rsidRPr="00E46390">
        <w:rPr>
          <w:lang w:val="fr-CH"/>
        </w:rPr>
        <w:t>é</w:t>
      </w:r>
      <w:r w:rsidR="0071555D">
        <w:rPr>
          <w:lang w:val="fr-CH"/>
        </w:rPr>
        <w:t>v.</w:t>
      </w:r>
      <w:r w:rsidRPr="00E46390">
        <w:rPr>
          <w:lang w:val="fr-CH"/>
        </w:rPr>
        <w:t>CMR</w:t>
      </w:r>
      <w:r w:rsidR="00896B0F" w:rsidRPr="00E46390">
        <w:rPr>
          <w:lang w:val="fr-CH"/>
        </w:rPr>
        <w:t xml:space="preserve">-15), </w:t>
      </w:r>
      <w:r w:rsidRPr="00E46390">
        <w:rPr>
          <w:lang w:val="fr-CH"/>
        </w:rPr>
        <w:t>lorsqu'elles informent le Bureau des r</w:t>
      </w:r>
      <w:r w:rsidR="00896B0F" w:rsidRPr="00E46390">
        <w:rPr>
          <w:lang w:val="fr-CH"/>
        </w:rPr>
        <w:t>adiocommunication</w:t>
      </w:r>
      <w:r w:rsidRPr="00E46390">
        <w:rPr>
          <w:lang w:val="fr-CH"/>
        </w:rPr>
        <w:t>s</w:t>
      </w:r>
      <w:r w:rsidR="00896B0F" w:rsidRPr="00E46390">
        <w:rPr>
          <w:lang w:val="fr-CH"/>
        </w:rPr>
        <w:t xml:space="preserve"> </w:t>
      </w:r>
      <w:r w:rsidRPr="00E46390">
        <w:rPr>
          <w:lang w:val="fr-CH"/>
        </w:rPr>
        <w:t>de la mise en service d'assignations à une station spatiale géostationnaire</w:t>
      </w:r>
      <w:r w:rsidR="00896B0F" w:rsidRPr="00E46390">
        <w:rPr>
          <w:lang w:val="fr-CH"/>
        </w:rPr>
        <w:t xml:space="preserve"> (</w:t>
      </w:r>
      <w:r w:rsidRPr="00E46390">
        <w:rPr>
          <w:lang w:val="fr-CH"/>
        </w:rPr>
        <w:t xml:space="preserve">y compris les </w:t>
      </w:r>
      <w:r w:rsidR="00896B0F" w:rsidRPr="00E46390">
        <w:rPr>
          <w:lang w:val="fr-CH"/>
        </w:rPr>
        <w:t>assign</w:t>
      </w:r>
      <w:r w:rsidRPr="00E46390">
        <w:rPr>
          <w:lang w:val="fr-CH"/>
        </w:rPr>
        <w:t xml:space="preserve">ations figurant dans les </w:t>
      </w:r>
      <w:r w:rsidR="00896B0F" w:rsidRPr="00E46390">
        <w:rPr>
          <w:lang w:val="fr-CH"/>
        </w:rPr>
        <w:t xml:space="preserve">Appendices </w:t>
      </w:r>
      <w:r w:rsidR="00896B0F" w:rsidRPr="00E46390">
        <w:rPr>
          <w:b/>
          <w:bCs/>
          <w:lang w:val="fr-CH"/>
        </w:rPr>
        <w:t>30</w:t>
      </w:r>
      <w:r w:rsidR="00896B0F" w:rsidRPr="00E46390">
        <w:rPr>
          <w:lang w:val="fr-CH"/>
        </w:rPr>
        <w:t>,</w:t>
      </w:r>
      <w:r w:rsidRPr="00E46390">
        <w:rPr>
          <w:lang w:val="fr-CH"/>
        </w:rPr>
        <w:t xml:space="preserve"> </w:t>
      </w:r>
      <w:r w:rsidR="00896B0F" w:rsidRPr="00E46390">
        <w:rPr>
          <w:b/>
          <w:bCs/>
          <w:lang w:val="fr-CH"/>
        </w:rPr>
        <w:t>30A</w:t>
      </w:r>
      <w:r w:rsidR="00896B0F" w:rsidRPr="00E46390">
        <w:rPr>
          <w:lang w:val="fr-CH"/>
        </w:rPr>
        <w:t xml:space="preserve"> </w:t>
      </w:r>
      <w:r w:rsidRPr="00E46390">
        <w:rPr>
          <w:lang w:val="fr-CH"/>
        </w:rPr>
        <w:t xml:space="preserve">et </w:t>
      </w:r>
      <w:r w:rsidR="00896B0F" w:rsidRPr="00E46390">
        <w:rPr>
          <w:b/>
          <w:bCs/>
          <w:lang w:val="fr-CH"/>
        </w:rPr>
        <w:t>30B</w:t>
      </w:r>
      <w:r w:rsidR="00896B0F" w:rsidRPr="00E46390">
        <w:rPr>
          <w:lang w:val="fr-CH"/>
        </w:rPr>
        <w:t xml:space="preserve">) </w:t>
      </w:r>
      <w:r w:rsidRPr="00E46390">
        <w:rPr>
          <w:lang w:val="fr-CH"/>
        </w:rPr>
        <w:t xml:space="preserve">au </w:t>
      </w:r>
      <w:r w:rsidR="00BE1C9D">
        <w:rPr>
          <w:lang w:val="fr-CH"/>
        </w:rPr>
        <w:t xml:space="preserve">titre du </w:t>
      </w:r>
      <w:r w:rsidRPr="00E46390">
        <w:rPr>
          <w:lang w:val="fr-CH"/>
        </w:rPr>
        <w:t xml:space="preserve">numéro </w:t>
      </w:r>
      <w:r w:rsidR="00896B0F" w:rsidRPr="00E46390">
        <w:rPr>
          <w:b/>
          <w:bCs/>
          <w:lang w:val="fr-CH"/>
        </w:rPr>
        <w:t>11.44B</w:t>
      </w:r>
      <w:r w:rsidR="00896B0F" w:rsidRPr="00E46390">
        <w:rPr>
          <w:lang w:val="fr-CH"/>
        </w:rPr>
        <w:t xml:space="preserve">, </w:t>
      </w:r>
      <w:r w:rsidR="002A666E" w:rsidRPr="00E46390">
        <w:rPr>
          <w:lang w:val="fr-CH"/>
        </w:rPr>
        <w:t xml:space="preserve">ou </w:t>
      </w:r>
      <w:r w:rsidRPr="00E46390">
        <w:rPr>
          <w:lang w:val="fr-CH"/>
        </w:rPr>
        <w:t xml:space="preserve">de la remise en service </w:t>
      </w:r>
      <w:r w:rsidR="002A666E" w:rsidRPr="00E46390">
        <w:rPr>
          <w:lang w:val="fr-CH"/>
        </w:rPr>
        <w:t xml:space="preserve">d'une assignation de fréquence </w:t>
      </w:r>
      <w:r w:rsidR="00BE1C9D" w:rsidRPr="00E46390">
        <w:rPr>
          <w:lang w:val="fr-CH"/>
        </w:rPr>
        <w:t xml:space="preserve">au </w:t>
      </w:r>
      <w:r w:rsidR="00BE1C9D">
        <w:rPr>
          <w:lang w:val="fr-CH"/>
        </w:rPr>
        <w:t xml:space="preserve">titre du </w:t>
      </w:r>
      <w:r w:rsidRPr="00E46390">
        <w:rPr>
          <w:lang w:val="fr-CH"/>
        </w:rPr>
        <w:t xml:space="preserve">numéro </w:t>
      </w:r>
      <w:r w:rsidR="00896B0F" w:rsidRPr="00E46390">
        <w:rPr>
          <w:b/>
          <w:bCs/>
          <w:lang w:val="fr-CH"/>
        </w:rPr>
        <w:t>11.49.1</w:t>
      </w:r>
      <w:r w:rsidR="00896B0F" w:rsidRPr="00E46390">
        <w:rPr>
          <w:lang w:val="fr-CH"/>
        </w:rPr>
        <w:t xml:space="preserve">, </w:t>
      </w:r>
      <w:r w:rsidR="00BE1C9D" w:rsidRPr="00E46390">
        <w:rPr>
          <w:lang w:val="fr-CH"/>
        </w:rPr>
        <w:t xml:space="preserve">au </w:t>
      </w:r>
      <w:r w:rsidR="00BE1C9D">
        <w:rPr>
          <w:lang w:val="fr-CH"/>
        </w:rPr>
        <w:t xml:space="preserve">titre de </w:t>
      </w:r>
      <w:r w:rsidR="002A666E" w:rsidRPr="00E46390">
        <w:rPr>
          <w:rFonts w:asciiTheme="minorHAnsi" w:hAnsiTheme="minorHAnsi"/>
          <w:bCs/>
          <w:lang w:val="fr-CH"/>
        </w:rPr>
        <w:t xml:space="preserve">la note de bas de page </w:t>
      </w:r>
      <w:r w:rsidR="00896B0F" w:rsidRPr="00E46390">
        <w:rPr>
          <w:rFonts w:asciiTheme="minorHAnsi" w:hAnsiTheme="minorHAnsi"/>
          <w:bCs/>
          <w:lang w:val="fr-CH"/>
        </w:rPr>
        <w:t xml:space="preserve">20bis </w:t>
      </w:r>
      <w:r w:rsidR="002A666E" w:rsidRPr="00E46390">
        <w:rPr>
          <w:rFonts w:asciiTheme="minorHAnsi" w:hAnsiTheme="minorHAnsi"/>
          <w:bCs/>
          <w:lang w:val="fr-CH"/>
        </w:rPr>
        <w:t xml:space="preserve">relative au </w:t>
      </w:r>
      <w:r w:rsidR="00896B0F" w:rsidRPr="00E46390">
        <w:rPr>
          <w:rFonts w:asciiTheme="minorHAnsi" w:hAnsiTheme="minorHAnsi"/>
          <w:bCs/>
          <w:lang w:val="fr-CH"/>
        </w:rPr>
        <w:t>§</w:t>
      </w:r>
      <w:r w:rsidR="002A666E" w:rsidRPr="00E46390">
        <w:rPr>
          <w:rFonts w:asciiTheme="minorHAnsi" w:hAnsiTheme="minorHAnsi"/>
          <w:bCs/>
          <w:lang w:val="fr-CH"/>
        </w:rPr>
        <w:t> </w:t>
      </w:r>
      <w:r w:rsidR="00896B0F" w:rsidRPr="00E46390">
        <w:rPr>
          <w:rFonts w:asciiTheme="minorHAnsi" w:hAnsiTheme="minorHAnsi"/>
          <w:bCs/>
          <w:lang w:val="fr-CH"/>
        </w:rPr>
        <w:t xml:space="preserve">5.2.10 </w:t>
      </w:r>
      <w:r w:rsidR="002A666E" w:rsidRPr="00E46390">
        <w:rPr>
          <w:rFonts w:asciiTheme="minorHAnsi" w:hAnsiTheme="minorHAnsi"/>
          <w:bCs/>
          <w:lang w:val="fr-CH"/>
        </w:rPr>
        <w:t>de l'Appendice </w:t>
      </w:r>
      <w:r w:rsidR="00896B0F" w:rsidRPr="00E46390">
        <w:rPr>
          <w:rFonts w:asciiTheme="minorHAnsi" w:hAnsiTheme="minorHAnsi"/>
          <w:b/>
          <w:bCs/>
          <w:lang w:val="fr-CH"/>
        </w:rPr>
        <w:t>30</w:t>
      </w:r>
      <w:r w:rsidR="002A666E" w:rsidRPr="00E46390">
        <w:rPr>
          <w:rFonts w:asciiTheme="minorHAnsi" w:hAnsiTheme="minorHAnsi"/>
          <w:bCs/>
          <w:lang w:val="fr-CH"/>
        </w:rPr>
        <w:t>,</w:t>
      </w:r>
      <w:r w:rsidR="00896B0F" w:rsidRPr="00E46390">
        <w:rPr>
          <w:rFonts w:asciiTheme="minorHAnsi" w:hAnsiTheme="minorHAnsi"/>
          <w:bCs/>
          <w:lang w:val="fr-CH"/>
        </w:rPr>
        <w:t xml:space="preserve"> </w:t>
      </w:r>
      <w:r w:rsidR="00BE1C9D" w:rsidRPr="00E46390">
        <w:rPr>
          <w:lang w:val="fr-CH"/>
        </w:rPr>
        <w:t xml:space="preserve">au </w:t>
      </w:r>
      <w:r w:rsidR="00BE1C9D">
        <w:rPr>
          <w:lang w:val="fr-CH"/>
        </w:rPr>
        <w:t xml:space="preserve">titre de </w:t>
      </w:r>
      <w:r w:rsidR="0071555D">
        <w:rPr>
          <w:rFonts w:asciiTheme="minorHAnsi" w:hAnsiTheme="minorHAnsi"/>
          <w:bCs/>
          <w:lang w:val="fr-CH"/>
        </w:rPr>
        <w:t>la note de bas de page </w:t>
      </w:r>
      <w:r w:rsidR="00896B0F" w:rsidRPr="00E46390">
        <w:rPr>
          <w:rFonts w:asciiTheme="minorHAnsi" w:hAnsiTheme="minorHAnsi"/>
          <w:bCs/>
          <w:lang w:val="fr-CH"/>
        </w:rPr>
        <w:t xml:space="preserve">24bis </w:t>
      </w:r>
      <w:r w:rsidR="002A666E" w:rsidRPr="00E46390">
        <w:rPr>
          <w:rFonts w:asciiTheme="minorHAnsi" w:hAnsiTheme="minorHAnsi"/>
          <w:bCs/>
          <w:lang w:val="fr-CH"/>
        </w:rPr>
        <w:t xml:space="preserve">relative au </w:t>
      </w:r>
      <w:r w:rsidR="00896B0F" w:rsidRPr="00E46390">
        <w:rPr>
          <w:rFonts w:asciiTheme="minorHAnsi" w:hAnsiTheme="minorHAnsi"/>
          <w:bCs/>
          <w:lang w:val="fr-CH"/>
        </w:rPr>
        <w:t>§</w:t>
      </w:r>
      <w:r w:rsidR="002A666E" w:rsidRPr="00E46390">
        <w:rPr>
          <w:rFonts w:asciiTheme="minorHAnsi" w:hAnsiTheme="minorHAnsi"/>
          <w:bCs/>
          <w:lang w:val="fr-CH"/>
        </w:rPr>
        <w:t> </w:t>
      </w:r>
      <w:r w:rsidR="00896B0F" w:rsidRPr="00E46390">
        <w:rPr>
          <w:rFonts w:asciiTheme="minorHAnsi" w:hAnsiTheme="minorHAnsi"/>
          <w:bCs/>
          <w:lang w:val="fr-CH"/>
        </w:rPr>
        <w:t xml:space="preserve">5.2.10 </w:t>
      </w:r>
      <w:r w:rsidR="002A666E" w:rsidRPr="00E46390">
        <w:rPr>
          <w:rFonts w:asciiTheme="minorHAnsi" w:hAnsiTheme="minorHAnsi"/>
          <w:bCs/>
          <w:lang w:val="fr-CH"/>
        </w:rPr>
        <w:t>de l'Appendice</w:t>
      </w:r>
      <w:r w:rsidR="00896B0F" w:rsidRPr="00E46390">
        <w:rPr>
          <w:rFonts w:asciiTheme="minorHAnsi" w:hAnsiTheme="minorHAnsi"/>
          <w:bCs/>
          <w:lang w:val="fr-CH"/>
        </w:rPr>
        <w:t xml:space="preserve"> </w:t>
      </w:r>
      <w:r w:rsidR="00896B0F" w:rsidRPr="00E46390">
        <w:rPr>
          <w:rFonts w:asciiTheme="minorHAnsi" w:hAnsiTheme="minorHAnsi"/>
          <w:b/>
          <w:lang w:val="fr-CH"/>
        </w:rPr>
        <w:t>30A</w:t>
      </w:r>
      <w:r w:rsidR="00896B0F" w:rsidRPr="00E46390">
        <w:rPr>
          <w:rFonts w:asciiTheme="minorHAnsi" w:hAnsiTheme="minorHAnsi"/>
          <w:bCs/>
          <w:lang w:val="fr-CH"/>
        </w:rPr>
        <w:t xml:space="preserve">, </w:t>
      </w:r>
      <w:r w:rsidR="002A666E" w:rsidRPr="00E46390">
        <w:rPr>
          <w:rFonts w:asciiTheme="minorHAnsi" w:hAnsiTheme="minorHAnsi"/>
          <w:bCs/>
          <w:lang w:val="fr-CH"/>
        </w:rPr>
        <w:t xml:space="preserve">ou </w:t>
      </w:r>
      <w:r w:rsidR="00BE1C9D" w:rsidRPr="00E46390">
        <w:rPr>
          <w:lang w:val="fr-CH"/>
        </w:rPr>
        <w:t xml:space="preserve">au </w:t>
      </w:r>
      <w:r w:rsidR="00BE1C9D">
        <w:rPr>
          <w:lang w:val="fr-CH"/>
        </w:rPr>
        <w:t xml:space="preserve">titre de </w:t>
      </w:r>
      <w:r w:rsidR="002A666E" w:rsidRPr="00E46390">
        <w:rPr>
          <w:rFonts w:asciiTheme="minorHAnsi" w:hAnsiTheme="minorHAnsi"/>
          <w:bCs/>
          <w:lang w:val="fr-CH"/>
        </w:rPr>
        <w:t xml:space="preserve">la note de bas de page </w:t>
      </w:r>
      <w:r w:rsidR="00896B0F" w:rsidRPr="00E46390">
        <w:rPr>
          <w:rFonts w:asciiTheme="minorHAnsi" w:hAnsiTheme="minorHAnsi"/>
          <w:bCs/>
          <w:lang w:val="fr-CH"/>
        </w:rPr>
        <w:t xml:space="preserve">14bis </w:t>
      </w:r>
      <w:r w:rsidR="0071555D">
        <w:rPr>
          <w:rFonts w:asciiTheme="minorHAnsi" w:hAnsiTheme="minorHAnsi"/>
          <w:bCs/>
          <w:lang w:val="fr-CH"/>
        </w:rPr>
        <w:t>relative au </w:t>
      </w:r>
      <w:r w:rsidR="00896B0F" w:rsidRPr="00E46390">
        <w:rPr>
          <w:rFonts w:asciiTheme="minorHAnsi" w:hAnsiTheme="minorHAnsi"/>
          <w:bCs/>
          <w:lang w:val="fr-CH"/>
        </w:rPr>
        <w:t>§</w:t>
      </w:r>
      <w:r w:rsidR="002A666E" w:rsidRPr="00E46390">
        <w:rPr>
          <w:rFonts w:asciiTheme="minorHAnsi" w:hAnsiTheme="minorHAnsi"/>
          <w:bCs/>
          <w:lang w:val="fr-CH"/>
        </w:rPr>
        <w:t> </w:t>
      </w:r>
      <w:r w:rsidR="00896B0F" w:rsidRPr="00E46390">
        <w:rPr>
          <w:rFonts w:asciiTheme="minorHAnsi" w:hAnsiTheme="minorHAnsi"/>
          <w:bCs/>
          <w:lang w:val="fr-CH"/>
        </w:rPr>
        <w:t xml:space="preserve">8.17 </w:t>
      </w:r>
      <w:r w:rsidR="002A666E" w:rsidRPr="00E46390">
        <w:rPr>
          <w:rFonts w:asciiTheme="minorHAnsi" w:hAnsiTheme="minorHAnsi"/>
          <w:bCs/>
          <w:lang w:val="fr-CH"/>
        </w:rPr>
        <w:t>de l'Appendice</w:t>
      </w:r>
      <w:r w:rsidR="00896B0F" w:rsidRPr="00E46390">
        <w:rPr>
          <w:rFonts w:asciiTheme="minorHAnsi" w:hAnsiTheme="minorHAnsi"/>
          <w:bCs/>
          <w:lang w:val="fr-CH"/>
        </w:rPr>
        <w:t xml:space="preserve"> </w:t>
      </w:r>
      <w:r w:rsidR="00896B0F" w:rsidRPr="00E46390">
        <w:rPr>
          <w:rFonts w:asciiTheme="minorHAnsi" w:hAnsiTheme="minorHAnsi"/>
          <w:b/>
          <w:lang w:val="fr-CH"/>
        </w:rPr>
        <w:t>30B</w:t>
      </w:r>
      <w:r w:rsidR="00896B0F" w:rsidRPr="00E46390">
        <w:rPr>
          <w:rFonts w:asciiTheme="minorHAnsi" w:hAnsiTheme="minorHAnsi"/>
          <w:bCs/>
          <w:lang w:val="fr-CH"/>
        </w:rPr>
        <w:t>.</w:t>
      </w:r>
    </w:p>
    <w:p w:rsidR="00896B0F" w:rsidRPr="00E46390" w:rsidRDefault="00182010" w:rsidP="00BE1C9D">
      <w:pPr>
        <w:spacing w:line="240" w:lineRule="auto"/>
        <w:rPr>
          <w:color w:val="000000"/>
          <w:sz w:val="22"/>
          <w:lang w:val="fr-CH" w:eastAsia="zh-CN"/>
        </w:rPr>
      </w:pPr>
      <w:r w:rsidRPr="00E46390">
        <w:rPr>
          <w:lang w:val="fr-CH"/>
        </w:rPr>
        <w:t xml:space="preserve">Conformément </w:t>
      </w:r>
      <w:proofErr w:type="gramStart"/>
      <w:r w:rsidRPr="00E46390">
        <w:rPr>
          <w:lang w:val="fr-CH"/>
        </w:rPr>
        <w:t>au</w:t>
      </w:r>
      <w:proofErr w:type="gramEnd"/>
      <w:r w:rsidRPr="00E46390">
        <w:rPr>
          <w:lang w:val="fr-CH"/>
        </w:rPr>
        <w:t xml:space="preserve"> </w:t>
      </w:r>
      <w:r w:rsidRPr="00E46390">
        <w:rPr>
          <w:i/>
          <w:iCs/>
          <w:color w:val="000000"/>
          <w:szCs w:val="24"/>
          <w:lang w:val="fr-CH"/>
        </w:rPr>
        <w:t xml:space="preserve">charge le </w:t>
      </w:r>
      <w:r w:rsidR="00896B0F" w:rsidRPr="00E46390">
        <w:rPr>
          <w:i/>
          <w:iCs/>
          <w:color w:val="000000"/>
          <w:szCs w:val="24"/>
          <w:lang w:val="fr-CH"/>
        </w:rPr>
        <w:t>Bureau</w:t>
      </w:r>
      <w:r w:rsidRPr="00E46390">
        <w:rPr>
          <w:i/>
          <w:iCs/>
          <w:color w:val="000000"/>
          <w:szCs w:val="24"/>
          <w:lang w:val="fr-CH"/>
        </w:rPr>
        <w:t xml:space="preserve"> des radiocommunications</w:t>
      </w:r>
      <w:r w:rsidR="00896B0F" w:rsidRPr="00E46390">
        <w:rPr>
          <w:color w:val="000000"/>
          <w:szCs w:val="24"/>
          <w:lang w:val="fr-CH"/>
        </w:rPr>
        <w:t xml:space="preserve"> </w:t>
      </w:r>
      <w:r w:rsidRPr="00E46390">
        <w:rPr>
          <w:color w:val="000000"/>
          <w:szCs w:val="24"/>
          <w:lang w:val="fr-CH"/>
        </w:rPr>
        <w:t xml:space="preserve">de la </w:t>
      </w:r>
      <w:r w:rsidR="00896B0F" w:rsidRPr="00E46390">
        <w:rPr>
          <w:color w:val="000000"/>
          <w:szCs w:val="24"/>
          <w:lang w:val="fr-CH"/>
        </w:rPr>
        <w:t>R</w:t>
      </w:r>
      <w:r w:rsidRPr="00E46390">
        <w:rPr>
          <w:color w:val="000000"/>
          <w:szCs w:val="24"/>
          <w:lang w:val="fr-CH"/>
        </w:rPr>
        <w:t>é</w:t>
      </w:r>
      <w:r w:rsidR="00896B0F" w:rsidRPr="00E46390">
        <w:rPr>
          <w:color w:val="000000"/>
          <w:szCs w:val="24"/>
          <w:lang w:val="fr-CH"/>
        </w:rPr>
        <w:t xml:space="preserve">solution </w:t>
      </w:r>
      <w:r w:rsidR="00896B0F" w:rsidRPr="00E46390">
        <w:rPr>
          <w:b/>
          <w:bCs/>
          <w:color w:val="000000"/>
          <w:szCs w:val="24"/>
          <w:lang w:val="fr-CH"/>
        </w:rPr>
        <w:t>40</w:t>
      </w:r>
      <w:r w:rsidR="00896B0F" w:rsidRPr="00E46390">
        <w:rPr>
          <w:color w:val="000000"/>
          <w:szCs w:val="24"/>
          <w:lang w:val="fr-CH"/>
        </w:rPr>
        <w:t xml:space="preserve"> (</w:t>
      </w:r>
      <w:r w:rsidRPr="00E46390">
        <w:rPr>
          <w:color w:val="000000"/>
          <w:szCs w:val="24"/>
          <w:lang w:val="fr-CH"/>
        </w:rPr>
        <w:t>CMR</w:t>
      </w:r>
      <w:r w:rsidR="00896B0F" w:rsidRPr="00E46390">
        <w:rPr>
          <w:color w:val="000000"/>
          <w:szCs w:val="24"/>
          <w:lang w:val="fr-CH"/>
        </w:rPr>
        <w:t xml:space="preserve">-15), </w:t>
      </w:r>
      <w:r w:rsidRPr="00E46390">
        <w:rPr>
          <w:lang w:val="fr-CH"/>
        </w:rPr>
        <w:t xml:space="preserve">le </w:t>
      </w:r>
      <w:r w:rsidR="00896B0F" w:rsidRPr="00E46390">
        <w:rPr>
          <w:lang w:val="fr-CH"/>
        </w:rPr>
        <w:t xml:space="preserve">Bureau </w:t>
      </w:r>
      <w:r w:rsidRPr="00E46390">
        <w:rPr>
          <w:lang w:val="fr-CH"/>
        </w:rPr>
        <w:t>publiera les renseignements complets</w:t>
      </w:r>
      <w:r w:rsidR="00896B0F" w:rsidRPr="00E46390">
        <w:rPr>
          <w:lang w:val="fr-CH"/>
        </w:rPr>
        <w:t xml:space="preserve"> </w:t>
      </w:r>
      <w:r w:rsidRPr="00E46390">
        <w:rPr>
          <w:lang w:val="fr-CH"/>
        </w:rPr>
        <w:t xml:space="preserve">dans les </w:t>
      </w:r>
      <w:r w:rsidR="00B5550A" w:rsidRPr="00E46390">
        <w:rPr>
          <w:lang w:val="fr-CH"/>
        </w:rPr>
        <w:t>30 </w:t>
      </w:r>
      <w:r w:rsidRPr="00E46390">
        <w:rPr>
          <w:lang w:val="fr-CH"/>
        </w:rPr>
        <w:t>jours suivant leur réception à l'adresse</w:t>
      </w:r>
      <w:r w:rsidR="00896B0F" w:rsidRPr="00E46390">
        <w:rPr>
          <w:lang w:val="fr-CH"/>
        </w:rPr>
        <w:t xml:space="preserve">: </w:t>
      </w:r>
      <w:hyperlink r:id="rId9" w:history="1">
        <w:r w:rsidR="00896B0F" w:rsidRPr="00E46390">
          <w:rPr>
            <w:color w:val="0000FF"/>
            <w:u w:val="single"/>
            <w:lang w:val="fr-CH" w:eastAsia="zh-CN"/>
          </w:rPr>
          <w:t>http://www.itu.int/ITU-R/go/space-res40</w:t>
        </w:r>
      </w:hyperlink>
      <w:r w:rsidR="007E44FC" w:rsidRPr="00E46390">
        <w:rPr>
          <w:lang w:val="fr-CH"/>
        </w:rPr>
        <w:t>.</w:t>
      </w:r>
    </w:p>
    <w:p w:rsidR="000D235F" w:rsidRPr="00E46390" w:rsidRDefault="000D235F" w:rsidP="00BE1C9D">
      <w:pPr>
        <w:spacing w:line="240" w:lineRule="auto"/>
        <w:rPr>
          <w:lang w:val="fr-CH"/>
        </w:rPr>
      </w:pPr>
      <w:r w:rsidRPr="00E46390">
        <w:rPr>
          <w:lang w:val="fr-CH"/>
        </w:rPr>
        <w:t xml:space="preserve">Le </w:t>
      </w:r>
      <w:r w:rsidR="00896B0F" w:rsidRPr="00E46390">
        <w:rPr>
          <w:lang w:val="fr-CH"/>
        </w:rPr>
        <w:t xml:space="preserve">Bureau </w:t>
      </w:r>
      <w:r w:rsidRPr="00E46390">
        <w:rPr>
          <w:lang w:val="fr-CH"/>
        </w:rPr>
        <w:t xml:space="preserve">tient à attirer votre </w:t>
      </w:r>
      <w:r w:rsidR="00896B0F" w:rsidRPr="00E46390">
        <w:rPr>
          <w:lang w:val="fr-CH"/>
        </w:rPr>
        <w:t xml:space="preserve">attention </w:t>
      </w:r>
      <w:r w:rsidRPr="00E46390">
        <w:rPr>
          <w:lang w:val="fr-CH"/>
        </w:rPr>
        <w:t xml:space="preserve">sur les points 4 et 5 du </w:t>
      </w:r>
      <w:r w:rsidRPr="00E46390">
        <w:rPr>
          <w:i/>
          <w:iCs/>
          <w:lang w:val="fr-CH"/>
        </w:rPr>
        <w:t>décide</w:t>
      </w:r>
      <w:r w:rsidRPr="00E46390">
        <w:rPr>
          <w:lang w:val="fr-CH"/>
        </w:rPr>
        <w:t xml:space="preserve"> de la </w:t>
      </w:r>
      <w:r w:rsidR="00896B0F" w:rsidRPr="00E46390">
        <w:rPr>
          <w:lang w:val="fr-CH"/>
        </w:rPr>
        <w:t>R</w:t>
      </w:r>
      <w:r w:rsidRPr="00E46390">
        <w:rPr>
          <w:lang w:val="fr-CH"/>
        </w:rPr>
        <w:t>é</w:t>
      </w:r>
      <w:r w:rsidR="00896B0F" w:rsidRPr="00E46390">
        <w:rPr>
          <w:lang w:val="fr-CH"/>
        </w:rPr>
        <w:t xml:space="preserve">solution </w:t>
      </w:r>
      <w:r w:rsidR="00896B0F" w:rsidRPr="00E46390">
        <w:rPr>
          <w:b/>
          <w:bCs/>
          <w:lang w:val="fr-CH"/>
        </w:rPr>
        <w:t>40</w:t>
      </w:r>
      <w:r w:rsidR="00896B0F" w:rsidRPr="00E46390">
        <w:rPr>
          <w:lang w:val="fr-CH"/>
        </w:rPr>
        <w:t xml:space="preserve"> (</w:t>
      </w:r>
      <w:r w:rsidRPr="00E46390">
        <w:rPr>
          <w:lang w:val="fr-CH"/>
        </w:rPr>
        <w:t>CMR</w:t>
      </w:r>
      <w:r w:rsidRPr="00E46390">
        <w:rPr>
          <w:lang w:val="fr-CH"/>
        </w:rPr>
        <w:noBreakHyphen/>
      </w:r>
      <w:r w:rsidR="00896B0F" w:rsidRPr="00E46390">
        <w:rPr>
          <w:lang w:val="fr-CH"/>
        </w:rPr>
        <w:t xml:space="preserve">15), </w:t>
      </w:r>
      <w:r w:rsidRPr="00E46390">
        <w:rPr>
          <w:lang w:val="fr-CH"/>
        </w:rPr>
        <w:t>selon lesquels, à compter du 1er janvier 2018, si l'administration notificatrice ne fournit pas les renseignements complets après deux rappels consécutifs lui lais</w:t>
      </w:r>
      <w:r w:rsidR="0071555D">
        <w:rPr>
          <w:lang w:val="fr-CH"/>
        </w:rPr>
        <w:t>sant respectivement un délai de </w:t>
      </w:r>
      <w:r w:rsidRPr="00E46390">
        <w:rPr>
          <w:lang w:val="fr-CH"/>
        </w:rPr>
        <w:t xml:space="preserve">30 jours et un délai de 15 jours, le Bureau considérera que les assignations de fréquence </w:t>
      </w:r>
      <w:r w:rsidR="00BE1C9D">
        <w:rPr>
          <w:lang w:val="fr-CH"/>
        </w:rPr>
        <w:t>a</w:t>
      </w:r>
      <w:r w:rsidRPr="00E46390">
        <w:rPr>
          <w:lang w:val="fr-CH"/>
        </w:rPr>
        <w:t xml:space="preserve">u réseau à satellite géostationnaire n'ont pas été mises en service, ou remises en service, et en informera l'administration. </w:t>
      </w:r>
    </w:p>
    <w:p w:rsidR="00896B0F" w:rsidRPr="00E46390" w:rsidRDefault="00C04533" w:rsidP="00896B0F">
      <w:pPr>
        <w:spacing w:before="120" w:line="240" w:lineRule="auto"/>
        <w:rPr>
          <w:rFonts w:asciiTheme="minorHAnsi" w:hAnsiTheme="minorHAnsi"/>
          <w:szCs w:val="24"/>
          <w:lang w:val="fr-CH"/>
        </w:rPr>
      </w:pPr>
      <w:r w:rsidRPr="00E46390">
        <w:rPr>
          <w:lang w:val="fr-CH"/>
        </w:rPr>
        <w:t>Le Bureau reste à la disposition de votre Administration pour toute demande de précisions au sujet du contenu de la présente Lettre circulaire (écrire à l'adresse: brmail@itu.int).</w:t>
      </w:r>
    </w:p>
    <w:p w:rsidR="00896B0F" w:rsidRPr="00E46390" w:rsidRDefault="00896B0F" w:rsidP="0071555D">
      <w:pPr>
        <w:spacing w:before="84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46390">
        <w:rPr>
          <w:rFonts w:asciiTheme="minorHAnsi" w:hAnsiTheme="minorHAnsi" w:cstheme="minorHAnsi"/>
          <w:szCs w:val="24"/>
          <w:lang w:val="fr-CH"/>
        </w:rPr>
        <w:t>François Rancy</w:t>
      </w:r>
      <w:r w:rsidRPr="00E46390">
        <w:rPr>
          <w:rFonts w:asciiTheme="minorHAnsi" w:hAnsiTheme="minorHAnsi" w:cstheme="minorHAnsi"/>
          <w:szCs w:val="24"/>
          <w:lang w:val="fr-CH"/>
        </w:rPr>
        <w:br/>
      </w:r>
      <w:r w:rsidR="00C04533" w:rsidRPr="00E46390">
        <w:rPr>
          <w:rFonts w:asciiTheme="minorHAnsi" w:hAnsiTheme="minorHAnsi" w:cstheme="minorHAnsi"/>
          <w:szCs w:val="24"/>
          <w:lang w:val="fr-CH"/>
        </w:rPr>
        <w:t>Directeu</w:t>
      </w:r>
      <w:r w:rsidRPr="00E46390">
        <w:rPr>
          <w:rFonts w:asciiTheme="minorHAnsi" w:hAnsiTheme="minorHAnsi" w:cstheme="minorHAnsi"/>
          <w:szCs w:val="24"/>
          <w:lang w:val="fr-CH"/>
        </w:rPr>
        <w:t>r</w:t>
      </w:r>
    </w:p>
    <w:p w:rsidR="00896B0F" w:rsidRPr="00E46390" w:rsidRDefault="00896B0F" w:rsidP="0071555D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1555D">
        <w:rPr>
          <w:rFonts w:asciiTheme="minorHAnsi" w:hAnsiTheme="minorHAnsi" w:cstheme="minorHAnsi"/>
          <w:b/>
          <w:bCs/>
          <w:szCs w:val="24"/>
          <w:lang w:val="fr-CH"/>
        </w:rPr>
        <w:lastRenderedPageBreak/>
        <w:t>Annex</w:t>
      </w:r>
      <w:r w:rsidR="00C04533" w:rsidRPr="0071555D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E46390">
        <w:rPr>
          <w:rFonts w:asciiTheme="minorHAnsi" w:hAnsiTheme="minorHAnsi" w:cstheme="minorHAnsi"/>
          <w:szCs w:val="24"/>
          <w:lang w:val="fr-CH"/>
        </w:rPr>
        <w:t>: 1</w:t>
      </w:r>
    </w:p>
    <w:p w:rsidR="00896B0F" w:rsidRPr="00E46390" w:rsidRDefault="00896B0F" w:rsidP="00896B0F">
      <w:pPr>
        <w:keepLines/>
        <w:tabs>
          <w:tab w:val="right" w:pos="9639"/>
        </w:tabs>
        <w:spacing w:before="480"/>
        <w:rPr>
          <w:b/>
          <w:bCs/>
          <w:sz w:val="18"/>
          <w:szCs w:val="18"/>
          <w:u w:val="single"/>
          <w:lang w:val="fr-CH"/>
        </w:rPr>
      </w:pPr>
      <w:bookmarkStart w:id="1" w:name="ddistribution"/>
      <w:bookmarkEnd w:id="1"/>
      <w:r w:rsidRPr="00E46390">
        <w:rPr>
          <w:b/>
          <w:bCs/>
          <w:sz w:val="18"/>
          <w:szCs w:val="18"/>
          <w:u w:val="single"/>
          <w:lang w:val="fr-CH"/>
        </w:rPr>
        <w:t>Distribution:</w:t>
      </w:r>
    </w:p>
    <w:p w:rsidR="0071555D" w:rsidRDefault="00896B0F" w:rsidP="0071555D">
      <w:pPr>
        <w:tabs>
          <w:tab w:val="clear" w:pos="794"/>
          <w:tab w:val="left" w:pos="284"/>
        </w:tabs>
        <w:spacing w:before="80"/>
        <w:ind w:left="794" w:hanging="794"/>
        <w:jc w:val="left"/>
        <w:rPr>
          <w:sz w:val="18"/>
          <w:szCs w:val="18"/>
          <w:lang w:val="fr-CH"/>
        </w:rPr>
      </w:pPr>
      <w:r w:rsidRPr="00E46390">
        <w:rPr>
          <w:sz w:val="18"/>
          <w:szCs w:val="18"/>
          <w:lang w:val="fr-CH"/>
        </w:rPr>
        <w:t>–</w:t>
      </w:r>
      <w:r w:rsidRPr="00E46390">
        <w:rPr>
          <w:sz w:val="18"/>
          <w:szCs w:val="18"/>
          <w:lang w:val="fr-CH"/>
        </w:rPr>
        <w:tab/>
        <w:t xml:space="preserve">Administrations </w:t>
      </w:r>
      <w:r w:rsidR="0071555D">
        <w:rPr>
          <w:sz w:val="18"/>
          <w:szCs w:val="18"/>
          <w:lang w:val="fr-CH"/>
        </w:rPr>
        <w:t>des E</w:t>
      </w:r>
      <w:r w:rsidR="00C04533" w:rsidRPr="00E46390">
        <w:rPr>
          <w:sz w:val="18"/>
          <w:szCs w:val="18"/>
          <w:lang w:val="fr-CH"/>
        </w:rPr>
        <w:t>tats Membres de l'UIT</w:t>
      </w:r>
    </w:p>
    <w:p w:rsidR="00896B0F" w:rsidRPr="00E46390" w:rsidRDefault="00896B0F" w:rsidP="007151C1">
      <w:pPr>
        <w:tabs>
          <w:tab w:val="clear" w:pos="794"/>
          <w:tab w:val="left" w:pos="284"/>
        </w:tabs>
        <w:spacing w:before="0" w:line="240" w:lineRule="auto"/>
        <w:ind w:left="794" w:hanging="794"/>
        <w:jc w:val="left"/>
        <w:rPr>
          <w:sz w:val="18"/>
          <w:szCs w:val="18"/>
          <w:lang w:val="fr-CH"/>
        </w:rPr>
      </w:pPr>
      <w:r w:rsidRPr="00E46390">
        <w:rPr>
          <w:sz w:val="18"/>
          <w:szCs w:val="18"/>
          <w:lang w:val="fr-CH"/>
        </w:rPr>
        <w:t>–</w:t>
      </w:r>
      <w:r w:rsidRPr="00E46390">
        <w:rPr>
          <w:sz w:val="18"/>
          <w:szCs w:val="18"/>
          <w:lang w:val="fr-CH"/>
        </w:rPr>
        <w:tab/>
        <w:t>Membr</w:t>
      </w:r>
      <w:r w:rsidR="00C04533" w:rsidRPr="00E46390">
        <w:rPr>
          <w:sz w:val="18"/>
          <w:szCs w:val="18"/>
          <w:lang w:val="fr-CH"/>
        </w:rPr>
        <w:t>e</w:t>
      </w:r>
      <w:r w:rsidRPr="00E46390">
        <w:rPr>
          <w:sz w:val="18"/>
          <w:szCs w:val="18"/>
          <w:lang w:val="fr-CH"/>
        </w:rPr>
        <w:t xml:space="preserve">s </w:t>
      </w:r>
      <w:r w:rsidR="00C04533" w:rsidRPr="00E46390">
        <w:rPr>
          <w:sz w:val="18"/>
          <w:szCs w:val="18"/>
          <w:lang w:val="fr-CH"/>
        </w:rPr>
        <w:t>du Comité du Règlement des radiocommunications</w:t>
      </w:r>
    </w:p>
    <w:p w:rsidR="00896B0F" w:rsidRPr="00E46390" w:rsidRDefault="00896B0F" w:rsidP="007151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fr-CH"/>
        </w:rPr>
        <w:sectPr w:rsidR="00896B0F" w:rsidRPr="00E46390" w:rsidSect="00031E64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993" w:left="1134" w:header="567" w:footer="397" w:gutter="0"/>
          <w:cols w:space="720"/>
          <w:titlePg/>
        </w:sectPr>
      </w:pPr>
    </w:p>
    <w:p w:rsidR="00896B0F" w:rsidRPr="00E46390" w:rsidRDefault="00896B0F" w:rsidP="007151C1">
      <w:pPr>
        <w:spacing w:before="120" w:line="240" w:lineRule="auto"/>
        <w:jc w:val="center"/>
        <w:rPr>
          <w:b/>
          <w:bCs/>
          <w:lang w:val="fr-CH"/>
        </w:rPr>
      </w:pPr>
      <w:r w:rsidRPr="00E46390">
        <w:rPr>
          <w:b/>
          <w:bCs/>
          <w:lang w:val="fr-CH"/>
        </w:rPr>
        <w:lastRenderedPageBreak/>
        <w:t>Annex</w:t>
      </w:r>
      <w:r w:rsidR="00C04533" w:rsidRPr="00E46390">
        <w:rPr>
          <w:b/>
          <w:bCs/>
          <w:lang w:val="fr-CH"/>
        </w:rPr>
        <w:t>e</w:t>
      </w:r>
    </w:p>
    <w:p w:rsidR="00896B0F" w:rsidRPr="00E46390" w:rsidRDefault="00896B0F" w:rsidP="007151C1">
      <w:pPr>
        <w:spacing w:line="240" w:lineRule="auto"/>
        <w:jc w:val="center"/>
        <w:rPr>
          <w:b/>
          <w:bCs/>
          <w:lang w:val="fr-CH"/>
        </w:rPr>
      </w:pPr>
    </w:p>
    <w:p w:rsidR="00896B0F" w:rsidRPr="00E46390" w:rsidRDefault="00896B0F" w:rsidP="007151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142"/>
        <w:jc w:val="left"/>
        <w:textAlignment w:val="auto"/>
        <w:rPr>
          <w:sz w:val="18"/>
          <w:szCs w:val="18"/>
          <w:lang w:val="fr-CH"/>
        </w:rPr>
      </w:pPr>
    </w:p>
    <w:p w:rsidR="00896B0F" w:rsidRPr="00E46390" w:rsidRDefault="00896B0F" w:rsidP="007151C1">
      <w:pPr>
        <w:spacing w:line="240" w:lineRule="auto"/>
        <w:jc w:val="center"/>
        <w:rPr>
          <w:b/>
          <w:sz w:val="28"/>
          <w:szCs w:val="28"/>
          <w:lang w:val="fr-CH"/>
        </w:rPr>
      </w:pPr>
    </w:p>
    <w:p w:rsidR="00896B0F" w:rsidRPr="00E46390" w:rsidRDefault="00896B0F" w:rsidP="007151C1">
      <w:pPr>
        <w:spacing w:line="240" w:lineRule="auto"/>
        <w:jc w:val="center"/>
        <w:rPr>
          <w:b/>
          <w:sz w:val="28"/>
          <w:szCs w:val="28"/>
          <w:lang w:val="fr-CH"/>
        </w:rPr>
      </w:pPr>
      <w:r w:rsidRPr="00E46390">
        <w:rPr>
          <w:b/>
          <w:bCs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60C5B91" wp14:editId="5321C382">
            <wp:simplePos x="0" y="0"/>
            <wp:positionH relativeFrom="column">
              <wp:posOffset>2775585</wp:posOffset>
            </wp:positionH>
            <wp:positionV relativeFrom="paragraph">
              <wp:posOffset>-408940</wp:posOffset>
            </wp:positionV>
            <wp:extent cx="579396" cy="657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6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B0F" w:rsidRPr="00E46390" w:rsidRDefault="00896B0F" w:rsidP="007151C1">
      <w:pPr>
        <w:spacing w:line="240" w:lineRule="auto"/>
        <w:jc w:val="center"/>
        <w:rPr>
          <w:b/>
          <w:sz w:val="28"/>
          <w:szCs w:val="28"/>
          <w:lang w:val="fr-CH"/>
        </w:rPr>
      </w:pPr>
      <w:r w:rsidRPr="00E46390">
        <w:rPr>
          <w:b/>
          <w:sz w:val="28"/>
          <w:szCs w:val="28"/>
          <w:lang w:val="fr-CH"/>
        </w:rPr>
        <w:t>R</w:t>
      </w:r>
      <w:r w:rsidR="00865CA5" w:rsidRPr="00E46390">
        <w:rPr>
          <w:b/>
          <w:sz w:val="28"/>
          <w:szCs w:val="28"/>
          <w:lang w:val="fr-CH"/>
        </w:rPr>
        <w:t>É</w:t>
      </w:r>
      <w:r w:rsidRPr="00E46390">
        <w:rPr>
          <w:b/>
          <w:sz w:val="28"/>
          <w:szCs w:val="28"/>
          <w:lang w:val="fr-CH"/>
        </w:rPr>
        <w:t>SOLUTION 40 (</w:t>
      </w:r>
      <w:r w:rsidR="00865CA5" w:rsidRPr="00E46390">
        <w:rPr>
          <w:b/>
          <w:sz w:val="28"/>
          <w:szCs w:val="28"/>
          <w:lang w:val="fr-CH"/>
        </w:rPr>
        <w:t>CMR</w:t>
      </w:r>
      <w:r w:rsidRPr="00E46390">
        <w:rPr>
          <w:b/>
          <w:sz w:val="28"/>
          <w:szCs w:val="28"/>
          <w:lang w:val="fr-CH"/>
        </w:rPr>
        <w:t>-15)</w:t>
      </w:r>
    </w:p>
    <w:p w:rsidR="00896B0F" w:rsidRPr="00E46390" w:rsidRDefault="00865CA5" w:rsidP="007151C1">
      <w:pPr>
        <w:spacing w:line="240" w:lineRule="auto"/>
        <w:jc w:val="center"/>
        <w:rPr>
          <w:b/>
          <w:sz w:val="28"/>
          <w:szCs w:val="28"/>
          <w:lang w:val="fr-CH"/>
        </w:rPr>
      </w:pPr>
      <w:r w:rsidRPr="00E46390">
        <w:rPr>
          <w:b/>
          <w:sz w:val="28"/>
          <w:szCs w:val="28"/>
          <w:lang w:val="fr-CH"/>
        </w:rPr>
        <w:t xml:space="preserve">Utilisation d'une station spatiale pour mettre en service des </w:t>
      </w:r>
      <w:r w:rsidR="007E44FC">
        <w:rPr>
          <w:b/>
          <w:sz w:val="28"/>
          <w:szCs w:val="28"/>
          <w:lang w:val="fr-CH"/>
        </w:rPr>
        <w:t>assignations de </w:t>
      </w:r>
      <w:r w:rsidRPr="00E46390">
        <w:rPr>
          <w:b/>
          <w:sz w:val="28"/>
          <w:szCs w:val="28"/>
          <w:lang w:val="fr-CH"/>
        </w:rPr>
        <w:t>fréquence à des réseaux à satellite géostation</w:t>
      </w:r>
      <w:r w:rsidR="007E44FC">
        <w:rPr>
          <w:b/>
          <w:sz w:val="28"/>
          <w:szCs w:val="28"/>
          <w:lang w:val="fr-CH"/>
        </w:rPr>
        <w:t>naire à des positions orbitales </w:t>
      </w:r>
      <w:r w:rsidRPr="00E46390">
        <w:rPr>
          <w:b/>
          <w:sz w:val="28"/>
          <w:szCs w:val="28"/>
          <w:lang w:val="fr-CH"/>
        </w:rPr>
        <w:t>différentes sur une courte période</w:t>
      </w:r>
    </w:p>
    <w:p w:rsidR="00896B0F" w:rsidRPr="00E46390" w:rsidRDefault="00B5550A" w:rsidP="007151C1">
      <w:pPr>
        <w:spacing w:before="240" w:after="120" w:line="240" w:lineRule="auto"/>
        <w:jc w:val="left"/>
        <w:rPr>
          <w:lang w:val="fr-CH"/>
        </w:rPr>
      </w:pPr>
      <w:r w:rsidRPr="00E46390">
        <w:rPr>
          <w:lang w:val="fr-CH"/>
        </w:rPr>
        <w:t>Réseau à s</w:t>
      </w:r>
      <w:r w:rsidR="00896B0F" w:rsidRPr="00E46390">
        <w:rPr>
          <w:lang w:val="fr-CH"/>
        </w:rPr>
        <w:t xml:space="preserve">atellite </w:t>
      </w:r>
      <w:r w:rsidRPr="00E46390">
        <w:rPr>
          <w:lang w:val="fr-CH"/>
        </w:rPr>
        <w:t>pour lequel des assignations de fréquence ont été mises en service</w:t>
      </w:r>
      <w:r w:rsidR="00896B0F" w:rsidRPr="00E46390">
        <w:rPr>
          <w:lang w:val="fr-CH"/>
        </w:rPr>
        <w:t xml:space="preserve">, </w:t>
      </w:r>
      <w:r w:rsidRPr="00E46390">
        <w:rPr>
          <w:lang w:val="fr-CH"/>
        </w:rPr>
        <w:t xml:space="preserve">ou remises en service après </w:t>
      </w:r>
      <w:r w:rsidR="00174DE5" w:rsidRPr="00E46390">
        <w:rPr>
          <w:lang w:val="fr-CH"/>
        </w:rPr>
        <w:t xml:space="preserve">une </w:t>
      </w:r>
      <w:r w:rsidR="00896B0F" w:rsidRPr="00E46390">
        <w:rPr>
          <w:lang w:val="fr-CH"/>
        </w:rPr>
        <w:t>suspension: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3114"/>
        <w:gridCol w:w="2410"/>
        <w:gridCol w:w="4252"/>
      </w:tblGrid>
      <w:tr w:rsidR="00896B0F" w:rsidRPr="007151C1" w:rsidTr="007151C1">
        <w:tc>
          <w:tcPr>
            <w:tcW w:w="3114" w:type="dxa"/>
          </w:tcPr>
          <w:p w:rsidR="00896B0F" w:rsidRPr="007151C1" w:rsidRDefault="00896B0F" w:rsidP="007151C1">
            <w:pPr>
              <w:spacing w:before="120" w:after="120" w:line="240" w:lineRule="auto"/>
              <w:rPr>
                <w:sz w:val="22"/>
                <w:lang w:val="fr-CH"/>
              </w:rPr>
            </w:pPr>
          </w:p>
        </w:tc>
        <w:tc>
          <w:tcPr>
            <w:tcW w:w="2410" w:type="dxa"/>
          </w:tcPr>
          <w:p w:rsidR="00896B0F" w:rsidRPr="007151C1" w:rsidRDefault="00174DE5" w:rsidP="007151C1">
            <w:pPr>
              <w:spacing w:line="240" w:lineRule="auto"/>
              <w:jc w:val="left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Points de l'Appendice 4</w:t>
            </w:r>
          </w:p>
        </w:tc>
        <w:tc>
          <w:tcPr>
            <w:tcW w:w="4252" w:type="dxa"/>
          </w:tcPr>
          <w:p w:rsidR="00896B0F" w:rsidRPr="007151C1" w:rsidRDefault="00896B0F" w:rsidP="007151C1">
            <w:pPr>
              <w:spacing w:line="240" w:lineRule="auto"/>
              <w:rPr>
                <w:sz w:val="22"/>
                <w:lang w:val="fr-CH"/>
              </w:rPr>
            </w:pPr>
          </w:p>
        </w:tc>
      </w:tr>
      <w:tr w:rsidR="00896B0F" w:rsidRPr="007151C1" w:rsidTr="007151C1">
        <w:tc>
          <w:tcPr>
            <w:tcW w:w="3114" w:type="dxa"/>
          </w:tcPr>
          <w:p w:rsidR="00896B0F" w:rsidRPr="007151C1" w:rsidRDefault="00174DE5" w:rsidP="007151C1">
            <w:pPr>
              <w:spacing w:before="120" w:after="120" w:line="240" w:lineRule="auto"/>
              <w:jc w:val="left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Identité</w:t>
            </w:r>
            <w:r w:rsidR="00896B0F" w:rsidRPr="007151C1">
              <w:rPr>
                <w:sz w:val="22"/>
                <w:lang w:val="fr-CH"/>
              </w:rPr>
              <w:t xml:space="preserve"> </w:t>
            </w:r>
            <w:r w:rsidRPr="007151C1">
              <w:rPr>
                <w:sz w:val="22"/>
                <w:lang w:val="fr-CH"/>
              </w:rPr>
              <w:t>du réseau à s</w:t>
            </w:r>
            <w:r w:rsidR="00896B0F" w:rsidRPr="007151C1">
              <w:rPr>
                <w:sz w:val="22"/>
                <w:lang w:val="fr-CH"/>
              </w:rPr>
              <w:t xml:space="preserve">atellite </w:t>
            </w:r>
          </w:p>
        </w:tc>
        <w:tc>
          <w:tcPr>
            <w:tcW w:w="2410" w:type="dxa"/>
          </w:tcPr>
          <w:p w:rsidR="00896B0F" w:rsidRPr="007151C1" w:rsidRDefault="00896B0F" w:rsidP="007151C1">
            <w:pPr>
              <w:spacing w:line="240" w:lineRule="auto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A.1.a</w:t>
            </w:r>
          </w:p>
        </w:tc>
        <w:tc>
          <w:tcPr>
            <w:tcW w:w="4252" w:type="dxa"/>
          </w:tcPr>
          <w:p w:rsidR="00896B0F" w:rsidRPr="007151C1" w:rsidRDefault="00896B0F" w:rsidP="007151C1">
            <w:pPr>
              <w:spacing w:line="240" w:lineRule="auto"/>
              <w:rPr>
                <w:sz w:val="22"/>
                <w:lang w:val="fr-CH"/>
              </w:rPr>
            </w:pPr>
          </w:p>
        </w:tc>
      </w:tr>
      <w:tr w:rsidR="00896B0F" w:rsidRPr="007151C1" w:rsidTr="007151C1">
        <w:tc>
          <w:tcPr>
            <w:tcW w:w="3114" w:type="dxa"/>
          </w:tcPr>
          <w:p w:rsidR="00896B0F" w:rsidRPr="007151C1" w:rsidRDefault="00896B0F" w:rsidP="007151C1">
            <w:pPr>
              <w:spacing w:before="120" w:after="120" w:line="240" w:lineRule="auto"/>
              <w:jc w:val="left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Administration</w:t>
            </w:r>
            <w:r w:rsidR="00174DE5" w:rsidRPr="007151C1">
              <w:rPr>
                <w:sz w:val="22"/>
                <w:lang w:val="fr-CH"/>
              </w:rPr>
              <w:t xml:space="preserve"> notificatrice</w:t>
            </w:r>
          </w:p>
        </w:tc>
        <w:tc>
          <w:tcPr>
            <w:tcW w:w="2410" w:type="dxa"/>
          </w:tcPr>
          <w:p w:rsidR="00896B0F" w:rsidRPr="007151C1" w:rsidRDefault="00896B0F" w:rsidP="007151C1">
            <w:pPr>
              <w:spacing w:line="240" w:lineRule="auto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A.1.f.1</w:t>
            </w:r>
          </w:p>
        </w:tc>
        <w:tc>
          <w:tcPr>
            <w:tcW w:w="4252" w:type="dxa"/>
          </w:tcPr>
          <w:p w:rsidR="00896B0F" w:rsidRPr="007151C1" w:rsidRDefault="00896B0F" w:rsidP="007151C1">
            <w:pPr>
              <w:spacing w:line="240" w:lineRule="auto"/>
              <w:rPr>
                <w:sz w:val="22"/>
                <w:lang w:val="fr-CH"/>
              </w:rPr>
            </w:pPr>
          </w:p>
        </w:tc>
      </w:tr>
      <w:tr w:rsidR="00896B0F" w:rsidRPr="007151C1" w:rsidTr="007151C1">
        <w:tc>
          <w:tcPr>
            <w:tcW w:w="3114" w:type="dxa"/>
          </w:tcPr>
          <w:p w:rsidR="00896B0F" w:rsidRPr="007151C1" w:rsidRDefault="00896B0F" w:rsidP="007151C1">
            <w:pPr>
              <w:spacing w:before="120" w:after="120" w:line="240" w:lineRule="auto"/>
              <w:jc w:val="left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Position</w:t>
            </w:r>
            <w:r w:rsidR="00174DE5" w:rsidRPr="007151C1">
              <w:rPr>
                <w:sz w:val="22"/>
                <w:lang w:val="fr-CH"/>
              </w:rPr>
              <w:t xml:space="preserve"> orbitale nominale</w:t>
            </w:r>
          </w:p>
        </w:tc>
        <w:tc>
          <w:tcPr>
            <w:tcW w:w="2410" w:type="dxa"/>
          </w:tcPr>
          <w:p w:rsidR="00896B0F" w:rsidRPr="007151C1" w:rsidRDefault="00896B0F" w:rsidP="007151C1">
            <w:pPr>
              <w:spacing w:line="240" w:lineRule="auto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A.4.a.1</w:t>
            </w:r>
          </w:p>
        </w:tc>
        <w:tc>
          <w:tcPr>
            <w:tcW w:w="4252" w:type="dxa"/>
          </w:tcPr>
          <w:p w:rsidR="00896B0F" w:rsidRPr="007151C1" w:rsidRDefault="00896B0F" w:rsidP="007151C1">
            <w:pPr>
              <w:spacing w:line="240" w:lineRule="auto"/>
              <w:rPr>
                <w:sz w:val="22"/>
                <w:lang w:val="fr-CH"/>
              </w:rPr>
            </w:pPr>
          </w:p>
        </w:tc>
      </w:tr>
      <w:tr w:rsidR="00896B0F" w:rsidRPr="007151C1" w:rsidTr="007151C1">
        <w:tc>
          <w:tcPr>
            <w:tcW w:w="3114" w:type="dxa"/>
          </w:tcPr>
          <w:p w:rsidR="00896B0F" w:rsidRPr="007151C1" w:rsidRDefault="00896B0F" w:rsidP="007151C1">
            <w:pPr>
              <w:spacing w:before="120" w:after="120" w:line="240" w:lineRule="auto"/>
              <w:jc w:val="left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 xml:space="preserve">Date </w:t>
            </w:r>
            <w:r w:rsidR="00174DE5" w:rsidRPr="007151C1">
              <w:rPr>
                <w:sz w:val="22"/>
                <w:lang w:val="fr-CH"/>
              </w:rPr>
              <w:t xml:space="preserve">de mise en service </w:t>
            </w:r>
            <w:r w:rsidRPr="007151C1">
              <w:rPr>
                <w:sz w:val="22"/>
                <w:lang w:val="fr-CH"/>
              </w:rPr>
              <w:t>(</w:t>
            </w:r>
            <w:r w:rsidR="00174DE5" w:rsidRPr="007151C1">
              <w:rPr>
                <w:sz w:val="22"/>
                <w:lang w:val="fr-CH"/>
              </w:rPr>
              <w:t xml:space="preserve">ou de remise en service après une </w:t>
            </w:r>
            <w:r w:rsidRPr="007151C1">
              <w:rPr>
                <w:sz w:val="22"/>
                <w:lang w:val="fr-CH"/>
              </w:rPr>
              <w:t xml:space="preserve">suspension) </w:t>
            </w:r>
          </w:p>
        </w:tc>
        <w:tc>
          <w:tcPr>
            <w:tcW w:w="2410" w:type="dxa"/>
          </w:tcPr>
          <w:p w:rsidR="00896B0F" w:rsidRPr="007151C1" w:rsidRDefault="00896B0F" w:rsidP="007151C1">
            <w:pPr>
              <w:spacing w:line="240" w:lineRule="auto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A.2.a</w:t>
            </w:r>
          </w:p>
        </w:tc>
        <w:tc>
          <w:tcPr>
            <w:tcW w:w="4252" w:type="dxa"/>
          </w:tcPr>
          <w:p w:rsidR="00896B0F" w:rsidRPr="007151C1" w:rsidRDefault="00896B0F" w:rsidP="007151C1">
            <w:pPr>
              <w:spacing w:line="240" w:lineRule="auto"/>
              <w:rPr>
                <w:sz w:val="22"/>
                <w:lang w:val="fr-CH"/>
              </w:rPr>
            </w:pPr>
          </w:p>
        </w:tc>
      </w:tr>
    </w:tbl>
    <w:p w:rsidR="00896B0F" w:rsidRPr="00E46390" w:rsidRDefault="00865CA5" w:rsidP="007151C1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center" w:pos="11199"/>
        </w:tabs>
        <w:spacing w:before="240" w:after="240" w:line="240" w:lineRule="auto"/>
        <w:jc w:val="left"/>
        <w:rPr>
          <w:lang w:val="fr-CH"/>
        </w:rPr>
      </w:pPr>
      <w:r w:rsidRPr="00E46390">
        <w:rPr>
          <w:rFonts w:asciiTheme="minorHAnsi" w:hAnsiTheme="minorHAnsi"/>
          <w:szCs w:val="24"/>
          <w:lang w:val="fr-CH"/>
        </w:rPr>
        <w:t>La mise en service, ou la remise en service après une suspension</w:t>
      </w:r>
      <w:r w:rsidR="00BE1C9D">
        <w:rPr>
          <w:rFonts w:asciiTheme="minorHAnsi" w:hAnsiTheme="minorHAnsi"/>
          <w:szCs w:val="24"/>
          <w:lang w:val="fr-CH"/>
        </w:rPr>
        <w:t>,</w:t>
      </w:r>
      <w:r w:rsidRPr="00E46390">
        <w:rPr>
          <w:rFonts w:asciiTheme="minorHAnsi" w:hAnsiTheme="minorHAnsi"/>
          <w:szCs w:val="24"/>
          <w:lang w:val="fr-CH"/>
        </w:rPr>
        <w:t xml:space="preserve"> a été effectuée au moyen d'une station spatiale qui a été utilisée précédemment pour mettre en service, ou remettre en service, des assignations de fréquence à une position orbitale différente au cours des trois ans précédant la date de soumission de ces renseignements</w:t>
      </w:r>
      <w:r w:rsidR="00896B0F" w:rsidRPr="00E46390">
        <w:rPr>
          <w:lang w:val="fr-CH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688"/>
      </w:tblGrid>
      <w:tr w:rsidR="00896B0F" w:rsidRPr="007151C1" w:rsidTr="00174DE5">
        <w:tc>
          <w:tcPr>
            <w:tcW w:w="3964" w:type="dxa"/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</w:p>
        </w:tc>
        <w:tc>
          <w:tcPr>
            <w:tcW w:w="2977" w:type="dxa"/>
          </w:tcPr>
          <w:p w:rsidR="00896B0F" w:rsidRPr="007151C1" w:rsidRDefault="00865CA5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OUI</w:t>
            </w:r>
          </w:p>
        </w:tc>
        <w:tc>
          <w:tcPr>
            <w:tcW w:w="2688" w:type="dxa"/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NO</w:t>
            </w:r>
            <w:r w:rsidR="00865CA5" w:rsidRPr="007151C1">
              <w:rPr>
                <w:sz w:val="22"/>
                <w:lang w:val="fr-CH"/>
              </w:rPr>
              <w:t>N</w:t>
            </w:r>
          </w:p>
        </w:tc>
      </w:tr>
      <w:tr w:rsidR="00896B0F" w:rsidRPr="007151C1" w:rsidTr="00174DE5">
        <w:tc>
          <w:tcPr>
            <w:tcW w:w="3964" w:type="dxa"/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</w:p>
        </w:tc>
        <w:tc>
          <w:tcPr>
            <w:tcW w:w="2977" w:type="dxa"/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  <w:r w:rsidRPr="007151C1">
              <w:rPr>
                <w:noProof/>
                <w:sz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6398D" wp14:editId="73EAC29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7182BF" id="Oval 2" o:spid="_x0000_s1026" style="position:absolute;margin-left:66.25pt;margin-top:7.9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" filled="f" strokecolor="windowText" strokeweight="2pt"/>
                  </w:pict>
                </mc:Fallback>
              </mc:AlternateConten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  <w:r w:rsidRPr="007151C1">
              <w:rPr>
                <w:noProof/>
                <w:sz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7278B" wp14:editId="2EF4C482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F0734B" id="Oval 3" o:spid="_x0000_s1026" style="position:absolute;margin-left:61.25pt;margin-top:7.9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" filled="f" strokecolor="windowText" strokeweight="2pt"/>
                  </w:pict>
                </mc:Fallback>
              </mc:AlternateContent>
            </w:r>
          </w:p>
        </w:tc>
      </w:tr>
      <w:tr w:rsidR="00896B0F" w:rsidRPr="00AD6106" w:rsidTr="00174DE5">
        <w:tc>
          <w:tcPr>
            <w:tcW w:w="3964" w:type="dxa"/>
          </w:tcPr>
          <w:p w:rsidR="00896B0F" w:rsidRPr="007151C1" w:rsidRDefault="00865CA5" w:rsidP="007151C1">
            <w:pPr>
              <w:spacing w:line="240" w:lineRule="auto"/>
              <w:jc w:val="left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>a) Dernière position orbitale à laquelle la station spatiale a été utilisée pour mettre en service, ou remettre en service, des assignations de fréquence</w:t>
            </w:r>
          </w:p>
        </w:tc>
        <w:tc>
          <w:tcPr>
            <w:tcW w:w="2977" w:type="dxa"/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</w:p>
        </w:tc>
        <w:tc>
          <w:tcPr>
            <w:tcW w:w="2688" w:type="dxa"/>
            <w:tcBorders>
              <w:bottom w:val="single" w:sz="4" w:space="0" w:color="auto"/>
              <w:tl2br w:val="single" w:sz="4" w:space="0" w:color="auto"/>
            </w:tcBorders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 xml:space="preserve"> </w:t>
            </w:r>
          </w:p>
        </w:tc>
      </w:tr>
      <w:tr w:rsidR="00896B0F" w:rsidRPr="00AD6106" w:rsidTr="00174DE5">
        <w:tc>
          <w:tcPr>
            <w:tcW w:w="3964" w:type="dxa"/>
          </w:tcPr>
          <w:p w:rsidR="00896B0F" w:rsidRPr="007151C1" w:rsidRDefault="00896B0F" w:rsidP="007151C1">
            <w:pPr>
              <w:spacing w:line="240" w:lineRule="auto"/>
              <w:jc w:val="left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 xml:space="preserve">b) </w:t>
            </w:r>
            <w:r w:rsidR="00865CA5" w:rsidRPr="007151C1">
              <w:rPr>
                <w:sz w:val="22"/>
                <w:lang w:val="fr-CH"/>
              </w:rPr>
              <w:t xml:space="preserve">Réseau(x) à satellite au(x)quel(s) les assignations de fréquence visées au point a) ci-dessus étaient associées </w:t>
            </w:r>
          </w:p>
        </w:tc>
        <w:tc>
          <w:tcPr>
            <w:tcW w:w="2977" w:type="dxa"/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</w:p>
        </w:tc>
        <w:tc>
          <w:tcPr>
            <w:tcW w:w="2688" w:type="dxa"/>
            <w:tcBorders>
              <w:bottom w:val="single" w:sz="4" w:space="0" w:color="auto"/>
              <w:tl2br w:val="single" w:sz="4" w:space="0" w:color="auto"/>
            </w:tcBorders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 xml:space="preserve"> </w:t>
            </w:r>
          </w:p>
        </w:tc>
      </w:tr>
      <w:tr w:rsidR="00896B0F" w:rsidRPr="00AD6106" w:rsidTr="00174DE5">
        <w:tc>
          <w:tcPr>
            <w:tcW w:w="3964" w:type="dxa"/>
          </w:tcPr>
          <w:p w:rsidR="00896B0F" w:rsidRPr="007151C1" w:rsidRDefault="00896B0F" w:rsidP="007151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"/>
                <w:tab w:val="center" w:pos="4820"/>
                <w:tab w:val="center" w:pos="11199"/>
              </w:tabs>
              <w:spacing w:before="120" w:line="240" w:lineRule="auto"/>
              <w:jc w:val="left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lastRenderedPageBreak/>
              <w:t xml:space="preserve">c) </w:t>
            </w:r>
            <w:r w:rsidR="00865CA5" w:rsidRPr="007151C1">
              <w:rPr>
                <w:sz w:val="22"/>
                <w:lang w:val="fr-CH"/>
              </w:rPr>
              <w:t xml:space="preserve">Date à laquelle la station spatiale n'a plus été maintenue à la position orbitale visée au point a) ci-dessus </w:t>
            </w:r>
          </w:p>
        </w:tc>
        <w:tc>
          <w:tcPr>
            <w:tcW w:w="2977" w:type="dxa"/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</w:p>
        </w:tc>
        <w:tc>
          <w:tcPr>
            <w:tcW w:w="2688" w:type="dxa"/>
            <w:tcBorders>
              <w:tl2br w:val="single" w:sz="4" w:space="0" w:color="auto"/>
            </w:tcBorders>
          </w:tcPr>
          <w:p w:rsidR="00896B0F" w:rsidRPr="007151C1" w:rsidRDefault="00896B0F" w:rsidP="007151C1">
            <w:pPr>
              <w:spacing w:line="240" w:lineRule="auto"/>
              <w:jc w:val="center"/>
              <w:rPr>
                <w:sz w:val="22"/>
                <w:lang w:val="fr-CH"/>
              </w:rPr>
            </w:pPr>
            <w:r w:rsidRPr="007151C1">
              <w:rPr>
                <w:sz w:val="22"/>
                <w:lang w:val="fr-CH"/>
              </w:rPr>
              <w:t xml:space="preserve"> </w:t>
            </w:r>
          </w:p>
        </w:tc>
      </w:tr>
    </w:tbl>
    <w:p w:rsidR="00896B0F" w:rsidRDefault="00896B0F" w:rsidP="007151C1">
      <w:pPr>
        <w:spacing w:line="240" w:lineRule="auto"/>
        <w:rPr>
          <w:lang w:val="fr-CH"/>
        </w:rPr>
      </w:pPr>
      <w:r w:rsidRPr="00E46390">
        <w:rPr>
          <w:lang w:val="fr-CH"/>
        </w:rPr>
        <w:t>Form</w:t>
      </w:r>
      <w:r w:rsidR="00174DE5" w:rsidRPr="00E46390">
        <w:rPr>
          <w:lang w:val="fr-CH"/>
        </w:rPr>
        <w:t>ulaire à envoyer par l'a</w:t>
      </w:r>
      <w:r w:rsidRPr="00E46390">
        <w:rPr>
          <w:lang w:val="fr-CH"/>
        </w:rPr>
        <w:t xml:space="preserve">dministration </w:t>
      </w:r>
      <w:r w:rsidR="00174DE5" w:rsidRPr="00E46390">
        <w:rPr>
          <w:lang w:val="fr-CH"/>
        </w:rPr>
        <w:t xml:space="preserve">à l'adresse </w:t>
      </w:r>
      <w:hyperlink r:id="rId15" w:history="1">
        <w:r w:rsidR="00174DE5" w:rsidRPr="00E46390">
          <w:rPr>
            <w:rStyle w:val="Hyperlink"/>
            <w:lang w:val="fr-CH"/>
          </w:rPr>
          <w:t>brmail@itu.int</w:t>
        </w:r>
      </w:hyperlink>
      <w:r w:rsidRPr="00E46390">
        <w:rPr>
          <w:lang w:val="fr-CH"/>
        </w:rPr>
        <w:t xml:space="preserve">. </w:t>
      </w:r>
    </w:p>
    <w:p w:rsidR="007151C1" w:rsidRPr="007151C1" w:rsidRDefault="007151C1" w:rsidP="007151C1">
      <w:pPr>
        <w:spacing w:line="240" w:lineRule="auto"/>
        <w:rPr>
          <w:sz w:val="2"/>
          <w:szCs w:val="2"/>
          <w:lang w:val="fr-CH"/>
        </w:rPr>
      </w:pPr>
    </w:p>
    <w:p w:rsidR="007151C1" w:rsidRPr="00AD6106" w:rsidRDefault="007151C1" w:rsidP="007151C1">
      <w:pPr>
        <w:pStyle w:val="Reasons"/>
        <w:rPr>
          <w:sz w:val="2"/>
          <w:szCs w:val="2"/>
          <w:lang w:val="fr-CH"/>
        </w:rPr>
      </w:pPr>
    </w:p>
    <w:sectPr w:rsidR="007151C1" w:rsidRPr="00AD6106" w:rsidSect="00031E64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43" w:rsidRDefault="000B1843">
      <w:r>
        <w:separator/>
      </w:r>
    </w:p>
  </w:endnote>
  <w:endnote w:type="continuationSeparator" w:id="0">
    <w:p w:rsidR="000B1843" w:rsidRDefault="000B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0F" w:rsidRPr="00340FBB" w:rsidRDefault="00BE1C9D" w:rsidP="00BE1C9D">
    <w:pPr>
      <w:pStyle w:val="FirstFooter"/>
      <w:spacing w:line="240" w:lineRule="auto"/>
      <w:ind w:left="-397" w:right="-397"/>
      <w:jc w:val="center"/>
      <w:rPr>
        <w:rStyle w:val="Hyperlink"/>
        <w:color w:val="3E8EDE"/>
        <w:sz w:val="18"/>
        <w:szCs w:val="18"/>
        <w:lang w:val="fr-CH"/>
      </w:rPr>
    </w:pPr>
    <w:r w:rsidRPr="00340FBB">
      <w:rPr>
        <w:color w:val="3E8EDE"/>
        <w:sz w:val="18"/>
        <w:szCs w:val="18"/>
        <w:lang w:val="fr-CH"/>
      </w:rPr>
      <w:t>Union i</w:t>
    </w:r>
    <w:r w:rsidR="00896B0F" w:rsidRPr="00340FBB">
      <w:rPr>
        <w:color w:val="3E8EDE"/>
        <w:sz w:val="18"/>
        <w:szCs w:val="18"/>
        <w:lang w:val="fr-CH"/>
      </w:rPr>
      <w:t>nternational</w:t>
    </w:r>
    <w:r w:rsidRPr="00340FBB">
      <w:rPr>
        <w:color w:val="3E8EDE"/>
        <w:sz w:val="18"/>
        <w:szCs w:val="18"/>
        <w:lang w:val="fr-CH"/>
      </w:rPr>
      <w:t>e des télécommunications</w:t>
    </w:r>
    <w:r w:rsidR="00896B0F" w:rsidRPr="00340FBB">
      <w:rPr>
        <w:color w:val="3E8EDE"/>
        <w:sz w:val="18"/>
        <w:szCs w:val="18"/>
        <w:lang w:val="fr-CH"/>
      </w:rPr>
      <w:t xml:space="preserve"> • Place des Nations, CH</w:t>
    </w:r>
    <w:r w:rsidR="00896B0F" w:rsidRPr="00340FBB">
      <w:rPr>
        <w:color w:val="3E8EDE"/>
        <w:sz w:val="18"/>
        <w:szCs w:val="18"/>
        <w:lang w:val="fr-CH"/>
      </w:rPr>
      <w:noBreakHyphen/>
      <w:t>1211 Gen</w:t>
    </w:r>
    <w:r w:rsidRPr="00340FBB">
      <w:rPr>
        <w:color w:val="3E8EDE"/>
        <w:sz w:val="18"/>
        <w:szCs w:val="18"/>
        <w:lang w:val="fr-CH"/>
      </w:rPr>
      <w:t xml:space="preserve">ève </w:t>
    </w:r>
    <w:r w:rsidR="00896B0F" w:rsidRPr="00340FBB">
      <w:rPr>
        <w:color w:val="3E8EDE"/>
        <w:sz w:val="18"/>
        <w:szCs w:val="18"/>
        <w:lang w:val="fr-CH"/>
      </w:rPr>
      <w:t>20, S</w:t>
    </w:r>
    <w:r w:rsidRPr="00340FBB">
      <w:rPr>
        <w:color w:val="3E8EDE"/>
        <w:sz w:val="18"/>
        <w:szCs w:val="18"/>
        <w:lang w:val="fr-CH"/>
      </w:rPr>
      <w:t xml:space="preserve">uisse </w:t>
    </w:r>
    <w:r w:rsidR="00896B0F" w:rsidRPr="00340FBB">
      <w:rPr>
        <w:color w:val="3E8EDE"/>
        <w:sz w:val="18"/>
        <w:szCs w:val="18"/>
        <w:lang w:val="fr-CH"/>
      </w:rPr>
      <w:br/>
      <w:t>T</w:t>
    </w:r>
    <w:r w:rsidRPr="00340FBB">
      <w:rPr>
        <w:color w:val="3E8EDE"/>
        <w:sz w:val="18"/>
        <w:szCs w:val="18"/>
        <w:lang w:val="fr-CH"/>
      </w:rPr>
      <w:t>é</w:t>
    </w:r>
    <w:r w:rsidR="00896B0F" w:rsidRPr="00340FBB">
      <w:rPr>
        <w:color w:val="3E8EDE"/>
        <w:sz w:val="18"/>
        <w:szCs w:val="18"/>
        <w:lang w:val="fr-CH"/>
      </w:rPr>
      <w:t>l</w:t>
    </w:r>
    <w:r w:rsidR="0071555D">
      <w:rPr>
        <w:color w:val="3E8EDE"/>
        <w:sz w:val="18"/>
        <w:szCs w:val="18"/>
        <w:lang w:val="fr-CH"/>
      </w:rPr>
      <w:t>.</w:t>
    </w:r>
    <w:r w:rsidR="00896B0F" w:rsidRPr="00340FBB">
      <w:rPr>
        <w:color w:val="3E8EDE"/>
        <w:sz w:val="18"/>
        <w:szCs w:val="18"/>
        <w:lang w:val="fr-CH"/>
      </w:rPr>
      <w:t xml:space="preserve">: +41 22 730 5111 • Fax: +41 22 733 7256 • </w:t>
    </w:r>
    <w:r w:rsidR="00896B0F" w:rsidRPr="00340FBB">
      <w:rPr>
        <w:color w:val="3E8EDE"/>
        <w:sz w:val="18"/>
        <w:szCs w:val="18"/>
        <w:lang w:val="fr-CH"/>
      </w:rPr>
      <w:br/>
    </w:r>
    <w:r w:rsidRPr="00340FBB">
      <w:rPr>
        <w:color w:val="3E8EDE"/>
        <w:sz w:val="18"/>
        <w:szCs w:val="18"/>
        <w:lang w:val="fr-CH"/>
      </w:rPr>
      <w:t>Courriel</w:t>
    </w:r>
    <w:r w:rsidR="00896B0F" w:rsidRPr="00340FBB">
      <w:rPr>
        <w:color w:val="3E8EDE"/>
        <w:sz w:val="18"/>
        <w:szCs w:val="18"/>
        <w:lang w:val="fr-CH"/>
      </w:rPr>
      <w:t xml:space="preserve">: </w:t>
    </w:r>
    <w:hyperlink r:id="rId1" w:history="1">
      <w:r w:rsidR="00896B0F" w:rsidRPr="00340FBB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896B0F" w:rsidRPr="00340FBB">
      <w:rPr>
        <w:color w:val="3E8EDE"/>
        <w:sz w:val="18"/>
        <w:szCs w:val="18"/>
        <w:lang w:val="fr-CH"/>
      </w:rPr>
      <w:t xml:space="preserve"> • </w:t>
    </w:r>
    <w:hyperlink r:id="rId2" w:history="1">
      <w:r w:rsidR="00896B0F" w:rsidRPr="00340FBB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896B0F" w:rsidRPr="00340FBB">
      <w:rPr>
        <w:color w:val="3E8EDE"/>
        <w:sz w:val="18"/>
        <w:szCs w:val="18"/>
        <w:lang w:val="fr-CH"/>
      </w:rPr>
      <w:t xml:space="preserve"> • </w:t>
    </w:r>
    <w:hyperlink r:id="rId3" w:history="1">
      <w:r w:rsidR="00896B0F" w:rsidRPr="00340FBB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BB" w:rsidRPr="00C83B3B" w:rsidRDefault="00340FBB" w:rsidP="00C8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43" w:rsidRDefault="000B1843">
      <w:r>
        <w:t>____________________</w:t>
      </w:r>
    </w:p>
  </w:footnote>
  <w:footnote w:type="continuationSeparator" w:id="0">
    <w:p w:rsidR="000B1843" w:rsidRDefault="000B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1158576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6B0F" w:rsidRPr="00B97139" w:rsidRDefault="00B97139" w:rsidP="00B97139">
        <w:pPr>
          <w:pStyle w:val="Header"/>
          <w:ind w:left="1080"/>
          <w:jc w:val="center"/>
          <w:rPr>
            <w:sz w:val="18"/>
            <w:szCs w:val="18"/>
          </w:rPr>
        </w:pPr>
        <w:r w:rsidRPr="00B97139">
          <w:rPr>
            <w:sz w:val="18"/>
            <w:szCs w:val="18"/>
          </w:rPr>
          <w:t>- 2 -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0F" w:rsidRPr="00AF3325" w:rsidRDefault="00896B0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5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896B0F" w:rsidTr="008739AF">
      <w:tc>
        <w:tcPr>
          <w:tcW w:w="5031" w:type="dxa"/>
        </w:tcPr>
        <w:p w:rsidR="00896B0F" w:rsidRDefault="00896B0F" w:rsidP="0062315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4164096" wp14:editId="44B8A9E9">
                <wp:extent cx="579396" cy="65722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896B0F" w:rsidRDefault="00896B0F" w:rsidP="0062315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7B5B2D4D" wp14:editId="73E5E51F">
                <wp:extent cx="1017905" cy="925067"/>
                <wp:effectExtent l="0" t="0" r="0" b="8890"/>
                <wp:docPr id="1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6B0F" w:rsidRPr="00BA072F" w:rsidRDefault="00896B0F" w:rsidP="00BA07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43" w:rsidRPr="00CC74D3" w:rsidRDefault="005D7CC6" w:rsidP="00CC74D3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0B1843" w:rsidRPr="00CC74D3">
      <w:rPr>
        <w:rStyle w:val="PageNumber"/>
        <w:sz w:val="18"/>
        <w:szCs w:val="18"/>
      </w:rPr>
      <w:fldChar w:fldCharType="begin"/>
    </w:r>
    <w:r w:rsidR="000B1843" w:rsidRPr="00CC74D3">
      <w:rPr>
        <w:rStyle w:val="PageNumber"/>
        <w:sz w:val="18"/>
        <w:szCs w:val="18"/>
      </w:rPr>
      <w:instrText xml:space="preserve"> PAGE </w:instrText>
    </w:r>
    <w:r w:rsidR="000B1843" w:rsidRPr="00CC74D3">
      <w:rPr>
        <w:rStyle w:val="PageNumber"/>
        <w:sz w:val="18"/>
        <w:szCs w:val="18"/>
      </w:rPr>
      <w:fldChar w:fldCharType="separate"/>
    </w:r>
    <w:r w:rsidR="007151C1">
      <w:rPr>
        <w:rStyle w:val="PageNumber"/>
        <w:noProof/>
        <w:sz w:val="18"/>
        <w:szCs w:val="18"/>
      </w:rPr>
      <w:t>4</w:t>
    </w:r>
    <w:r w:rsidR="000B1843" w:rsidRPr="00CC74D3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  <w:p w:rsidR="00411047" w:rsidRDefault="0041104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99" w:rsidRPr="00CC74D3" w:rsidRDefault="003B5B99" w:rsidP="003B5B99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Pr="00CC74D3">
      <w:rPr>
        <w:rStyle w:val="PageNumber"/>
        <w:sz w:val="18"/>
        <w:szCs w:val="18"/>
      </w:rPr>
      <w:fldChar w:fldCharType="begin"/>
    </w:r>
    <w:r w:rsidRPr="00CC74D3">
      <w:rPr>
        <w:rStyle w:val="PageNumber"/>
        <w:sz w:val="18"/>
        <w:szCs w:val="18"/>
      </w:rPr>
      <w:instrText xml:space="preserve"> PAGE </w:instrText>
    </w:r>
    <w:r w:rsidRPr="00CC74D3">
      <w:rPr>
        <w:rStyle w:val="PageNumber"/>
        <w:sz w:val="18"/>
        <w:szCs w:val="18"/>
      </w:rPr>
      <w:fldChar w:fldCharType="separate"/>
    </w:r>
    <w:r w:rsidR="00896B0F">
      <w:rPr>
        <w:rStyle w:val="PageNumber"/>
        <w:noProof/>
        <w:sz w:val="18"/>
        <w:szCs w:val="18"/>
      </w:rPr>
      <w:t>3</w:t>
    </w:r>
    <w:r w:rsidRPr="00CC74D3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  <w:p w:rsidR="00411047" w:rsidRDefault="0041104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5D" w:rsidRPr="0071555D" w:rsidRDefault="0071555D" w:rsidP="00B97139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574090"/>
    <w:multiLevelType w:val="hybridMultilevel"/>
    <w:tmpl w:val="A458647A"/>
    <w:lvl w:ilvl="0" w:tplc="A514813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607613"/>
    <w:multiLevelType w:val="hybridMultilevel"/>
    <w:tmpl w:val="58669BD2"/>
    <w:lvl w:ilvl="0" w:tplc="9C6C52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1BD"/>
    <w:rsid w:val="00004F59"/>
    <w:rsid w:val="000066D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513C"/>
    <w:rsid w:val="00070258"/>
    <w:rsid w:val="0007323C"/>
    <w:rsid w:val="00086D03"/>
    <w:rsid w:val="000A096A"/>
    <w:rsid w:val="000A375E"/>
    <w:rsid w:val="000A7051"/>
    <w:rsid w:val="000B0AF6"/>
    <w:rsid w:val="000B0E9B"/>
    <w:rsid w:val="000B1843"/>
    <w:rsid w:val="000B2CAE"/>
    <w:rsid w:val="000C03C7"/>
    <w:rsid w:val="000C2AD0"/>
    <w:rsid w:val="000D235F"/>
    <w:rsid w:val="000E3DEE"/>
    <w:rsid w:val="000F6AD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29AB"/>
    <w:rsid w:val="001655A9"/>
    <w:rsid w:val="00174DE5"/>
    <w:rsid w:val="0018201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BE7"/>
    <w:rsid w:val="001D7070"/>
    <w:rsid w:val="001E4E6F"/>
    <w:rsid w:val="001F2170"/>
    <w:rsid w:val="001F3948"/>
    <w:rsid w:val="001F5A49"/>
    <w:rsid w:val="0020008E"/>
    <w:rsid w:val="00201097"/>
    <w:rsid w:val="00201B6E"/>
    <w:rsid w:val="00204DDE"/>
    <w:rsid w:val="00226E03"/>
    <w:rsid w:val="002302B3"/>
    <w:rsid w:val="00230C66"/>
    <w:rsid w:val="00235A29"/>
    <w:rsid w:val="00241526"/>
    <w:rsid w:val="002443A2"/>
    <w:rsid w:val="00254B70"/>
    <w:rsid w:val="00262CC9"/>
    <w:rsid w:val="002641BD"/>
    <w:rsid w:val="00266E74"/>
    <w:rsid w:val="00283C3B"/>
    <w:rsid w:val="002861E6"/>
    <w:rsid w:val="00287D18"/>
    <w:rsid w:val="002A2618"/>
    <w:rsid w:val="002A5B56"/>
    <w:rsid w:val="002A5DD7"/>
    <w:rsid w:val="002A666E"/>
    <w:rsid w:val="002B0CAC"/>
    <w:rsid w:val="002B5452"/>
    <w:rsid w:val="002C1BAF"/>
    <w:rsid w:val="002D5A15"/>
    <w:rsid w:val="002D5BDD"/>
    <w:rsid w:val="002E3D27"/>
    <w:rsid w:val="002F0890"/>
    <w:rsid w:val="002F2531"/>
    <w:rsid w:val="002F4967"/>
    <w:rsid w:val="002F6D56"/>
    <w:rsid w:val="00316935"/>
    <w:rsid w:val="003266ED"/>
    <w:rsid w:val="00326C68"/>
    <w:rsid w:val="003370B8"/>
    <w:rsid w:val="00340A69"/>
    <w:rsid w:val="00340FBB"/>
    <w:rsid w:val="00345D38"/>
    <w:rsid w:val="00352097"/>
    <w:rsid w:val="003574B6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5650"/>
    <w:rsid w:val="003B5B99"/>
    <w:rsid w:val="003C2EA7"/>
    <w:rsid w:val="003C4471"/>
    <w:rsid w:val="003C7D41"/>
    <w:rsid w:val="003D12DE"/>
    <w:rsid w:val="003D4418"/>
    <w:rsid w:val="003D4A69"/>
    <w:rsid w:val="003E504F"/>
    <w:rsid w:val="003E78D6"/>
    <w:rsid w:val="00400573"/>
    <w:rsid w:val="004007A3"/>
    <w:rsid w:val="00406D71"/>
    <w:rsid w:val="00411047"/>
    <w:rsid w:val="00411CB3"/>
    <w:rsid w:val="00427836"/>
    <w:rsid w:val="004326DB"/>
    <w:rsid w:val="0043682E"/>
    <w:rsid w:val="004406C0"/>
    <w:rsid w:val="00447ECB"/>
    <w:rsid w:val="00451B83"/>
    <w:rsid w:val="00454AF6"/>
    <w:rsid w:val="004623F7"/>
    <w:rsid w:val="00466BD0"/>
    <w:rsid w:val="00480F51"/>
    <w:rsid w:val="00481124"/>
    <w:rsid w:val="004815EB"/>
    <w:rsid w:val="00487569"/>
    <w:rsid w:val="00496864"/>
    <w:rsid w:val="00496920"/>
    <w:rsid w:val="004A4496"/>
    <w:rsid w:val="004B11AB"/>
    <w:rsid w:val="004B2F12"/>
    <w:rsid w:val="004B4296"/>
    <w:rsid w:val="004B7C9A"/>
    <w:rsid w:val="004C6779"/>
    <w:rsid w:val="004D733B"/>
    <w:rsid w:val="004E0DC4"/>
    <w:rsid w:val="004E0FB5"/>
    <w:rsid w:val="004E2209"/>
    <w:rsid w:val="004E43BB"/>
    <w:rsid w:val="004E460D"/>
    <w:rsid w:val="004F178E"/>
    <w:rsid w:val="004F4543"/>
    <w:rsid w:val="004F57BB"/>
    <w:rsid w:val="004F7C7D"/>
    <w:rsid w:val="005028AF"/>
    <w:rsid w:val="00505309"/>
    <w:rsid w:val="0050789B"/>
    <w:rsid w:val="00511F30"/>
    <w:rsid w:val="005224A1"/>
    <w:rsid w:val="00534372"/>
    <w:rsid w:val="00543DF8"/>
    <w:rsid w:val="00546101"/>
    <w:rsid w:val="00553DD7"/>
    <w:rsid w:val="00563719"/>
    <w:rsid w:val="005638CF"/>
    <w:rsid w:val="0056741E"/>
    <w:rsid w:val="0057325A"/>
    <w:rsid w:val="0057469A"/>
    <w:rsid w:val="00575DC1"/>
    <w:rsid w:val="00580814"/>
    <w:rsid w:val="00583A0B"/>
    <w:rsid w:val="005A03A3"/>
    <w:rsid w:val="005A2B92"/>
    <w:rsid w:val="005A3F66"/>
    <w:rsid w:val="005A4A30"/>
    <w:rsid w:val="005A673F"/>
    <w:rsid w:val="005A79E9"/>
    <w:rsid w:val="005B214C"/>
    <w:rsid w:val="005B33FA"/>
    <w:rsid w:val="005B4CDA"/>
    <w:rsid w:val="005B535B"/>
    <w:rsid w:val="005B62F0"/>
    <w:rsid w:val="005D3669"/>
    <w:rsid w:val="005D3FC3"/>
    <w:rsid w:val="005D7CC6"/>
    <w:rsid w:val="005E5EB3"/>
    <w:rsid w:val="005F024F"/>
    <w:rsid w:val="005F3CB6"/>
    <w:rsid w:val="005F657C"/>
    <w:rsid w:val="00602D53"/>
    <w:rsid w:val="006047E5"/>
    <w:rsid w:val="00640425"/>
    <w:rsid w:val="0064371D"/>
    <w:rsid w:val="00650543"/>
    <w:rsid w:val="00650B2A"/>
    <w:rsid w:val="00651777"/>
    <w:rsid w:val="006550F8"/>
    <w:rsid w:val="006568AE"/>
    <w:rsid w:val="00667BEA"/>
    <w:rsid w:val="006829F3"/>
    <w:rsid w:val="0068438F"/>
    <w:rsid w:val="006850E3"/>
    <w:rsid w:val="006950BA"/>
    <w:rsid w:val="0069596D"/>
    <w:rsid w:val="006A518B"/>
    <w:rsid w:val="006A6F36"/>
    <w:rsid w:val="006B0590"/>
    <w:rsid w:val="006B49DA"/>
    <w:rsid w:val="006C53F8"/>
    <w:rsid w:val="006C7CDE"/>
    <w:rsid w:val="006E2B99"/>
    <w:rsid w:val="006F5327"/>
    <w:rsid w:val="006F76CE"/>
    <w:rsid w:val="00700A26"/>
    <w:rsid w:val="00701565"/>
    <w:rsid w:val="007151C1"/>
    <w:rsid w:val="0071555D"/>
    <w:rsid w:val="007234B1"/>
    <w:rsid w:val="00723D08"/>
    <w:rsid w:val="00725FDA"/>
    <w:rsid w:val="0072655F"/>
    <w:rsid w:val="00727816"/>
    <w:rsid w:val="00730B9A"/>
    <w:rsid w:val="00750CFA"/>
    <w:rsid w:val="00751261"/>
    <w:rsid w:val="007553DA"/>
    <w:rsid w:val="00773F7E"/>
    <w:rsid w:val="00775DB8"/>
    <w:rsid w:val="00782354"/>
    <w:rsid w:val="007921A7"/>
    <w:rsid w:val="007B3DB1"/>
    <w:rsid w:val="007C2E1E"/>
    <w:rsid w:val="007D14C0"/>
    <w:rsid w:val="007D183E"/>
    <w:rsid w:val="007D43D0"/>
    <w:rsid w:val="007E1833"/>
    <w:rsid w:val="007E3F13"/>
    <w:rsid w:val="007E44FC"/>
    <w:rsid w:val="007F751A"/>
    <w:rsid w:val="00800012"/>
    <w:rsid w:val="0080261F"/>
    <w:rsid w:val="00806160"/>
    <w:rsid w:val="008143A4"/>
    <w:rsid w:val="0081513E"/>
    <w:rsid w:val="00820BB7"/>
    <w:rsid w:val="00830F9F"/>
    <w:rsid w:val="00833423"/>
    <w:rsid w:val="00850D2F"/>
    <w:rsid w:val="00854131"/>
    <w:rsid w:val="0085652D"/>
    <w:rsid w:val="00865CA5"/>
    <w:rsid w:val="0087694B"/>
    <w:rsid w:val="00880F4D"/>
    <w:rsid w:val="00891EC6"/>
    <w:rsid w:val="00896B0F"/>
    <w:rsid w:val="008B35A3"/>
    <w:rsid w:val="008B37E1"/>
    <w:rsid w:val="008B448A"/>
    <w:rsid w:val="008B45F8"/>
    <w:rsid w:val="008C2B93"/>
    <w:rsid w:val="008C2E74"/>
    <w:rsid w:val="008D5409"/>
    <w:rsid w:val="008E006D"/>
    <w:rsid w:val="008E1F74"/>
    <w:rsid w:val="008E38B4"/>
    <w:rsid w:val="008F4F21"/>
    <w:rsid w:val="00904BB2"/>
    <w:rsid w:val="00904D4A"/>
    <w:rsid w:val="009076D7"/>
    <w:rsid w:val="009151BA"/>
    <w:rsid w:val="00925023"/>
    <w:rsid w:val="009277BC"/>
    <w:rsid w:val="00927D57"/>
    <w:rsid w:val="00931A51"/>
    <w:rsid w:val="009452A1"/>
    <w:rsid w:val="00946202"/>
    <w:rsid w:val="00947185"/>
    <w:rsid w:val="009518B3"/>
    <w:rsid w:val="00963D9D"/>
    <w:rsid w:val="0098013E"/>
    <w:rsid w:val="00981B54"/>
    <w:rsid w:val="009842C3"/>
    <w:rsid w:val="00984DAF"/>
    <w:rsid w:val="00985B01"/>
    <w:rsid w:val="009A009A"/>
    <w:rsid w:val="009A04F7"/>
    <w:rsid w:val="009A6BB6"/>
    <w:rsid w:val="009B3F43"/>
    <w:rsid w:val="009B5CFA"/>
    <w:rsid w:val="009B795D"/>
    <w:rsid w:val="009C161F"/>
    <w:rsid w:val="009C56B4"/>
    <w:rsid w:val="009D51A2"/>
    <w:rsid w:val="009E04A8"/>
    <w:rsid w:val="009E4AEC"/>
    <w:rsid w:val="009E5BD8"/>
    <w:rsid w:val="009E681E"/>
    <w:rsid w:val="009E7D67"/>
    <w:rsid w:val="00A02C87"/>
    <w:rsid w:val="00A041C2"/>
    <w:rsid w:val="00A04679"/>
    <w:rsid w:val="00A119E6"/>
    <w:rsid w:val="00A20FBC"/>
    <w:rsid w:val="00A31370"/>
    <w:rsid w:val="00A34827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D6106"/>
    <w:rsid w:val="00AE2D88"/>
    <w:rsid w:val="00AE6F6F"/>
    <w:rsid w:val="00AF3325"/>
    <w:rsid w:val="00AF34D9"/>
    <w:rsid w:val="00AF70DA"/>
    <w:rsid w:val="00B019D3"/>
    <w:rsid w:val="00B1791B"/>
    <w:rsid w:val="00B34CF9"/>
    <w:rsid w:val="00B37559"/>
    <w:rsid w:val="00B4054B"/>
    <w:rsid w:val="00B553D9"/>
    <w:rsid w:val="00B5550A"/>
    <w:rsid w:val="00B579B0"/>
    <w:rsid w:val="00B57D11"/>
    <w:rsid w:val="00B649D7"/>
    <w:rsid w:val="00B81C2F"/>
    <w:rsid w:val="00B90743"/>
    <w:rsid w:val="00B90C45"/>
    <w:rsid w:val="00B933BE"/>
    <w:rsid w:val="00B96F4C"/>
    <w:rsid w:val="00B97139"/>
    <w:rsid w:val="00BA0371"/>
    <w:rsid w:val="00BA43ED"/>
    <w:rsid w:val="00BB1024"/>
    <w:rsid w:val="00BB1FCF"/>
    <w:rsid w:val="00BC0464"/>
    <w:rsid w:val="00BD6738"/>
    <w:rsid w:val="00BD7E5E"/>
    <w:rsid w:val="00BE1C9D"/>
    <w:rsid w:val="00BE63DB"/>
    <w:rsid w:val="00BE6574"/>
    <w:rsid w:val="00C04533"/>
    <w:rsid w:val="00C07319"/>
    <w:rsid w:val="00C16FD2"/>
    <w:rsid w:val="00C42068"/>
    <w:rsid w:val="00C4395E"/>
    <w:rsid w:val="00C47FFD"/>
    <w:rsid w:val="00C51E92"/>
    <w:rsid w:val="00C57E2C"/>
    <w:rsid w:val="00C608B7"/>
    <w:rsid w:val="00C66F24"/>
    <w:rsid w:val="00C76D7F"/>
    <w:rsid w:val="00C813AA"/>
    <w:rsid w:val="00C83B3B"/>
    <w:rsid w:val="00C8718D"/>
    <w:rsid w:val="00C9291E"/>
    <w:rsid w:val="00CA0288"/>
    <w:rsid w:val="00CA3F44"/>
    <w:rsid w:val="00CA4E58"/>
    <w:rsid w:val="00CB3771"/>
    <w:rsid w:val="00CB44BF"/>
    <w:rsid w:val="00CB5153"/>
    <w:rsid w:val="00CC354B"/>
    <w:rsid w:val="00CC5272"/>
    <w:rsid w:val="00CC74D3"/>
    <w:rsid w:val="00CE076A"/>
    <w:rsid w:val="00CE463D"/>
    <w:rsid w:val="00D00F3E"/>
    <w:rsid w:val="00D10BA0"/>
    <w:rsid w:val="00D21694"/>
    <w:rsid w:val="00D21C31"/>
    <w:rsid w:val="00D24EB5"/>
    <w:rsid w:val="00D35AB9"/>
    <w:rsid w:val="00D41571"/>
    <w:rsid w:val="00D416A0"/>
    <w:rsid w:val="00D4649E"/>
    <w:rsid w:val="00D46A71"/>
    <w:rsid w:val="00D47672"/>
    <w:rsid w:val="00D5123C"/>
    <w:rsid w:val="00D55560"/>
    <w:rsid w:val="00D573AA"/>
    <w:rsid w:val="00D61C5A"/>
    <w:rsid w:val="00D6790C"/>
    <w:rsid w:val="00D73277"/>
    <w:rsid w:val="00D76586"/>
    <w:rsid w:val="00D82657"/>
    <w:rsid w:val="00D83994"/>
    <w:rsid w:val="00D87E20"/>
    <w:rsid w:val="00D93ABB"/>
    <w:rsid w:val="00DA4037"/>
    <w:rsid w:val="00DD39D9"/>
    <w:rsid w:val="00DD6BEE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390"/>
    <w:rsid w:val="00E520E2"/>
    <w:rsid w:val="00E530C4"/>
    <w:rsid w:val="00E53DCE"/>
    <w:rsid w:val="00E55996"/>
    <w:rsid w:val="00E64254"/>
    <w:rsid w:val="00E67928"/>
    <w:rsid w:val="00E70FB5"/>
    <w:rsid w:val="00E849E0"/>
    <w:rsid w:val="00E915AF"/>
    <w:rsid w:val="00E96415"/>
    <w:rsid w:val="00EA15B3"/>
    <w:rsid w:val="00EA561E"/>
    <w:rsid w:val="00EB2358"/>
    <w:rsid w:val="00EB3EB8"/>
    <w:rsid w:val="00EC00EF"/>
    <w:rsid w:val="00EC02FE"/>
    <w:rsid w:val="00EC278B"/>
    <w:rsid w:val="00EC4A96"/>
    <w:rsid w:val="00EE03A0"/>
    <w:rsid w:val="00EE1A57"/>
    <w:rsid w:val="00EE449D"/>
    <w:rsid w:val="00EE5CF6"/>
    <w:rsid w:val="00EE67A5"/>
    <w:rsid w:val="00EF37C5"/>
    <w:rsid w:val="00F0005A"/>
    <w:rsid w:val="00F424BF"/>
    <w:rsid w:val="00F44FC3"/>
    <w:rsid w:val="00F46107"/>
    <w:rsid w:val="00F468C5"/>
    <w:rsid w:val="00F52F39"/>
    <w:rsid w:val="00F6184F"/>
    <w:rsid w:val="00F66060"/>
    <w:rsid w:val="00F72DCB"/>
    <w:rsid w:val="00F766FB"/>
    <w:rsid w:val="00F8310E"/>
    <w:rsid w:val="00F914DD"/>
    <w:rsid w:val="00F93731"/>
    <w:rsid w:val="00FA2358"/>
    <w:rsid w:val="00FB2592"/>
    <w:rsid w:val="00FB2810"/>
    <w:rsid w:val="00FB7A2C"/>
    <w:rsid w:val="00FC2947"/>
    <w:rsid w:val="00FD4EB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168CEE5C-8205-4105-8E51-E53EEBD3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04F59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04F59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004F59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004F5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04F59"/>
    <w:pPr>
      <w:outlineLvl w:val="4"/>
    </w:pPr>
  </w:style>
  <w:style w:type="paragraph" w:styleId="Heading6">
    <w:name w:val="heading 6"/>
    <w:basedOn w:val="Heading4"/>
    <w:next w:val="Normal"/>
    <w:qFormat/>
    <w:rsid w:val="00004F5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04F59"/>
    <w:pPr>
      <w:outlineLvl w:val="6"/>
    </w:pPr>
  </w:style>
  <w:style w:type="paragraph" w:styleId="Heading8">
    <w:name w:val="heading 8"/>
    <w:basedOn w:val="Heading6"/>
    <w:next w:val="Normal"/>
    <w:qFormat/>
    <w:rsid w:val="00004F59"/>
    <w:pPr>
      <w:outlineLvl w:val="7"/>
    </w:pPr>
  </w:style>
  <w:style w:type="paragraph" w:styleId="Heading9">
    <w:name w:val="heading 9"/>
    <w:basedOn w:val="Heading6"/>
    <w:next w:val="Normal"/>
    <w:qFormat/>
    <w:rsid w:val="00004F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04F59"/>
  </w:style>
  <w:style w:type="paragraph" w:styleId="TOC4">
    <w:name w:val="toc 4"/>
    <w:basedOn w:val="TOC3"/>
    <w:semiHidden/>
    <w:rsid w:val="00004F59"/>
  </w:style>
  <w:style w:type="paragraph" w:styleId="TOC3">
    <w:name w:val="toc 3"/>
    <w:basedOn w:val="TOC2"/>
    <w:semiHidden/>
    <w:rsid w:val="00004F59"/>
  </w:style>
  <w:style w:type="paragraph" w:styleId="TOC2">
    <w:name w:val="toc 2"/>
    <w:basedOn w:val="TOC1"/>
    <w:semiHidden/>
    <w:rsid w:val="00004F59"/>
    <w:pPr>
      <w:spacing w:before="80"/>
      <w:ind w:left="1531" w:hanging="851"/>
    </w:pPr>
  </w:style>
  <w:style w:type="paragraph" w:styleId="TOC1">
    <w:name w:val="toc 1"/>
    <w:basedOn w:val="Normal"/>
    <w:semiHidden/>
    <w:rsid w:val="00004F5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04F59"/>
  </w:style>
  <w:style w:type="paragraph" w:styleId="TOC6">
    <w:name w:val="toc 6"/>
    <w:basedOn w:val="TOC4"/>
    <w:semiHidden/>
    <w:rsid w:val="00004F59"/>
  </w:style>
  <w:style w:type="paragraph" w:styleId="TOC5">
    <w:name w:val="toc 5"/>
    <w:basedOn w:val="TOC4"/>
    <w:semiHidden/>
    <w:rsid w:val="00004F59"/>
  </w:style>
  <w:style w:type="paragraph" w:styleId="Footer">
    <w:name w:val="footer"/>
    <w:basedOn w:val="Normal"/>
    <w:link w:val="FooterChar"/>
    <w:uiPriority w:val="99"/>
    <w:rsid w:val="00004F59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004F5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004F59"/>
    <w:rPr>
      <w:position w:val="6"/>
      <w:sz w:val="18"/>
    </w:rPr>
  </w:style>
  <w:style w:type="paragraph" w:styleId="FootnoteText">
    <w:name w:val="footnote text"/>
    <w:basedOn w:val="Note"/>
    <w:semiHidden/>
    <w:rsid w:val="00004F5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04F59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004F59"/>
    <w:pPr>
      <w:spacing w:before="80"/>
      <w:ind w:left="794" w:hanging="794"/>
    </w:pPr>
  </w:style>
  <w:style w:type="paragraph" w:customStyle="1" w:styleId="enumlev2">
    <w:name w:val="enumlev2"/>
    <w:basedOn w:val="enumlev1"/>
    <w:rsid w:val="00004F59"/>
    <w:pPr>
      <w:ind w:left="1191" w:hanging="397"/>
    </w:pPr>
  </w:style>
  <w:style w:type="paragraph" w:customStyle="1" w:styleId="enumlev3">
    <w:name w:val="enumlev3"/>
    <w:basedOn w:val="enumlev2"/>
    <w:rsid w:val="00004F59"/>
    <w:pPr>
      <w:ind w:left="1588"/>
    </w:pPr>
  </w:style>
  <w:style w:type="paragraph" w:customStyle="1" w:styleId="Equation">
    <w:name w:val="Equation"/>
    <w:basedOn w:val="Normal"/>
    <w:rsid w:val="00004F59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04F59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04F5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04F59"/>
  </w:style>
  <w:style w:type="paragraph" w:customStyle="1" w:styleId="Chaptitle">
    <w:name w:val="Chap_title"/>
    <w:basedOn w:val="Normal"/>
    <w:next w:val="Normalaftertitl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004F59"/>
    <w:pPr>
      <w:spacing w:before="400"/>
    </w:pPr>
  </w:style>
  <w:style w:type="character" w:styleId="PageNumber">
    <w:name w:val="page number"/>
    <w:basedOn w:val="DefaultParagraphFont"/>
    <w:rsid w:val="00004F59"/>
  </w:style>
  <w:style w:type="paragraph" w:customStyle="1" w:styleId="Reftitle">
    <w:name w:val="Ref_title"/>
    <w:basedOn w:val="Normal"/>
    <w:next w:val="Reftext"/>
    <w:rsid w:val="00004F59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004F59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004F59"/>
    <w:pPr>
      <w:jc w:val="left"/>
    </w:pPr>
  </w:style>
  <w:style w:type="paragraph" w:customStyle="1" w:styleId="Formal">
    <w:name w:val="Formal"/>
    <w:basedOn w:val="ASN1"/>
    <w:rsid w:val="00004F59"/>
    <w:rPr>
      <w:b w:val="0"/>
    </w:rPr>
  </w:style>
  <w:style w:type="paragraph" w:customStyle="1" w:styleId="AnnexNoTitle">
    <w:name w:val="Annex_NoTitle"/>
    <w:basedOn w:val="Normal"/>
    <w:next w:val="Normalaftertitle"/>
    <w:rsid w:val="00004F59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004F59"/>
  </w:style>
  <w:style w:type="paragraph" w:customStyle="1" w:styleId="Artheading">
    <w:name w:val="Art_heading"/>
    <w:basedOn w:val="Normal"/>
    <w:next w:val="Normalaftertitle"/>
    <w:rsid w:val="00004F5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04F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04F5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04F59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004F5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004F5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004F5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04F59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004F5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04F59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004F59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004F59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04F59"/>
    <w:pPr>
      <w:ind w:left="567"/>
      <w:jc w:val="left"/>
    </w:pPr>
  </w:style>
  <w:style w:type="paragraph" w:customStyle="1" w:styleId="PartNo">
    <w:name w:val="Part_No"/>
    <w:basedOn w:val="Normal"/>
    <w:next w:val="Partref"/>
    <w:rsid w:val="00004F59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004F5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04F59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04F59"/>
  </w:style>
  <w:style w:type="paragraph" w:customStyle="1" w:styleId="RecNo">
    <w:name w:val="Rec_No"/>
    <w:basedOn w:val="Normal"/>
    <w:next w:val="Rectitle"/>
    <w:rsid w:val="00004F59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04F59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04F59"/>
  </w:style>
  <w:style w:type="paragraph" w:customStyle="1" w:styleId="Questiontitle">
    <w:name w:val="Question_title"/>
    <w:basedOn w:val="Rectitle"/>
    <w:next w:val="Questionref"/>
    <w:rsid w:val="00004F59"/>
  </w:style>
  <w:style w:type="paragraph" w:customStyle="1" w:styleId="Questionref">
    <w:name w:val="Question_ref"/>
    <w:basedOn w:val="Recref"/>
    <w:next w:val="Questiondate"/>
    <w:rsid w:val="00004F59"/>
  </w:style>
  <w:style w:type="paragraph" w:customStyle="1" w:styleId="Recref">
    <w:name w:val="Rec_ref"/>
    <w:basedOn w:val="Normal"/>
    <w:next w:val="Recdat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004F59"/>
  </w:style>
  <w:style w:type="paragraph" w:customStyle="1" w:styleId="RepNo">
    <w:name w:val="Rep_No"/>
    <w:basedOn w:val="RecNo"/>
    <w:next w:val="Reptitle"/>
    <w:rsid w:val="00004F59"/>
  </w:style>
  <w:style w:type="paragraph" w:customStyle="1" w:styleId="Reptitle">
    <w:name w:val="Rep_title"/>
    <w:basedOn w:val="Rectitle"/>
    <w:next w:val="Repref"/>
    <w:rsid w:val="00004F59"/>
  </w:style>
  <w:style w:type="paragraph" w:customStyle="1" w:styleId="Repref">
    <w:name w:val="Rep_ref"/>
    <w:basedOn w:val="Recref"/>
    <w:next w:val="Repdate"/>
    <w:rsid w:val="00004F59"/>
  </w:style>
  <w:style w:type="paragraph" w:customStyle="1" w:styleId="Resdate">
    <w:name w:val="Res_date"/>
    <w:basedOn w:val="Recdate"/>
    <w:next w:val="Normalaftertitle"/>
    <w:rsid w:val="00004F59"/>
  </w:style>
  <w:style w:type="paragraph" w:customStyle="1" w:styleId="ResNo">
    <w:name w:val="Res_No"/>
    <w:basedOn w:val="RecNo"/>
    <w:next w:val="Restitle"/>
    <w:rsid w:val="00004F5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004F59"/>
  </w:style>
  <w:style w:type="paragraph" w:customStyle="1" w:styleId="Resref">
    <w:name w:val="Res_ref"/>
    <w:basedOn w:val="Recref"/>
    <w:next w:val="Resdate"/>
    <w:rsid w:val="00004F59"/>
  </w:style>
  <w:style w:type="paragraph" w:customStyle="1" w:styleId="SectionNo">
    <w:name w:val="Section_No"/>
    <w:basedOn w:val="Normal"/>
    <w:next w:val="Sectiontitle"/>
    <w:rsid w:val="00004F5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04F5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04F5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004F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004F5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004F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004F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004F5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004F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04F59"/>
  </w:style>
  <w:style w:type="paragraph" w:customStyle="1" w:styleId="Title3">
    <w:name w:val="Title 3"/>
    <w:basedOn w:val="Title2"/>
    <w:next w:val="Title4"/>
    <w:rsid w:val="00004F59"/>
    <w:rPr>
      <w:caps w:val="0"/>
    </w:rPr>
  </w:style>
  <w:style w:type="paragraph" w:customStyle="1" w:styleId="Title4">
    <w:name w:val="Title 4"/>
    <w:basedOn w:val="Title3"/>
    <w:next w:val="Heading1"/>
    <w:rsid w:val="00004F59"/>
    <w:rPr>
      <w:b/>
    </w:rPr>
  </w:style>
  <w:style w:type="paragraph" w:customStyle="1" w:styleId="Section1">
    <w:name w:val="Section_1"/>
    <w:basedOn w:val="Normal"/>
    <w:next w:val="Normal"/>
    <w:rsid w:val="00004F5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04F5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004F5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04F59"/>
    <w:rPr>
      <w:sz w:val="16"/>
      <w:szCs w:val="16"/>
    </w:rPr>
  </w:style>
  <w:style w:type="paragraph" w:styleId="CommentText">
    <w:name w:val="annotation text"/>
    <w:basedOn w:val="Normal"/>
    <w:semiHidden/>
    <w:rsid w:val="00004F59"/>
    <w:rPr>
      <w:sz w:val="20"/>
    </w:rPr>
  </w:style>
  <w:style w:type="character" w:customStyle="1" w:styleId="href">
    <w:name w:val="href"/>
    <w:basedOn w:val="DefaultParagraphFont"/>
    <w:rsid w:val="00004F59"/>
  </w:style>
  <w:style w:type="paragraph" w:customStyle="1" w:styleId="NormalIndent">
    <w:name w:val="Normal_Indent"/>
    <w:basedOn w:val="Normal"/>
    <w:rsid w:val="00004F59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004F59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04F5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F59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F59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004F59"/>
    <w:rPr>
      <w:b/>
      <w:bCs/>
    </w:rPr>
  </w:style>
  <w:style w:type="paragraph" w:styleId="BodyText">
    <w:name w:val="Body Text"/>
    <w:basedOn w:val="Normal"/>
    <w:link w:val="BodyTextChar"/>
    <w:rsid w:val="002641B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641BD"/>
    <w:rPr>
      <w:sz w:val="22"/>
      <w:szCs w:val="22"/>
      <w:lang w:val="en-US" w:eastAsia="en-US"/>
    </w:rPr>
  </w:style>
  <w:style w:type="paragraph" w:customStyle="1" w:styleId="Default">
    <w:name w:val="Default"/>
    <w:rsid w:val="002641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2641BD"/>
    <w:rPr>
      <w:color w:val="000000"/>
    </w:rPr>
  </w:style>
  <w:style w:type="character" w:styleId="FollowedHyperlink">
    <w:name w:val="FollowedHyperlink"/>
    <w:basedOn w:val="DefaultParagraphFont"/>
    <w:rsid w:val="00575DC1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4E22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5B99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89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9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CA5"/>
    <w:pPr>
      <w:ind w:left="720"/>
      <w:contextualSpacing/>
    </w:pPr>
  </w:style>
  <w:style w:type="paragraph" w:customStyle="1" w:styleId="enumalBefore0cm">
    <w:name w:val="enumal + Before:  0 cm"/>
    <w:aliases w:val="Hanging:  1.4 cm,Before:  4 pt"/>
    <w:basedOn w:val="Normal"/>
    <w:rsid w:val="00340FBB"/>
    <w:pPr>
      <w:spacing w:before="80"/>
      <w:ind w:left="794" w:hanging="794"/>
    </w:pPr>
    <w:rPr>
      <w:lang w:val="fr-CH"/>
    </w:rPr>
  </w:style>
  <w:style w:type="character" w:customStyle="1" w:styleId="FooterChar">
    <w:name w:val="Footer Char"/>
    <w:basedOn w:val="DefaultParagraphFont"/>
    <w:link w:val="Footer"/>
    <w:uiPriority w:val="99"/>
    <w:rsid w:val="0071555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res40-form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brmail@itu.int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res40" TargetMode="External"/><Relationship Id="rId1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4626-C63F-4D17-95FA-9DEE3DF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0</TotalTime>
  <Pages>3</Pages>
  <Words>891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Anghelone, Christine</cp:lastModifiedBy>
  <cp:revision>2</cp:revision>
  <cp:lastPrinted>2016-03-29T07:25:00Z</cp:lastPrinted>
  <dcterms:created xsi:type="dcterms:W3CDTF">2016-03-30T14:02:00Z</dcterms:created>
  <dcterms:modified xsi:type="dcterms:W3CDTF">2016-03-30T14:02:00Z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