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378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224F90" w:rsidRPr="002C73A0" w:rsidTr="008A2908">
        <w:tc>
          <w:tcPr>
            <w:tcW w:w="9889" w:type="dxa"/>
            <w:gridSpan w:val="3"/>
            <w:shd w:val="clear" w:color="auto" w:fill="auto"/>
          </w:tcPr>
          <w:p w:rsidR="00224F90" w:rsidRDefault="00224F90" w:rsidP="008A2908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 w:rsidRPr="002C73A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 w:rsidRPr="002C73A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Bureau (BR)</w:t>
            </w:r>
          </w:p>
          <w:p w:rsidR="00224F90" w:rsidRDefault="00224F90" w:rsidP="008A2908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224F90" w:rsidRPr="002C73A0" w:rsidRDefault="00224F90" w:rsidP="008A2908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224F90" w:rsidRPr="002C73A0" w:rsidTr="008A2908">
        <w:tc>
          <w:tcPr>
            <w:tcW w:w="7054" w:type="dxa"/>
            <w:gridSpan w:val="2"/>
            <w:shd w:val="clear" w:color="auto" w:fill="auto"/>
          </w:tcPr>
          <w:p w:rsidR="00224F90" w:rsidRPr="002C73A0" w:rsidRDefault="00224F90" w:rsidP="008A2908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 w:rsidRPr="002C73A0">
              <w:rPr>
                <w:sz w:val="24"/>
                <w:szCs w:val="24"/>
                <w:lang w:val="fr-CH"/>
              </w:rPr>
              <w:t>Circular</w:t>
            </w:r>
            <w:proofErr w:type="spellEnd"/>
            <w:r w:rsidRPr="002C73A0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2C73A0"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:rsidR="00224F90" w:rsidRPr="002C73A0" w:rsidRDefault="00224F90" w:rsidP="008A2908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2C73A0">
              <w:rPr>
                <w:b/>
                <w:bCs/>
                <w:sz w:val="24"/>
                <w:szCs w:val="24"/>
                <w:lang w:val="fr-CH"/>
              </w:rPr>
              <w:t>CR/</w:t>
            </w:r>
            <w:r>
              <w:rPr>
                <w:b/>
                <w:bCs/>
                <w:sz w:val="24"/>
                <w:szCs w:val="24"/>
                <w:lang w:val="fr-CH"/>
              </w:rPr>
              <w:t>403</w:t>
            </w:r>
          </w:p>
        </w:tc>
        <w:tc>
          <w:tcPr>
            <w:tcW w:w="2835" w:type="dxa"/>
            <w:shd w:val="clear" w:color="auto" w:fill="auto"/>
          </w:tcPr>
          <w:p w:rsidR="00224F90" w:rsidRPr="002C73A0" w:rsidRDefault="00224F90" w:rsidP="008A2908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 July</w:t>
            </w:r>
            <w:r w:rsidRPr="002C73A0">
              <w:rPr>
                <w:sz w:val="24"/>
                <w:szCs w:val="24"/>
                <w:lang w:val="en-GB"/>
              </w:rPr>
              <w:t xml:space="preserve"> 2016</w:t>
            </w:r>
          </w:p>
        </w:tc>
      </w:tr>
      <w:tr w:rsidR="00224F90" w:rsidRPr="002C73A0" w:rsidTr="008A2908">
        <w:tc>
          <w:tcPr>
            <w:tcW w:w="9889" w:type="dxa"/>
            <w:gridSpan w:val="3"/>
            <w:shd w:val="clear" w:color="auto" w:fill="auto"/>
          </w:tcPr>
          <w:p w:rsidR="00224F90" w:rsidRPr="002C73A0" w:rsidRDefault="00224F90" w:rsidP="008A2908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24F90" w:rsidRPr="002C73A0" w:rsidTr="008A2908">
        <w:tc>
          <w:tcPr>
            <w:tcW w:w="9889" w:type="dxa"/>
            <w:gridSpan w:val="3"/>
            <w:shd w:val="clear" w:color="auto" w:fill="auto"/>
          </w:tcPr>
          <w:p w:rsidR="00224F90" w:rsidRPr="002C73A0" w:rsidRDefault="00224F90" w:rsidP="008A290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224F90" w:rsidRPr="002C73A0" w:rsidTr="008A2908">
        <w:tc>
          <w:tcPr>
            <w:tcW w:w="9889" w:type="dxa"/>
            <w:gridSpan w:val="3"/>
            <w:shd w:val="clear" w:color="auto" w:fill="auto"/>
          </w:tcPr>
          <w:p w:rsidR="00224F90" w:rsidRPr="002C73A0" w:rsidRDefault="00224F90" w:rsidP="008A290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2C73A0">
              <w:rPr>
                <w:b/>
                <w:bCs/>
                <w:sz w:val="24"/>
                <w:szCs w:val="24"/>
              </w:rPr>
              <w:t xml:space="preserve">To </w:t>
            </w:r>
            <w:r>
              <w:rPr>
                <w:b/>
                <w:bCs/>
                <w:sz w:val="24"/>
                <w:szCs w:val="24"/>
              </w:rPr>
              <w:t xml:space="preserve">the </w:t>
            </w:r>
            <w:r w:rsidRPr="002C73A0">
              <w:rPr>
                <w:b/>
                <w:bCs/>
                <w:sz w:val="24"/>
                <w:szCs w:val="24"/>
              </w:rPr>
              <w:t>Administrations of</w:t>
            </w:r>
            <w:r>
              <w:rPr>
                <w:b/>
                <w:bCs/>
                <w:sz w:val="24"/>
                <w:szCs w:val="24"/>
              </w:rPr>
              <w:t xml:space="preserve"> ITU Member States</w:t>
            </w:r>
          </w:p>
          <w:p w:rsidR="00224F90" w:rsidRPr="002C73A0" w:rsidRDefault="00224F90" w:rsidP="008A290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="00224F90" w:rsidRPr="002C73A0" w:rsidRDefault="00224F90" w:rsidP="008A290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24F90" w:rsidRPr="002C73A0" w:rsidTr="008A2908">
        <w:tc>
          <w:tcPr>
            <w:tcW w:w="9889" w:type="dxa"/>
            <w:gridSpan w:val="3"/>
            <w:shd w:val="clear" w:color="auto" w:fill="auto"/>
          </w:tcPr>
          <w:p w:rsidR="00224F90" w:rsidRPr="002C73A0" w:rsidRDefault="00224F90" w:rsidP="008A290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224F90" w:rsidRPr="002C73A0" w:rsidTr="008A2908">
        <w:tc>
          <w:tcPr>
            <w:tcW w:w="9889" w:type="dxa"/>
            <w:gridSpan w:val="3"/>
            <w:shd w:val="clear" w:color="auto" w:fill="auto"/>
          </w:tcPr>
          <w:p w:rsidR="00224F90" w:rsidRPr="002C73A0" w:rsidRDefault="00224F90" w:rsidP="008A290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224F90" w:rsidRPr="002C73A0" w:rsidTr="008A2908">
        <w:tc>
          <w:tcPr>
            <w:tcW w:w="1526" w:type="dxa"/>
            <w:shd w:val="clear" w:color="auto" w:fill="auto"/>
          </w:tcPr>
          <w:p w:rsidR="00224F90" w:rsidRPr="002C73A0" w:rsidRDefault="00224F90" w:rsidP="008A2908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2C73A0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224F90" w:rsidRPr="00F5110F" w:rsidRDefault="00224F90" w:rsidP="008A2908">
            <w:pPr>
              <w:spacing w:before="0" w:after="120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F5110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Implementation of decisions of the World </w:t>
            </w:r>
            <w:proofErr w:type="spellStart"/>
            <w:r w:rsidRPr="00F5110F">
              <w:rPr>
                <w:rFonts w:asciiTheme="minorHAnsi" w:hAnsiTheme="minorHAnsi"/>
                <w:b/>
                <w:bCs/>
                <w:sz w:val="24"/>
                <w:szCs w:val="24"/>
              </w:rPr>
              <w:t>Radiocommunication</w:t>
            </w:r>
            <w:proofErr w:type="spellEnd"/>
            <w:r w:rsidRPr="00F5110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Conference, Geneva, 2015 (WRC-15) and associated transitional arrangements related to space services</w:t>
            </w:r>
          </w:p>
        </w:tc>
      </w:tr>
      <w:tr w:rsidR="00224F90" w:rsidRPr="002C73A0" w:rsidTr="008A2908">
        <w:tc>
          <w:tcPr>
            <w:tcW w:w="1526" w:type="dxa"/>
            <w:shd w:val="clear" w:color="auto" w:fill="auto"/>
          </w:tcPr>
          <w:p w:rsidR="00224F90" w:rsidRPr="002C73A0" w:rsidRDefault="00224F90" w:rsidP="008A2908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224F90" w:rsidRPr="002C73A0" w:rsidRDefault="00224F90" w:rsidP="008A2908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224F90" w:rsidRPr="002C73A0" w:rsidTr="008A2908">
        <w:tc>
          <w:tcPr>
            <w:tcW w:w="1526" w:type="dxa"/>
            <w:shd w:val="clear" w:color="auto" w:fill="auto"/>
          </w:tcPr>
          <w:p w:rsidR="00224F90" w:rsidRPr="002C73A0" w:rsidRDefault="00224F90" w:rsidP="008A2908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224F90" w:rsidRPr="002C73A0" w:rsidRDefault="00224F90" w:rsidP="008A2908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224F90" w:rsidRPr="002C73A0" w:rsidTr="008A2908">
        <w:tc>
          <w:tcPr>
            <w:tcW w:w="9889" w:type="dxa"/>
            <w:gridSpan w:val="3"/>
            <w:shd w:val="clear" w:color="auto" w:fill="auto"/>
          </w:tcPr>
          <w:p w:rsidR="00224F90" w:rsidRPr="002C73A0" w:rsidRDefault="00224F90" w:rsidP="008A290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224F90" w:rsidRPr="00F5110F" w:rsidRDefault="00224F90" w:rsidP="00224F9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after="240" w:line="240" w:lineRule="auto"/>
        <w:ind w:left="142"/>
        <w:textAlignment w:val="auto"/>
        <w:rPr>
          <w:rFonts w:asciiTheme="minorHAnsi" w:eastAsia="SimSun" w:hAnsiTheme="minorHAnsi"/>
          <w:sz w:val="24"/>
          <w:szCs w:val="24"/>
          <w:lang w:eastAsia="zh-CN"/>
        </w:rPr>
      </w:pP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The World </w:t>
      </w:r>
      <w:proofErr w:type="spellStart"/>
      <w:r w:rsidRPr="00F5110F">
        <w:rPr>
          <w:rFonts w:asciiTheme="minorHAnsi" w:eastAsia="SimSun" w:hAnsiTheme="minorHAnsi"/>
          <w:sz w:val="24"/>
          <w:szCs w:val="24"/>
          <w:lang w:eastAsia="zh-CN"/>
        </w:rPr>
        <w:t>Radiocommunication</w:t>
      </w:r>
      <w:proofErr w:type="spellEnd"/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 Conference, Geneva, 2015 (</w:t>
      </w:r>
      <w:r w:rsidRPr="00F5110F">
        <w:rPr>
          <w:rFonts w:asciiTheme="minorHAnsi" w:eastAsia="SimSun" w:hAnsiTheme="minorHAnsi"/>
          <w:b/>
          <w:bCs/>
          <w:sz w:val="24"/>
          <w:szCs w:val="24"/>
          <w:lang w:eastAsia="zh-CN"/>
        </w:rPr>
        <w:t>WRC-15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>) adopted a partial revision of the Radio Regulations and decided that the revised provisions shal</w:t>
      </w:r>
      <w:r>
        <w:rPr>
          <w:rFonts w:asciiTheme="minorHAnsi" w:eastAsia="SimSun" w:hAnsiTheme="minorHAnsi"/>
          <w:sz w:val="24"/>
          <w:szCs w:val="24"/>
          <w:lang w:eastAsia="zh-CN"/>
        </w:rPr>
        <w:t>l enter into force on 1 January 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2017, with the exception of those provisions for which another date was specifically indicated. </w:t>
      </w:r>
      <w:r>
        <w:rPr>
          <w:rFonts w:asciiTheme="minorHAnsi" w:eastAsia="SimSun" w:hAnsiTheme="minorHAnsi"/>
          <w:sz w:val="24"/>
          <w:szCs w:val="24"/>
          <w:lang w:eastAsia="zh-CN"/>
        </w:rPr>
        <w:t>The purpose of this circular l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etter is to highlight </w:t>
      </w:r>
      <w:r>
        <w:rPr>
          <w:rFonts w:asciiTheme="minorHAnsi" w:eastAsia="SimSun" w:hAnsiTheme="minorHAnsi"/>
          <w:sz w:val="24"/>
          <w:szCs w:val="24"/>
          <w:lang w:eastAsia="zh-CN"/>
        </w:rPr>
        <w:t>certain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 decisions of the </w:t>
      </w:r>
      <w:r>
        <w:rPr>
          <w:rFonts w:asciiTheme="minorHAnsi" w:eastAsia="SimSun" w:hAnsiTheme="minorHAnsi"/>
          <w:sz w:val="24"/>
          <w:szCs w:val="24"/>
          <w:lang w:eastAsia="zh-CN"/>
        </w:rPr>
        <w:t>c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>onference relat</w:t>
      </w:r>
      <w:r>
        <w:rPr>
          <w:rFonts w:asciiTheme="minorHAnsi" w:eastAsia="SimSun" w:hAnsiTheme="minorHAnsi"/>
          <w:sz w:val="24"/>
          <w:szCs w:val="24"/>
          <w:lang w:eastAsia="zh-CN"/>
        </w:rPr>
        <w:t>ing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 to space services with a view to facilitating their implementation. For the complete list of decisions, please refer to the Final Acts of the </w:t>
      </w:r>
      <w:r>
        <w:rPr>
          <w:rFonts w:asciiTheme="minorHAnsi" w:eastAsia="SimSun" w:hAnsiTheme="minorHAnsi"/>
          <w:sz w:val="24"/>
          <w:szCs w:val="24"/>
          <w:lang w:eastAsia="zh-CN"/>
        </w:rPr>
        <w:t>c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onference. </w:t>
      </w:r>
    </w:p>
    <w:p w:rsidR="00224F90" w:rsidRPr="00F5110F" w:rsidRDefault="00224F90" w:rsidP="00321A7D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after="240" w:line="240" w:lineRule="auto"/>
        <w:ind w:left="142"/>
        <w:textAlignment w:val="auto"/>
        <w:rPr>
          <w:rFonts w:asciiTheme="minorHAnsi" w:eastAsia="SimSun" w:hAnsiTheme="minorHAnsi"/>
          <w:sz w:val="24"/>
          <w:szCs w:val="24"/>
          <w:lang w:eastAsia="zh-CN"/>
        </w:rPr>
      </w:pPr>
      <w:r>
        <w:rPr>
          <w:rFonts w:asciiTheme="minorHAnsi" w:eastAsia="SimSun" w:hAnsiTheme="minorHAnsi"/>
          <w:sz w:val="24"/>
          <w:szCs w:val="24"/>
          <w:lang w:eastAsia="zh-CN"/>
        </w:rPr>
        <w:t>This circular l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etter should be read in conjunction with Circular Letters CR/389 of 29 January 2016 </w:t>
      </w:r>
      <w:r>
        <w:rPr>
          <w:rFonts w:asciiTheme="minorHAnsi" w:eastAsia="SimSun" w:hAnsiTheme="minorHAnsi"/>
          <w:sz w:val="24"/>
          <w:szCs w:val="24"/>
          <w:lang w:eastAsia="zh-CN"/>
        </w:rPr>
        <w:t>on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 WR</w:t>
      </w:r>
      <w:r>
        <w:rPr>
          <w:rFonts w:asciiTheme="minorHAnsi" w:eastAsia="SimSun" w:hAnsiTheme="minorHAnsi"/>
          <w:sz w:val="24"/>
          <w:szCs w:val="24"/>
          <w:lang w:eastAsia="zh-CN"/>
        </w:rPr>
        <w:t>C-15 decisions included in the minutes of p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>lenary meetings, CR/393 of 18</w:t>
      </w:r>
      <w:r>
        <w:rPr>
          <w:rFonts w:asciiTheme="minorHAnsi" w:eastAsia="SimSun" w:hAnsiTheme="minorHAnsi"/>
          <w:sz w:val="24"/>
          <w:szCs w:val="24"/>
          <w:lang w:eastAsia="zh-CN"/>
        </w:rPr>
        <w:t> 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>March</w:t>
      </w:r>
      <w:r>
        <w:rPr>
          <w:rFonts w:asciiTheme="minorHAnsi" w:eastAsia="SimSun" w:hAnsiTheme="minorHAnsi"/>
          <w:sz w:val="24"/>
          <w:szCs w:val="24"/>
          <w:lang w:eastAsia="zh-CN"/>
        </w:rPr>
        <w:t> 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>2016</w:t>
      </w:r>
      <w:r>
        <w:rPr>
          <w:rFonts w:asciiTheme="minorHAnsi" w:eastAsia="SimSun" w:hAnsiTheme="minorHAnsi"/>
          <w:sz w:val="24"/>
          <w:szCs w:val="24"/>
          <w:lang w:eastAsia="zh-CN"/>
        </w:rPr>
        <w:t xml:space="preserve"> on the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 introduction of a new class of station symbol UF, CR/394 of 18 March 2016</w:t>
      </w:r>
      <w:r>
        <w:rPr>
          <w:rFonts w:asciiTheme="minorHAnsi" w:eastAsia="SimSun" w:hAnsiTheme="minorHAnsi"/>
          <w:sz w:val="24"/>
          <w:szCs w:val="24"/>
          <w:lang w:eastAsia="zh-CN"/>
        </w:rPr>
        <w:t xml:space="preserve"> on the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 introduction of new class of station symbols for station</w:t>
      </w:r>
      <w:r w:rsidR="00321A7D">
        <w:rPr>
          <w:rFonts w:asciiTheme="minorHAnsi" w:eastAsia="SimSun" w:hAnsiTheme="minorHAnsi"/>
          <w:sz w:val="24"/>
          <w:szCs w:val="24"/>
          <w:lang w:eastAsia="zh-CN"/>
        </w:rPr>
        <w:t>s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 in the aeronautical mobile-satellite (AMS) (R) and AMS (OR) service</w:t>
      </w:r>
      <w:r w:rsidR="00321A7D">
        <w:rPr>
          <w:rFonts w:asciiTheme="minorHAnsi" w:eastAsia="SimSun" w:hAnsiTheme="minorHAnsi"/>
          <w:sz w:val="24"/>
          <w:szCs w:val="24"/>
          <w:lang w:eastAsia="zh-CN"/>
        </w:rPr>
        <w:t>s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>, CR/396 of 31 March 2016</w:t>
      </w:r>
      <w:r>
        <w:rPr>
          <w:rFonts w:asciiTheme="minorHAnsi" w:eastAsia="SimSun" w:hAnsiTheme="minorHAnsi"/>
          <w:sz w:val="24"/>
          <w:szCs w:val="24"/>
          <w:lang w:eastAsia="zh-CN"/>
        </w:rPr>
        <w:t xml:space="preserve"> on the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 use of one space station to bring frequency assignments to geostationary-satellite networks at different orbital locations into use within a short period of time, CR/400 of 13 May 2016</w:t>
      </w:r>
      <w:r>
        <w:rPr>
          <w:rFonts w:asciiTheme="minorHAnsi" w:eastAsia="SimSun" w:hAnsiTheme="minorHAnsi"/>
          <w:sz w:val="24"/>
          <w:szCs w:val="24"/>
          <w:lang w:eastAsia="zh-CN"/>
        </w:rPr>
        <w:t xml:space="preserve"> on the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 implementation of revised Appendices 30 and 30A (Rev. WRC-15) and Resolution 556 (WRC-15), CR/401 of 19 May 2016 </w:t>
      </w:r>
      <w:r>
        <w:rPr>
          <w:rFonts w:asciiTheme="minorHAnsi" w:eastAsia="SimSun" w:hAnsiTheme="minorHAnsi"/>
          <w:sz w:val="24"/>
          <w:szCs w:val="24"/>
          <w:lang w:eastAsia="zh-CN"/>
        </w:rPr>
        <w:t xml:space="preserve">on 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>transitional measures for the elimination of advance publication filings by administrations for frequency assignments to satellite networks and systems subject to Section II of Article 9, and CR/404 of 23 May 2016</w:t>
      </w:r>
      <w:r>
        <w:rPr>
          <w:rFonts w:asciiTheme="minorHAnsi" w:eastAsia="SimSun" w:hAnsiTheme="minorHAnsi"/>
          <w:sz w:val="24"/>
          <w:szCs w:val="24"/>
          <w:lang w:eastAsia="zh-CN"/>
        </w:rPr>
        <w:t xml:space="preserve"> on the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 submission of typical earth stations in the fixed-satellite service.</w:t>
      </w:r>
    </w:p>
    <w:p w:rsidR="00224F90" w:rsidRPr="00DE25CD" w:rsidRDefault="00224F90" w:rsidP="00224F9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after="240" w:line="240" w:lineRule="auto"/>
        <w:ind w:left="142"/>
        <w:textAlignment w:val="auto"/>
        <w:rPr>
          <w:rFonts w:asciiTheme="minorHAnsi" w:eastAsia="SimSun" w:hAnsiTheme="minorHAnsi"/>
          <w:b/>
          <w:bCs/>
          <w:sz w:val="24"/>
          <w:szCs w:val="24"/>
          <w:lang w:eastAsia="zh-CN"/>
        </w:rPr>
      </w:pPr>
      <w:r w:rsidRPr="00DE25CD">
        <w:rPr>
          <w:rFonts w:asciiTheme="minorHAnsi" w:eastAsia="SimSun" w:hAnsiTheme="minorHAnsi"/>
          <w:b/>
          <w:bCs/>
          <w:sz w:val="24"/>
          <w:szCs w:val="24"/>
          <w:lang w:eastAsia="zh-CN"/>
        </w:rPr>
        <w:t xml:space="preserve">Submissions of satellite network filings including notifying </w:t>
      </w:r>
      <w:r w:rsidR="006A63E2" w:rsidRPr="00DE25CD">
        <w:rPr>
          <w:rFonts w:asciiTheme="minorHAnsi" w:eastAsia="SimSun" w:hAnsiTheme="minorHAnsi"/>
          <w:b/>
          <w:bCs/>
          <w:sz w:val="24"/>
          <w:szCs w:val="24"/>
          <w:lang w:eastAsia="zh-CN"/>
        </w:rPr>
        <w:t>a</w:t>
      </w:r>
      <w:r w:rsidRPr="00DE25CD">
        <w:rPr>
          <w:rFonts w:asciiTheme="minorHAnsi" w:eastAsia="SimSun" w:hAnsiTheme="minorHAnsi"/>
          <w:b/>
          <w:bCs/>
          <w:sz w:val="24"/>
          <w:szCs w:val="24"/>
          <w:lang w:eastAsia="zh-CN"/>
        </w:rPr>
        <w:t>dministrations’ commitments under Resolution 156 (WRC-15)</w:t>
      </w:r>
    </w:p>
    <w:p w:rsidR="00224F90" w:rsidRPr="00F5110F" w:rsidRDefault="00224F90" w:rsidP="00224F9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after="240" w:line="240" w:lineRule="auto"/>
        <w:ind w:left="142"/>
        <w:textAlignment w:val="auto"/>
        <w:rPr>
          <w:rFonts w:asciiTheme="minorHAnsi" w:eastAsiaTheme="minorEastAsia" w:hAnsiTheme="minorHAnsi" w:cs="TimesNewRomanPSMT"/>
          <w:sz w:val="24"/>
          <w:szCs w:val="24"/>
          <w:lang w:eastAsia="zh-CN"/>
        </w:rPr>
      </w:pPr>
      <w:r>
        <w:rPr>
          <w:rFonts w:asciiTheme="minorHAnsi" w:hAnsiTheme="minorHAnsi"/>
          <w:sz w:val="24"/>
          <w:szCs w:val="24"/>
          <w:lang w:eastAsia="zh-CN"/>
        </w:rPr>
        <w:t>I</w:t>
      </w:r>
      <w:r w:rsidRPr="00F5110F">
        <w:rPr>
          <w:rFonts w:asciiTheme="minorHAnsi" w:hAnsiTheme="minorHAnsi"/>
          <w:sz w:val="24"/>
          <w:szCs w:val="24"/>
          <w:lang w:eastAsia="zh-CN"/>
        </w:rPr>
        <w:t xml:space="preserve"> would like to remind </w:t>
      </w:r>
      <w:r w:rsidR="006A63E2">
        <w:rPr>
          <w:rFonts w:asciiTheme="minorHAnsi" w:hAnsiTheme="minorHAnsi"/>
          <w:sz w:val="24"/>
          <w:szCs w:val="24"/>
          <w:lang w:eastAsia="zh-CN"/>
        </w:rPr>
        <w:t>a</w:t>
      </w:r>
      <w:r w:rsidRPr="00F5110F">
        <w:rPr>
          <w:rFonts w:asciiTheme="minorHAnsi" w:hAnsiTheme="minorHAnsi"/>
          <w:sz w:val="24"/>
          <w:szCs w:val="24"/>
          <w:lang w:eastAsia="zh-CN"/>
        </w:rPr>
        <w:t>dminis</w:t>
      </w:r>
      <w:r>
        <w:rPr>
          <w:rFonts w:asciiTheme="minorHAnsi" w:hAnsiTheme="minorHAnsi"/>
          <w:sz w:val="24"/>
          <w:szCs w:val="24"/>
          <w:lang w:eastAsia="zh-CN"/>
        </w:rPr>
        <w:t xml:space="preserve">trations that, as described in </w:t>
      </w:r>
      <w:r w:rsidR="006A63E2">
        <w:rPr>
          <w:rFonts w:asciiTheme="minorHAnsi" w:hAnsiTheme="minorHAnsi"/>
          <w:sz w:val="24"/>
          <w:szCs w:val="24"/>
          <w:lang w:eastAsia="zh-CN"/>
        </w:rPr>
        <w:t>C</w:t>
      </w:r>
      <w:r>
        <w:rPr>
          <w:rFonts w:asciiTheme="minorHAnsi" w:hAnsiTheme="minorHAnsi"/>
          <w:sz w:val="24"/>
          <w:szCs w:val="24"/>
          <w:lang w:eastAsia="zh-CN"/>
        </w:rPr>
        <w:t xml:space="preserve">ircular </w:t>
      </w:r>
      <w:r w:rsidR="006A63E2">
        <w:rPr>
          <w:rFonts w:asciiTheme="minorHAnsi" w:hAnsiTheme="minorHAnsi"/>
          <w:sz w:val="24"/>
          <w:szCs w:val="24"/>
          <w:lang w:eastAsia="zh-CN"/>
        </w:rPr>
        <w:t>L</w:t>
      </w:r>
      <w:r w:rsidRPr="00F5110F">
        <w:rPr>
          <w:rFonts w:asciiTheme="minorHAnsi" w:hAnsiTheme="minorHAnsi"/>
          <w:sz w:val="24"/>
          <w:szCs w:val="24"/>
          <w:lang w:eastAsia="zh-CN"/>
        </w:rPr>
        <w:t xml:space="preserve">etter CR/393, in accordance with </w:t>
      </w:r>
      <w:r w:rsidRPr="00F5110F">
        <w:rPr>
          <w:rFonts w:asciiTheme="minorHAnsi" w:hAnsiTheme="minorHAnsi"/>
          <w:i/>
          <w:iCs/>
          <w:sz w:val="24"/>
          <w:szCs w:val="24"/>
          <w:lang w:eastAsia="zh-CN"/>
        </w:rPr>
        <w:t xml:space="preserve">resolves </w:t>
      </w:r>
      <w:r w:rsidRPr="00C66DAC">
        <w:rPr>
          <w:rFonts w:asciiTheme="minorHAnsi" w:hAnsiTheme="minorHAnsi"/>
          <w:sz w:val="24"/>
          <w:szCs w:val="24"/>
          <w:lang w:eastAsia="zh-CN"/>
        </w:rPr>
        <w:t>1.5</w:t>
      </w:r>
      <w:r w:rsidRPr="00F5110F">
        <w:rPr>
          <w:rFonts w:asciiTheme="minorHAnsi" w:hAnsiTheme="minorHAnsi"/>
          <w:sz w:val="24"/>
          <w:szCs w:val="24"/>
          <w:lang w:eastAsia="zh-CN"/>
        </w:rPr>
        <w:t xml:space="preserve"> of Resolution </w:t>
      </w:r>
      <w:r w:rsidRPr="00F5110F">
        <w:rPr>
          <w:rFonts w:asciiTheme="minorHAnsi" w:hAnsiTheme="minorHAnsi"/>
          <w:b/>
          <w:sz w:val="24"/>
          <w:szCs w:val="24"/>
          <w:lang w:eastAsia="zh-CN"/>
        </w:rPr>
        <w:t>156 (WRC-15)</w:t>
      </w:r>
      <w:r w:rsidR="007C1171">
        <w:rPr>
          <w:rFonts w:asciiTheme="minorHAnsi" w:hAnsiTheme="minorHAnsi"/>
          <w:b/>
          <w:sz w:val="24"/>
          <w:szCs w:val="24"/>
          <w:lang w:eastAsia="zh-CN"/>
        </w:rPr>
        <w:t>,</w:t>
      </w:r>
      <w:r w:rsidRPr="00F5110F">
        <w:rPr>
          <w:rFonts w:asciiTheme="minorHAnsi" w:hAnsiTheme="minorHAnsi"/>
          <w:sz w:val="24"/>
          <w:szCs w:val="24"/>
          <w:lang w:eastAsia="zh-CN"/>
        </w:rPr>
        <w:t xml:space="preserve"> the notifying </w:t>
      </w:r>
      <w:r w:rsidR="006A63E2">
        <w:rPr>
          <w:rFonts w:asciiTheme="minorHAnsi" w:eastAsiaTheme="minorEastAsia" w:hAnsiTheme="minorHAnsi" w:cs="TimesNewRomanPSMT"/>
          <w:sz w:val="24"/>
          <w:szCs w:val="24"/>
          <w:lang w:eastAsia="zh-CN"/>
        </w:rPr>
        <w:t>a</w:t>
      </w:r>
      <w:r w:rsidRPr="00F5110F">
        <w:rPr>
          <w:rFonts w:asciiTheme="minorHAnsi" w:eastAsiaTheme="minorEastAsia" w:hAnsiTheme="minorHAnsi" w:cs="TimesNewRomanPSMT"/>
          <w:sz w:val="24"/>
          <w:szCs w:val="24"/>
          <w:lang w:eastAsia="zh-CN"/>
        </w:rPr>
        <w:t xml:space="preserve">dministration shall submit to the Bureau a commitment </w:t>
      </w:r>
      <w:r w:rsidR="00726072">
        <w:rPr>
          <w:rFonts w:asciiTheme="minorHAnsi" w:eastAsiaTheme="minorEastAsia" w:hAnsiTheme="minorHAnsi" w:cs="TimesNewRomanPSMT"/>
          <w:sz w:val="24"/>
          <w:szCs w:val="24"/>
          <w:lang w:eastAsia="zh-CN"/>
        </w:rPr>
        <w:t>for</w:t>
      </w:r>
      <w:r w:rsidRPr="00F5110F">
        <w:rPr>
          <w:rFonts w:asciiTheme="minorHAnsi" w:eastAsiaTheme="minorEastAsia" w:hAnsiTheme="minorHAnsi" w:cs="TimesNewRomanPSMT"/>
          <w:sz w:val="24"/>
          <w:szCs w:val="24"/>
          <w:lang w:eastAsia="zh-CN"/>
        </w:rPr>
        <w:t xml:space="preserve"> implement</w:t>
      </w:r>
      <w:r w:rsidR="00726072">
        <w:rPr>
          <w:rFonts w:asciiTheme="minorHAnsi" w:eastAsiaTheme="minorEastAsia" w:hAnsiTheme="minorHAnsi" w:cs="TimesNewRomanPSMT"/>
          <w:sz w:val="24"/>
          <w:szCs w:val="24"/>
          <w:lang w:eastAsia="zh-CN"/>
        </w:rPr>
        <w:t>ation of</w:t>
      </w:r>
      <w:r w:rsidRPr="00F5110F">
        <w:rPr>
          <w:rFonts w:asciiTheme="minorHAnsi" w:eastAsiaTheme="minorEastAsia" w:hAnsiTheme="minorHAnsi" w:cs="TimesNewRomanPSMT"/>
          <w:sz w:val="24"/>
          <w:szCs w:val="24"/>
          <w:lang w:eastAsia="zh-CN"/>
        </w:rPr>
        <w:t xml:space="preserve"> </w:t>
      </w:r>
      <w:r w:rsidRPr="00F5110F">
        <w:rPr>
          <w:rFonts w:asciiTheme="minorHAnsi" w:eastAsiaTheme="minorEastAsia" w:hAnsiTheme="minorHAnsi"/>
          <w:i/>
          <w:iCs/>
          <w:sz w:val="24"/>
          <w:szCs w:val="24"/>
          <w:lang w:eastAsia="zh-CN"/>
        </w:rPr>
        <w:t xml:space="preserve">resolves </w:t>
      </w:r>
      <w:r w:rsidRPr="00F5110F">
        <w:rPr>
          <w:rFonts w:asciiTheme="minorHAnsi" w:eastAsiaTheme="minorEastAsia" w:hAnsiTheme="minorHAnsi" w:cs="TimesNewRomanPSMT"/>
          <w:sz w:val="24"/>
          <w:szCs w:val="24"/>
          <w:lang w:eastAsia="zh-CN"/>
        </w:rPr>
        <w:t>1.4 of that</w:t>
      </w:r>
      <w:r>
        <w:rPr>
          <w:rFonts w:asciiTheme="minorHAnsi" w:eastAsiaTheme="minorEastAsia" w:hAnsiTheme="minorHAnsi" w:cs="TimesNewRomanPSMT"/>
          <w:sz w:val="24"/>
          <w:szCs w:val="24"/>
          <w:lang w:eastAsia="zh-CN"/>
        </w:rPr>
        <w:t xml:space="preserve"> r</w:t>
      </w:r>
      <w:r w:rsidRPr="00F5110F">
        <w:rPr>
          <w:rFonts w:asciiTheme="minorHAnsi" w:eastAsiaTheme="minorEastAsia" w:hAnsiTheme="minorHAnsi" w:cs="TimesNewRomanPSMT"/>
          <w:sz w:val="24"/>
          <w:szCs w:val="24"/>
          <w:lang w:eastAsia="zh-CN"/>
        </w:rPr>
        <w:t xml:space="preserve">esolution. </w:t>
      </w:r>
      <w:r>
        <w:rPr>
          <w:rFonts w:asciiTheme="minorHAnsi" w:hAnsiTheme="minorHAnsi"/>
          <w:sz w:val="24"/>
          <w:szCs w:val="24"/>
        </w:rPr>
        <w:t>A</w:t>
      </w:r>
      <w:r w:rsidRPr="00F5110F">
        <w:rPr>
          <w:rFonts w:asciiTheme="minorHAnsi" w:hAnsiTheme="minorHAnsi"/>
          <w:sz w:val="24"/>
          <w:szCs w:val="24"/>
        </w:rPr>
        <w:t>dministrations are requested to provide the commitment statement in the</w:t>
      </w:r>
      <w:r w:rsidR="006A63E2">
        <w:rPr>
          <w:rFonts w:asciiTheme="minorHAnsi" w:hAnsiTheme="minorHAnsi"/>
          <w:sz w:val="24"/>
          <w:szCs w:val="24"/>
        </w:rPr>
        <w:t>ir</w:t>
      </w:r>
      <w:r w:rsidRPr="00F5110F">
        <w:rPr>
          <w:rFonts w:asciiTheme="minorHAnsi" w:hAnsiTheme="minorHAnsi"/>
          <w:sz w:val="24"/>
          <w:szCs w:val="24"/>
        </w:rPr>
        <w:t xml:space="preserve"> telefax/letter, or in an attachment to the</w:t>
      </w:r>
      <w:r w:rsidR="006A63E2">
        <w:rPr>
          <w:rFonts w:asciiTheme="minorHAnsi" w:hAnsiTheme="minorHAnsi"/>
          <w:sz w:val="24"/>
          <w:szCs w:val="24"/>
        </w:rPr>
        <w:t>ir</w:t>
      </w:r>
      <w:r w:rsidRPr="00F5110F">
        <w:rPr>
          <w:rFonts w:asciiTheme="minorHAnsi" w:hAnsiTheme="minorHAnsi"/>
          <w:sz w:val="24"/>
          <w:szCs w:val="24"/>
        </w:rPr>
        <w:t xml:space="preserve"> electronic notice.</w:t>
      </w:r>
    </w:p>
    <w:p w:rsidR="00224F90" w:rsidRPr="00DE25CD" w:rsidRDefault="00224F90" w:rsidP="00224F9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after="240" w:line="240" w:lineRule="auto"/>
        <w:ind w:left="142"/>
        <w:textAlignment w:val="auto"/>
        <w:rPr>
          <w:rFonts w:asciiTheme="minorHAnsi" w:eastAsia="SimSun" w:hAnsiTheme="minorHAnsi"/>
          <w:b/>
          <w:bCs/>
          <w:sz w:val="24"/>
          <w:szCs w:val="24"/>
          <w:lang w:eastAsia="zh-CN"/>
        </w:rPr>
      </w:pPr>
      <w:r w:rsidRPr="00DE25CD">
        <w:rPr>
          <w:rFonts w:asciiTheme="minorHAnsi" w:eastAsia="SimSun" w:hAnsiTheme="minorHAnsi"/>
          <w:b/>
          <w:bCs/>
          <w:sz w:val="24"/>
          <w:szCs w:val="24"/>
          <w:lang w:eastAsia="zh-CN"/>
        </w:rPr>
        <w:lastRenderedPageBreak/>
        <w:t xml:space="preserve">Submissions of satellite network filings including notifying </w:t>
      </w:r>
      <w:r w:rsidR="00726072" w:rsidRPr="00DE25CD">
        <w:rPr>
          <w:rFonts w:asciiTheme="minorHAnsi" w:eastAsia="SimSun" w:hAnsiTheme="minorHAnsi"/>
          <w:b/>
          <w:bCs/>
          <w:sz w:val="24"/>
          <w:szCs w:val="24"/>
          <w:lang w:eastAsia="zh-CN"/>
        </w:rPr>
        <w:t>a</w:t>
      </w:r>
      <w:r w:rsidRPr="00DE25CD">
        <w:rPr>
          <w:rFonts w:asciiTheme="minorHAnsi" w:eastAsia="SimSun" w:hAnsiTheme="minorHAnsi"/>
          <w:b/>
          <w:bCs/>
          <w:sz w:val="24"/>
          <w:szCs w:val="24"/>
          <w:lang w:eastAsia="zh-CN"/>
        </w:rPr>
        <w:t>dministrations’ commitments under Resolutions 163 (WRC-15) and 164 (WRC-15)</w:t>
      </w:r>
    </w:p>
    <w:p w:rsidR="00224F90" w:rsidRPr="00F5110F" w:rsidRDefault="00224F90" w:rsidP="00224F9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after="240" w:line="240" w:lineRule="auto"/>
        <w:ind w:left="142"/>
        <w:textAlignment w:val="auto"/>
        <w:rPr>
          <w:rFonts w:asciiTheme="minorHAnsi" w:eastAsia="SimSun" w:hAnsiTheme="minorHAnsi"/>
          <w:sz w:val="24"/>
          <w:szCs w:val="24"/>
          <w:lang w:eastAsia="zh-CN"/>
        </w:rPr>
      </w:pP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WRC-15 adopted new and revised provisions for the </w:t>
      </w:r>
      <w:r w:rsidRPr="00F5110F">
        <w:rPr>
          <w:rFonts w:asciiTheme="minorHAnsi" w:hAnsiTheme="minorHAnsi"/>
          <w:sz w:val="24"/>
          <w:szCs w:val="24"/>
        </w:rPr>
        <w:t>use of the frequency bands 14.50-14.75 GHz in countries listed in Resolution </w:t>
      </w:r>
      <w:r w:rsidRPr="00F5110F">
        <w:rPr>
          <w:rFonts w:asciiTheme="minorHAnsi" w:hAnsiTheme="minorHAnsi"/>
          <w:b/>
          <w:bCs/>
          <w:sz w:val="24"/>
          <w:szCs w:val="24"/>
        </w:rPr>
        <w:t>163 (WRC</w:t>
      </w:r>
      <w:r w:rsidRPr="00F5110F">
        <w:rPr>
          <w:rFonts w:asciiTheme="minorHAnsi" w:hAnsiTheme="minorHAnsi"/>
          <w:b/>
          <w:bCs/>
          <w:sz w:val="24"/>
          <w:szCs w:val="24"/>
        </w:rPr>
        <w:noBreakHyphen/>
        <w:t>15)</w:t>
      </w:r>
      <w:r w:rsidRPr="00F5110F">
        <w:rPr>
          <w:rFonts w:asciiTheme="minorHAnsi" w:hAnsiTheme="minorHAnsi"/>
          <w:sz w:val="24"/>
          <w:szCs w:val="24"/>
        </w:rPr>
        <w:t xml:space="preserve"> and 14.50-14.8 GHz in countries listed in Resolution </w:t>
      </w:r>
      <w:r w:rsidRPr="00F5110F">
        <w:rPr>
          <w:rFonts w:asciiTheme="minorHAnsi" w:hAnsiTheme="minorHAnsi"/>
          <w:b/>
          <w:bCs/>
          <w:sz w:val="24"/>
          <w:szCs w:val="24"/>
        </w:rPr>
        <w:t>164</w:t>
      </w:r>
      <w:r w:rsidRPr="00F5110F">
        <w:rPr>
          <w:rFonts w:asciiTheme="minorHAnsi" w:hAnsiTheme="minorHAnsi"/>
          <w:sz w:val="24"/>
          <w:szCs w:val="24"/>
        </w:rPr>
        <w:t xml:space="preserve"> </w:t>
      </w:r>
      <w:r w:rsidRPr="00F5110F">
        <w:rPr>
          <w:rFonts w:asciiTheme="minorHAnsi" w:hAnsiTheme="minorHAnsi"/>
          <w:b/>
          <w:bCs/>
          <w:sz w:val="24"/>
          <w:szCs w:val="24"/>
        </w:rPr>
        <w:t>(WRC</w:t>
      </w:r>
      <w:r w:rsidRPr="00F5110F">
        <w:rPr>
          <w:rFonts w:asciiTheme="minorHAnsi" w:hAnsiTheme="minorHAnsi"/>
          <w:b/>
          <w:bCs/>
          <w:sz w:val="24"/>
          <w:szCs w:val="24"/>
        </w:rPr>
        <w:noBreakHyphen/>
        <w:t>15)</w:t>
      </w:r>
      <w:r w:rsidRPr="00F5110F">
        <w:rPr>
          <w:rFonts w:asciiTheme="minorHAnsi" w:hAnsiTheme="minorHAnsi"/>
          <w:sz w:val="24"/>
          <w:szCs w:val="24"/>
        </w:rPr>
        <w:t xml:space="preserve"> by the fixed-satellite service (Earth-to-space), 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which </w:t>
      </w:r>
      <w:r>
        <w:rPr>
          <w:rFonts w:asciiTheme="minorHAnsi" w:eastAsia="SimSun" w:hAnsiTheme="minorHAnsi"/>
          <w:sz w:val="24"/>
          <w:szCs w:val="24"/>
          <w:lang w:eastAsia="zh-CN"/>
        </w:rPr>
        <w:t xml:space="preserve">will 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come into force on 1 January 2017. While the Bureau is currently updating the SNS database structure and related software tools to take into account these changes as of 1 January 2017, </w:t>
      </w:r>
      <w:r w:rsidR="00726072">
        <w:rPr>
          <w:rFonts w:asciiTheme="minorHAnsi" w:eastAsia="SimSun" w:hAnsiTheme="minorHAnsi"/>
          <w:sz w:val="24"/>
          <w:szCs w:val="24"/>
          <w:lang w:eastAsia="zh-CN"/>
        </w:rPr>
        <w:t>it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 is receiving a number of submissions for the use of th</w:t>
      </w:r>
      <w:r w:rsidR="00726072">
        <w:rPr>
          <w:rFonts w:asciiTheme="minorHAnsi" w:eastAsia="SimSun" w:hAnsiTheme="minorHAnsi"/>
          <w:sz w:val="24"/>
          <w:szCs w:val="24"/>
          <w:lang w:eastAsia="zh-CN"/>
        </w:rPr>
        <w:t>ese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 new allocation</w:t>
      </w:r>
      <w:r w:rsidR="00726072">
        <w:rPr>
          <w:rFonts w:asciiTheme="minorHAnsi" w:eastAsia="SimSun" w:hAnsiTheme="minorHAnsi"/>
          <w:sz w:val="24"/>
          <w:szCs w:val="24"/>
          <w:lang w:eastAsia="zh-CN"/>
        </w:rPr>
        <w:t>s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 that will be processed in accordance with the </w:t>
      </w:r>
      <w:r w:rsidR="00D83FF6">
        <w:rPr>
          <w:rFonts w:asciiTheme="minorHAnsi" w:eastAsia="SimSun" w:hAnsiTheme="minorHAnsi"/>
          <w:sz w:val="24"/>
          <w:szCs w:val="24"/>
          <w:lang w:eastAsia="zh-CN"/>
        </w:rPr>
        <w:t>r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>ule of procedure concerning the treatment of request</w:t>
      </w:r>
      <w:r w:rsidR="00D83FF6">
        <w:rPr>
          <w:rFonts w:asciiTheme="minorHAnsi" w:eastAsia="SimSun" w:hAnsiTheme="minorHAnsi"/>
          <w:sz w:val="24"/>
          <w:szCs w:val="24"/>
          <w:lang w:eastAsia="zh-CN"/>
        </w:rPr>
        <w:t>s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 for coordination or notification notices </w:t>
      </w:r>
      <w:r w:rsidR="00D83FF6">
        <w:rPr>
          <w:rFonts w:asciiTheme="minorHAnsi" w:eastAsia="SimSun" w:hAnsiTheme="minorHAnsi"/>
          <w:sz w:val="24"/>
          <w:szCs w:val="24"/>
          <w:lang w:eastAsia="zh-CN"/>
        </w:rPr>
        <w:t>for</w:t>
      </w:r>
      <w:r w:rsidRPr="00F5110F">
        <w:rPr>
          <w:rFonts w:asciiTheme="minorHAnsi" w:eastAsia="SimSun" w:hAnsiTheme="minorHAnsi"/>
          <w:sz w:val="24"/>
          <w:szCs w:val="24"/>
          <w:lang w:eastAsia="zh-CN"/>
        </w:rPr>
        <w:t xml:space="preserve"> satellite networks received prior the entry into force of a WRC decision.</w:t>
      </w:r>
    </w:p>
    <w:p w:rsidR="00224F90" w:rsidRPr="00F5110F" w:rsidRDefault="00224F90" w:rsidP="00224F9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720"/>
          <w:tab w:val="center" w:pos="7088"/>
        </w:tabs>
        <w:spacing w:before="240" w:after="240" w:line="240" w:lineRule="auto"/>
        <w:ind w:left="142"/>
        <w:jc w:val="both"/>
        <w:rPr>
          <w:rFonts w:asciiTheme="minorHAnsi" w:hAnsiTheme="minorHAnsi"/>
          <w:sz w:val="24"/>
          <w:szCs w:val="24"/>
          <w:lang w:eastAsia="zh-CN"/>
        </w:rPr>
      </w:pPr>
      <w:r w:rsidRPr="00F5110F">
        <w:rPr>
          <w:rFonts w:asciiTheme="minorHAnsi" w:hAnsiTheme="minorHAnsi"/>
          <w:sz w:val="24"/>
          <w:szCs w:val="24"/>
          <w:lang w:eastAsia="zh-CN"/>
        </w:rPr>
        <w:t xml:space="preserve">In this regard, </w:t>
      </w:r>
      <w:r>
        <w:rPr>
          <w:rFonts w:asciiTheme="minorHAnsi" w:hAnsiTheme="minorHAnsi"/>
          <w:sz w:val="24"/>
          <w:szCs w:val="24"/>
          <w:lang w:eastAsia="zh-CN"/>
        </w:rPr>
        <w:t>I</w:t>
      </w:r>
      <w:r w:rsidRPr="00F5110F">
        <w:rPr>
          <w:rFonts w:asciiTheme="minorHAnsi" w:hAnsiTheme="minorHAnsi"/>
          <w:sz w:val="24"/>
          <w:szCs w:val="24"/>
          <w:lang w:eastAsia="zh-CN"/>
        </w:rPr>
        <w:t xml:space="preserve"> would like to draw </w:t>
      </w:r>
      <w:r w:rsidR="00D83FF6">
        <w:rPr>
          <w:rFonts w:asciiTheme="minorHAnsi" w:hAnsiTheme="minorHAnsi"/>
          <w:sz w:val="24"/>
          <w:szCs w:val="24"/>
          <w:lang w:eastAsia="zh-CN"/>
        </w:rPr>
        <w:t xml:space="preserve">the </w:t>
      </w:r>
      <w:r w:rsidRPr="00F5110F">
        <w:rPr>
          <w:rFonts w:asciiTheme="minorHAnsi" w:hAnsiTheme="minorHAnsi"/>
          <w:sz w:val="24"/>
          <w:szCs w:val="24"/>
          <w:lang w:eastAsia="zh-CN"/>
        </w:rPr>
        <w:t xml:space="preserve">attention of notifying </w:t>
      </w:r>
      <w:r w:rsidR="00D83FF6">
        <w:rPr>
          <w:rFonts w:asciiTheme="minorHAnsi" w:hAnsiTheme="minorHAnsi"/>
          <w:sz w:val="24"/>
          <w:szCs w:val="24"/>
          <w:lang w:eastAsia="zh-CN"/>
        </w:rPr>
        <w:t>a</w:t>
      </w:r>
      <w:r w:rsidRPr="00F5110F">
        <w:rPr>
          <w:rFonts w:asciiTheme="minorHAnsi" w:hAnsiTheme="minorHAnsi"/>
          <w:sz w:val="24"/>
          <w:szCs w:val="24"/>
          <w:lang w:eastAsia="zh-CN"/>
        </w:rPr>
        <w:t xml:space="preserve">dministrations to the following mandatory requirements when submitting requests for coordination that include the band </w:t>
      </w:r>
      <w:r>
        <w:rPr>
          <w:rFonts w:asciiTheme="minorHAnsi" w:hAnsiTheme="minorHAnsi"/>
          <w:sz w:val="24"/>
          <w:szCs w:val="24"/>
          <w:lang w:eastAsia="zh-CN"/>
        </w:rPr>
        <w:t xml:space="preserve">       </w:t>
      </w:r>
      <w:r w:rsidRPr="00F5110F">
        <w:rPr>
          <w:rFonts w:asciiTheme="minorHAnsi" w:hAnsiTheme="minorHAnsi"/>
          <w:sz w:val="24"/>
          <w:szCs w:val="24"/>
        </w:rPr>
        <w:t>14.5-14.8 GHz for the fixed-satellite service (Earth-to-space)</w:t>
      </w:r>
      <w:r w:rsidRPr="00F5110F">
        <w:rPr>
          <w:rFonts w:asciiTheme="minorHAnsi" w:hAnsiTheme="minorHAnsi"/>
          <w:sz w:val="24"/>
          <w:szCs w:val="24"/>
          <w:lang w:eastAsia="zh-CN"/>
        </w:rPr>
        <w:t>:</w:t>
      </w:r>
    </w:p>
    <w:p w:rsidR="00224F90" w:rsidRPr="00F5110F" w:rsidRDefault="00224F90" w:rsidP="00224F90">
      <w:pPr>
        <w:pStyle w:val="ListParagraph"/>
        <w:numPr>
          <w:ilvl w:val="0"/>
          <w:numId w:val="1"/>
        </w:numPr>
        <w:spacing w:before="240" w:after="240"/>
        <w:ind w:left="426" w:hanging="284"/>
        <w:contextualSpacing w:val="0"/>
        <w:jc w:val="both"/>
        <w:rPr>
          <w:rFonts w:asciiTheme="minorHAnsi" w:hAnsiTheme="minorHAnsi"/>
          <w:lang w:eastAsia="zh-CN"/>
        </w:rPr>
      </w:pPr>
      <w:r w:rsidRPr="00F5110F">
        <w:rPr>
          <w:rFonts w:asciiTheme="minorHAnsi" w:hAnsiTheme="minorHAnsi"/>
          <w:lang w:eastAsia="zh-CN"/>
        </w:rPr>
        <w:t>Administrations should state, in the</w:t>
      </w:r>
      <w:r w:rsidR="00D83FF6">
        <w:rPr>
          <w:rFonts w:asciiTheme="minorHAnsi" w:hAnsiTheme="minorHAnsi"/>
          <w:lang w:eastAsia="zh-CN"/>
        </w:rPr>
        <w:t>ir</w:t>
      </w:r>
      <w:r w:rsidRPr="00F5110F">
        <w:rPr>
          <w:rFonts w:asciiTheme="minorHAnsi" w:hAnsiTheme="minorHAnsi"/>
          <w:lang w:eastAsia="zh-CN"/>
        </w:rPr>
        <w:t xml:space="preserve"> telefax/letter or as a note to the</w:t>
      </w:r>
      <w:r w:rsidR="00D83FF6">
        <w:rPr>
          <w:rFonts w:asciiTheme="minorHAnsi" w:hAnsiTheme="minorHAnsi"/>
          <w:lang w:eastAsia="zh-CN"/>
        </w:rPr>
        <w:t>ir</w:t>
      </w:r>
      <w:r w:rsidRPr="00F5110F">
        <w:rPr>
          <w:rFonts w:asciiTheme="minorHAnsi" w:hAnsiTheme="minorHAnsi"/>
          <w:lang w:eastAsia="zh-CN"/>
        </w:rPr>
        <w:t xml:space="preserve"> electronic notice, </w:t>
      </w:r>
      <w:r w:rsidR="00D83FF6">
        <w:rPr>
          <w:rFonts w:asciiTheme="minorHAnsi" w:hAnsiTheme="minorHAnsi"/>
          <w:lang w:eastAsia="zh-CN"/>
        </w:rPr>
        <w:t>whether</w:t>
      </w:r>
      <w:r w:rsidRPr="00F5110F">
        <w:rPr>
          <w:rFonts w:asciiTheme="minorHAnsi" w:hAnsiTheme="minorHAnsi"/>
          <w:lang w:eastAsia="zh-CN"/>
        </w:rPr>
        <w:t xml:space="preserve"> the use of the band will be in accordance with Resolution </w:t>
      </w:r>
      <w:r w:rsidRPr="00F5110F">
        <w:rPr>
          <w:rFonts w:asciiTheme="minorHAnsi" w:hAnsiTheme="minorHAnsi"/>
          <w:b/>
          <w:bCs/>
          <w:lang w:eastAsia="zh-CN"/>
        </w:rPr>
        <w:t>163</w:t>
      </w:r>
      <w:r w:rsidRPr="00F5110F">
        <w:rPr>
          <w:rFonts w:asciiTheme="minorHAnsi" w:hAnsiTheme="minorHAnsi"/>
          <w:lang w:eastAsia="zh-CN"/>
        </w:rPr>
        <w:t xml:space="preserve"> or </w:t>
      </w:r>
      <w:r w:rsidRPr="00F5110F">
        <w:rPr>
          <w:rFonts w:asciiTheme="minorHAnsi" w:hAnsiTheme="minorHAnsi"/>
          <w:b/>
          <w:bCs/>
          <w:lang w:eastAsia="zh-CN"/>
        </w:rPr>
        <w:t>164</w:t>
      </w:r>
      <w:r w:rsidRPr="00F5110F">
        <w:rPr>
          <w:rFonts w:asciiTheme="minorHAnsi" w:hAnsiTheme="minorHAnsi"/>
          <w:lang w:eastAsia="zh-CN"/>
        </w:rPr>
        <w:t xml:space="preserve"> or in accordance with No.</w:t>
      </w:r>
      <w:r>
        <w:rPr>
          <w:rFonts w:asciiTheme="minorHAnsi" w:hAnsiTheme="minorHAnsi"/>
          <w:lang w:eastAsia="zh-CN"/>
        </w:rPr>
        <w:t> </w:t>
      </w:r>
      <w:r w:rsidRPr="00F5110F">
        <w:rPr>
          <w:rFonts w:asciiTheme="minorHAnsi" w:hAnsiTheme="minorHAnsi"/>
          <w:b/>
          <w:bCs/>
          <w:lang w:eastAsia="zh-CN"/>
        </w:rPr>
        <w:t>5.510</w:t>
      </w:r>
      <w:r w:rsidRPr="00F5110F">
        <w:rPr>
          <w:rFonts w:asciiTheme="minorHAnsi" w:hAnsiTheme="minorHAnsi"/>
          <w:lang w:eastAsia="zh-CN"/>
        </w:rPr>
        <w:t xml:space="preserve"> as feeder links for the broadcasting-satellite service.</w:t>
      </w:r>
    </w:p>
    <w:p w:rsidR="00224F90" w:rsidRPr="00F5110F" w:rsidRDefault="00224F90" w:rsidP="00224F90">
      <w:pPr>
        <w:pStyle w:val="ListParagraph"/>
        <w:numPr>
          <w:ilvl w:val="0"/>
          <w:numId w:val="1"/>
        </w:numPr>
        <w:spacing w:before="240" w:after="240"/>
        <w:ind w:left="426" w:hanging="284"/>
        <w:contextualSpacing w:val="0"/>
        <w:jc w:val="both"/>
        <w:rPr>
          <w:rFonts w:asciiTheme="minorHAnsi" w:eastAsia="SimSun" w:hAnsiTheme="minorHAnsi"/>
          <w:b/>
          <w:bCs/>
          <w:lang w:eastAsia="zh-CN"/>
        </w:rPr>
      </w:pPr>
      <w:r w:rsidRPr="00F5110F">
        <w:rPr>
          <w:rFonts w:asciiTheme="minorHAnsi" w:hAnsiTheme="minorHAnsi"/>
          <w:lang w:val="en-US"/>
        </w:rPr>
        <w:t xml:space="preserve">If </w:t>
      </w:r>
      <w:r w:rsidRPr="00F5110F">
        <w:rPr>
          <w:rFonts w:asciiTheme="minorHAnsi" w:hAnsiTheme="minorHAnsi"/>
          <w:lang w:eastAsia="zh-CN"/>
        </w:rPr>
        <w:t xml:space="preserve">the use of the band is </w:t>
      </w:r>
      <w:r w:rsidR="00D83FF6">
        <w:rPr>
          <w:rFonts w:asciiTheme="minorHAnsi" w:hAnsiTheme="minorHAnsi"/>
          <w:lang w:eastAsia="zh-CN"/>
        </w:rPr>
        <w:t xml:space="preserve">to be </w:t>
      </w:r>
      <w:r w:rsidRPr="00F5110F">
        <w:rPr>
          <w:rFonts w:asciiTheme="minorHAnsi" w:hAnsiTheme="minorHAnsi"/>
          <w:lang w:eastAsia="zh-CN"/>
        </w:rPr>
        <w:t xml:space="preserve">in accordance with Resolution </w:t>
      </w:r>
      <w:r w:rsidRPr="00F5110F">
        <w:rPr>
          <w:rFonts w:asciiTheme="minorHAnsi" w:hAnsiTheme="minorHAnsi"/>
          <w:b/>
          <w:bCs/>
          <w:lang w:eastAsia="zh-CN"/>
        </w:rPr>
        <w:t>163</w:t>
      </w:r>
      <w:r w:rsidRPr="00F5110F">
        <w:rPr>
          <w:rFonts w:asciiTheme="minorHAnsi" w:hAnsiTheme="minorHAnsi"/>
          <w:lang w:eastAsia="zh-CN"/>
        </w:rPr>
        <w:t xml:space="preserve"> or </w:t>
      </w:r>
      <w:r w:rsidRPr="00F5110F">
        <w:rPr>
          <w:rFonts w:asciiTheme="minorHAnsi" w:hAnsiTheme="minorHAnsi"/>
          <w:b/>
          <w:bCs/>
          <w:lang w:eastAsia="zh-CN"/>
        </w:rPr>
        <w:t>164</w:t>
      </w:r>
      <w:r w:rsidRPr="00F5110F">
        <w:rPr>
          <w:rFonts w:asciiTheme="minorHAnsi" w:hAnsiTheme="minorHAnsi"/>
          <w:lang w:eastAsia="zh-CN"/>
        </w:rPr>
        <w:t xml:space="preserve">, the notice should include a commitment as required </w:t>
      </w:r>
      <w:r w:rsidR="007C1171">
        <w:rPr>
          <w:rFonts w:asciiTheme="minorHAnsi" w:hAnsiTheme="minorHAnsi"/>
          <w:lang w:eastAsia="zh-CN"/>
        </w:rPr>
        <w:t>under</w:t>
      </w:r>
      <w:r w:rsidRPr="00F5110F">
        <w:rPr>
          <w:rFonts w:asciiTheme="minorHAnsi" w:hAnsiTheme="minorHAnsi"/>
          <w:lang w:val="en-US"/>
        </w:rPr>
        <w:t xml:space="preserve"> </w:t>
      </w:r>
      <w:r w:rsidRPr="00F5110F">
        <w:rPr>
          <w:rFonts w:asciiTheme="minorHAnsi" w:hAnsiTheme="minorHAnsi"/>
          <w:lang w:eastAsia="zh-CN"/>
        </w:rPr>
        <w:t xml:space="preserve">A.16.c of Appendix </w:t>
      </w:r>
      <w:r w:rsidRPr="00D31445">
        <w:rPr>
          <w:rFonts w:asciiTheme="minorHAnsi" w:hAnsiTheme="minorHAnsi"/>
          <w:b/>
          <w:bCs/>
          <w:lang w:eastAsia="zh-CN"/>
        </w:rPr>
        <w:t>4</w:t>
      </w:r>
      <w:r w:rsidRPr="00D31445">
        <w:rPr>
          <w:rFonts w:asciiTheme="minorHAnsi" w:hAnsiTheme="minorHAnsi"/>
          <w:lang w:eastAsia="zh-CN"/>
        </w:rPr>
        <w:t xml:space="preserve"> (</w:t>
      </w:r>
      <w:r>
        <w:rPr>
          <w:rFonts w:asciiTheme="minorHAnsi" w:hAnsiTheme="minorHAnsi"/>
          <w:lang w:val="en-US"/>
        </w:rPr>
        <w:t xml:space="preserve">commitment by </w:t>
      </w:r>
      <w:r w:rsidR="00D83FF6">
        <w:rPr>
          <w:rFonts w:asciiTheme="minorHAnsi" w:hAnsiTheme="minorHAnsi"/>
          <w:lang w:val="en-US"/>
        </w:rPr>
        <w:t>a</w:t>
      </w:r>
      <w:r w:rsidRPr="00F5110F">
        <w:rPr>
          <w:rFonts w:asciiTheme="minorHAnsi" w:hAnsiTheme="minorHAnsi"/>
          <w:lang w:val="en-US"/>
        </w:rPr>
        <w:t>dministrations that the earth station associated with the filed system will meet the separation distance as specified in No. </w:t>
      </w:r>
      <w:r w:rsidRPr="00F5110F">
        <w:rPr>
          <w:rFonts w:asciiTheme="minorHAnsi" w:hAnsiTheme="minorHAnsi"/>
          <w:b/>
          <w:lang w:val="en-US"/>
        </w:rPr>
        <w:t>5.509E</w:t>
      </w:r>
      <w:r w:rsidRPr="00F5110F">
        <w:rPr>
          <w:rFonts w:asciiTheme="minorHAnsi" w:hAnsiTheme="minorHAnsi"/>
          <w:lang w:val="en-US"/>
        </w:rPr>
        <w:t xml:space="preserve"> and the power flux-density limits that are</w:t>
      </w:r>
      <w:r w:rsidRPr="00F5110F">
        <w:rPr>
          <w:rFonts w:asciiTheme="minorHAnsi" w:hAnsiTheme="minorHAnsi"/>
          <w:i/>
          <w:iCs/>
          <w:lang w:val="en-US"/>
        </w:rPr>
        <w:t xml:space="preserve"> </w:t>
      </w:r>
      <w:r w:rsidRPr="00F5110F">
        <w:rPr>
          <w:rFonts w:asciiTheme="minorHAnsi" w:hAnsiTheme="minorHAnsi"/>
          <w:lang w:val="en-US"/>
        </w:rPr>
        <w:t>specified in No. </w:t>
      </w:r>
      <w:r w:rsidRPr="00F5110F">
        <w:rPr>
          <w:rFonts w:asciiTheme="minorHAnsi" w:hAnsiTheme="minorHAnsi"/>
          <w:b/>
          <w:lang w:val="en-US"/>
        </w:rPr>
        <w:t>5.509D</w:t>
      </w:r>
      <w:r w:rsidRPr="00F5110F">
        <w:rPr>
          <w:rFonts w:asciiTheme="minorHAnsi" w:hAnsiTheme="minorHAnsi"/>
          <w:lang w:val="en-US"/>
        </w:rPr>
        <w:t xml:space="preserve">).  Since this item is currently not yet implemented in the Bureau’s </w:t>
      </w:r>
      <w:proofErr w:type="spellStart"/>
      <w:r w:rsidR="00D83FF6">
        <w:rPr>
          <w:rFonts w:asciiTheme="minorHAnsi" w:hAnsiTheme="minorHAnsi"/>
          <w:lang w:val="en-US"/>
        </w:rPr>
        <w:t>SpaceCap</w:t>
      </w:r>
      <w:proofErr w:type="spellEnd"/>
      <w:r w:rsidR="00D83FF6">
        <w:rPr>
          <w:rFonts w:asciiTheme="minorHAnsi" w:hAnsiTheme="minorHAnsi"/>
          <w:lang w:val="en-US"/>
        </w:rPr>
        <w:t xml:space="preserve"> </w:t>
      </w:r>
      <w:r w:rsidRPr="00F5110F">
        <w:rPr>
          <w:rFonts w:asciiTheme="minorHAnsi" w:hAnsiTheme="minorHAnsi"/>
          <w:lang w:val="en-US"/>
        </w:rPr>
        <w:t xml:space="preserve">capture software, </w:t>
      </w:r>
      <w:r w:rsidR="00D83FF6">
        <w:rPr>
          <w:rFonts w:asciiTheme="minorHAnsi" w:hAnsiTheme="minorHAnsi"/>
          <w:lang w:val="en-US"/>
        </w:rPr>
        <w:t>a</w:t>
      </w:r>
      <w:r w:rsidRPr="00F5110F">
        <w:rPr>
          <w:rFonts w:asciiTheme="minorHAnsi" w:hAnsiTheme="minorHAnsi"/>
          <w:lang w:val="en-US"/>
        </w:rPr>
        <w:t>dministrations are requested to provide the commitment statement in the</w:t>
      </w:r>
      <w:r w:rsidR="00D83FF6">
        <w:rPr>
          <w:rFonts w:asciiTheme="minorHAnsi" w:hAnsiTheme="minorHAnsi"/>
          <w:lang w:val="en-US"/>
        </w:rPr>
        <w:t>ir</w:t>
      </w:r>
      <w:r w:rsidRPr="00F5110F">
        <w:rPr>
          <w:rFonts w:asciiTheme="minorHAnsi" w:hAnsiTheme="minorHAnsi"/>
          <w:lang w:val="en-US"/>
        </w:rPr>
        <w:t xml:space="preserve"> telefax/letter, or</w:t>
      </w:r>
      <w:r w:rsidRPr="00F5110F">
        <w:rPr>
          <w:rFonts w:asciiTheme="minorHAnsi" w:hAnsiTheme="minorHAnsi"/>
          <w:lang w:eastAsia="zh-CN"/>
        </w:rPr>
        <w:t xml:space="preserve"> </w:t>
      </w:r>
      <w:r w:rsidRPr="00F5110F">
        <w:rPr>
          <w:rFonts w:asciiTheme="minorHAnsi" w:hAnsiTheme="minorHAnsi"/>
          <w:lang w:val="en-US"/>
        </w:rPr>
        <w:t>in an attachment to the</w:t>
      </w:r>
      <w:r w:rsidR="00D83FF6">
        <w:rPr>
          <w:rFonts w:asciiTheme="minorHAnsi" w:hAnsiTheme="minorHAnsi"/>
          <w:lang w:val="en-US"/>
        </w:rPr>
        <w:t>ir</w:t>
      </w:r>
      <w:r w:rsidRPr="00F5110F">
        <w:rPr>
          <w:rFonts w:asciiTheme="minorHAnsi" w:hAnsiTheme="minorHAnsi"/>
          <w:lang w:val="en-US"/>
        </w:rPr>
        <w:t xml:space="preserve"> electronic notice.</w:t>
      </w:r>
    </w:p>
    <w:p w:rsidR="00224F90" w:rsidRPr="00F5110F" w:rsidRDefault="00224F90" w:rsidP="005675DC">
      <w:pPr>
        <w:pStyle w:val="ListParagraph"/>
        <w:numPr>
          <w:ilvl w:val="0"/>
          <w:numId w:val="1"/>
        </w:numPr>
        <w:spacing w:before="240" w:after="240"/>
        <w:ind w:left="426" w:hanging="284"/>
        <w:contextualSpacing w:val="0"/>
        <w:jc w:val="both"/>
        <w:rPr>
          <w:rFonts w:asciiTheme="minorHAnsi" w:eastAsia="SimSun" w:hAnsiTheme="minorHAnsi"/>
          <w:b/>
          <w:bCs/>
          <w:lang w:eastAsia="zh-CN"/>
        </w:rPr>
      </w:pPr>
      <w:r w:rsidRPr="00F5110F">
        <w:rPr>
          <w:rFonts w:asciiTheme="minorHAnsi" w:hAnsiTheme="minorHAnsi"/>
          <w:lang w:val="en-US"/>
        </w:rPr>
        <w:t xml:space="preserve">If </w:t>
      </w:r>
      <w:r w:rsidRPr="00F5110F">
        <w:rPr>
          <w:rFonts w:asciiTheme="minorHAnsi" w:hAnsiTheme="minorHAnsi"/>
          <w:lang w:eastAsia="zh-CN"/>
        </w:rPr>
        <w:t>the use of the band is</w:t>
      </w:r>
      <w:r w:rsidR="00D83FF6">
        <w:rPr>
          <w:rFonts w:asciiTheme="minorHAnsi" w:hAnsiTheme="minorHAnsi"/>
          <w:lang w:eastAsia="zh-CN"/>
        </w:rPr>
        <w:t xml:space="preserve"> to be</w:t>
      </w:r>
      <w:r w:rsidRPr="00F5110F">
        <w:rPr>
          <w:rFonts w:asciiTheme="minorHAnsi" w:hAnsiTheme="minorHAnsi"/>
          <w:lang w:eastAsia="zh-CN"/>
        </w:rPr>
        <w:t xml:space="preserve"> in accordance with Resolution </w:t>
      </w:r>
      <w:r w:rsidRPr="00F5110F">
        <w:rPr>
          <w:rFonts w:asciiTheme="minorHAnsi" w:hAnsiTheme="minorHAnsi"/>
          <w:b/>
          <w:bCs/>
          <w:lang w:eastAsia="zh-CN"/>
        </w:rPr>
        <w:t>163</w:t>
      </w:r>
      <w:r w:rsidRPr="00F5110F">
        <w:rPr>
          <w:rFonts w:asciiTheme="minorHAnsi" w:hAnsiTheme="minorHAnsi"/>
          <w:lang w:eastAsia="zh-CN"/>
        </w:rPr>
        <w:t xml:space="preserve"> or </w:t>
      </w:r>
      <w:r w:rsidRPr="00F5110F">
        <w:rPr>
          <w:rFonts w:asciiTheme="minorHAnsi" w:hAnsiTheme="minorHAnsi"/>
          <w:b/>
          <w:bCs/>
          <w:lang w:eastAsia="zh-CN"/>
        </w:rPr>
        <w:t>164</w:t>
      </w:r>
      <w:r w:rsidRPr="00F5110F">
        <w:rPr>
          <w:rFonts w:asciiTheme="minorHAnsi" w:hAnsiTheme="minorHAnsi"/>
          <w:lang w:eastAsia="zh-CN"/>
        </w:rPr>
        <w:t xml:space="preserve">, the earth station diameter, in metres as required </w:t>
      </w:r>
      <w:r w:rsidR="001B5EF1">
        <w:rPr>
          <w:rFonts w:asciiTheme="minorHAnsi" w:hAnsiTheme="minorHAnsi"/>
          <w:lang w:eastAsia="zh-CN"/>
        </w:rPr>
        <w:t>under</w:t>
      </w:r>
      <w:r w:rsidR="001B5EF1" w:rsidRPr="00F5110F">
        <w:rPr>
          <w:rFonts w:asciiTheme="minorHAnsi" w:hAnsiTheme="minorHAnsi"/>
          <w:lang w:eastAsia="zh-CN"/>
        </w:rPr>
        <w:t xml:space="preserve"> </w:t>
      </w:r>
      <w:r w:rsidRPr="00F5110F">
        <w:rPr>
          <w:rFonts w:asciiTheme="minorHAnsi" w:hAnsiTheme="minorHAnsi"/>
          <w:lang w:eastAsia="zh-CN"/>
        </w:rPr>
        <w:t xml:space="preserve">C.10.d.7 of Appendix </w:t>
      </w:r>
      <w:r w:rsidRPr="00F5110F">
        <w:rPr>
          <w:rFonts w:asciiTheme="minorHAnsi" w:hAnsiTheme="minorHAnsi"/>
          <w:b/>
          <w:bCs/>
          <w:lang w:eastAsia="zh-CN"/>
        </w:rPr>
        <w:t>4</w:t>
      </w:r>
      <w:r w:rsidRPr="00F5110F">
        <w:rPr>
          <w:rFonts w:asciiTheme="minorHAnsi" w:hAnsiTheme="minorHAnsi"/>
          <w:lang w:eastAsia="zh-CN"/>
        </w:rPr>
        <w:t>, should be provided for all associated earth stations operating in frequency assignment groups.</w:t>
      </w:r>
      <w:r w:rsidRPr="00F5110F">
        <w:rPr>
          <w:rFonts w:asciiTheme="minorHAnsi" w:hAnsiTheme="minorHAnsi"/>
          <w:lang w:val="en-US"/>
        </w:rPr>
        <w:t xml:space="preserve"> This item should be captured in the electronic notice using </w:t>
      </w:r>
      <w:proofErr w:type="spellStart"/>
      <w:r w:rsidRPr="00F5110F">
        <w:rPr>
          <w:rFonts w:asciiTheme="minorHAnsi" w:hAnsiTheme="minorHAnsi"/>
          <w:lang w:val="en-US"/>
        </w:rPr>
        <w:t>SpaceCap</w:t>
      </w:r>
      <w:proofErr w:type="spellEnd"/>
      <w:r w:rsidRPr="00F5110F">
        <w:rPr>
          <w:rFonts w:asciiTheme="minorHAnsi" w:hAnsiTheme="minorHAnsi"/>
          <w:lang w:val="en-US"/>
        </w:rPr>
        <w:t>.</w:t>
      </w:r>
    </w:p>
    <w:p w:rsidR="00224F90" w:rsidRPr="00DE25CD" w:rsidRDefault="00224F90" w:rsidP="00224F9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after="240" w:line="240" w:lineRule="auto"/>
        <w:ind w:left="142"/>
        <w:textAlignment w:val="auto"/>
        <w:rPr>
          <w:rFonts w:asciiTheme="minorHAnsi" w:hAnsiTheme="minorHAnsi"/>
          <w:sz w:val="24"/>
          <w:szCs w:val="24"/>
          <w:lang w:eastAsia="zh-CN"/>
        </w:rPr>
      </w:pPr>
      <w:r w:rsidRPr="00DE25CD">
        <w:rPr>
          <w:rFonts w:asciiTheme="minorHAnsi" w:eastAsia="SimSun" w:hAnsiTheme="minorHAnsi"/>
          <w:b/>
          <w:bCs/>
          <w:sz w:val="24"/>
          <w:szCs w:val="24"/>
          <w:lang w:eastAsia="zh-CN"/>
        </w:rPr>
        <w:t>Submissions of information in the band 1 087.7-1 092.3 MHz by AMS(R</w:t>
      </w:r>
      <w:proofErr w:type="gramStart"/>
      <w:r w:rsidRPr="00DE25CD">
        <w:rPr>
          <w:rFonts w:asciiTheme="minorHAnsi" w:eastAsia="SimSun" w:hAnsiTheme="minorHAnsi"/>
          <w:b/>
          <w:bCs/>
          <w:sz w:val="24"/>
          <w:szCs w:val="24"/>
          <w:lang w:eastAsia="zh-CN"/>
        </w:rPr>
        <w:t>)S</w:t>
      </w:r>
      <w:proofErr w:type="gramEnd"/>
      <w:r w:rsidRPr="00DE25CD">
        <w:rPr>
          <w:rFonts w:asciiTheme="minorHAnsi" w:eastAsia="SimSun" w:hAnsiTheme="minorHAnsi"/>
          <w:b/>
          <w:bCs/>
          <w:sz w:val="24"/>
          <w:szCs w:val="24"/>
          <w:lang w:eastAsia="zh-CN"/>
        </w:rPr>
        <w:t xml:space="preserve"> systems</w:t>
      </w:r>
    </w:p>
    <w:p w:rsidR="00224F90" w:rsidRPr="00F5110F" w:rsidRDefault="00224F90" w:rsidP="00BB6CE1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after="240" w:line="240" w:lineRule="auto"/>
        <w:ind w:left="142"/>
        <w:textAlignment w:val="auto"/>
        <w:rPr>
          <w:rFonts w:asciiTheme="minorHAnsi" w:eastAsiaTheme="minorEastAsia" w:hAnsiTheme="minorHAnsi" w:cs="TimesNewRomanPSMT"/>
          <w:sz w:val="24"/>
          <w:szCs w:val="24"/>
          <w:lang w:eastAsia="zh-CN"/>
        </w:rPr>
      </w:pPr>
      <w:r>
        <w:rPr>
          <w:rFonts w:asciiTheme="minorHAnsi" w:hAnsiTheme="minorHAnsi"/>
          <w:sz w:val="24"/>
          <w:szCs w:val="24"/>
          <w:lang w:eastAsia="zh-CN"/>
        </w:rPr>
        <w:t>I</w:t>
      </w:r>
      <w:r w:rsidRPr="00F5110F">
        <w:rPr>
          <w:rFonts w:asciiTheme="minorHAnsi" w:hAnsiTheme="minorHAnsi"/>
          <w:sz w:val="24"/>
          <w:szCs w:val="24"/>
          <w:lang w:eastAsia="zh-CN"/>
        </w:rPr>
        <w:t xml:space="preserve"> would like to remind </w:t>
      </w:r>
      <w:r w:rsidR="00837D2C">
        <w:rPr>
          <w:rFonts w:asciiTheme="minorHAnsi" w:hAnsiTheme="minorHAnsi"/>
          <w:sz w:val="24"/>
          <w:szCs w:val="24"/>
          <w:lang w:eastAsia="zh-CN"/>
        </w:rPr>
        <w:t>a</w:t>
      </w:r>
      <w:r w:rsidRPr="00F5110F">
        <w:rPr>
          <w:rFonts w:asciiTheme="minorHAnsi" w:hAnsiTheme="minorHAnsi"/>
          <w:sz w:val="24"/>
          <w:szCs w:val="24"/>
          <w:lang w:eastAsia="zh-CN"/>
        </w:rPr>
        <w:t>dminis</w:t>
      </w:r>
      <w:r>
        <w:rPr>
          <w:rFonts w:asciiTheme="minorHAnsi" w:hAnsiTheme="minorHAnsi"/>
          <w:sz w:val="24"/>
          <w:szCs w:val="24"/>
          <w:lang w:eastAsia="zh-CN"/>
        </w:rPr>
        <w:t xml:space="preserve">trations that, as described in </w:t>
      </w:r>
      <w:r w:rsidR="00837D2C">
        <w:rPr>
          <w:rFonts w:asciiTheme="minorHAnsi" w:hAnsiTheme="minorHAnsi"/>
          <w:sz w:val="24"/>
          <w:szCs w:val="24"/>
          <w:lang w:eastAsia="zh-CN"/>
        </w:rPr>
        <w:t>C</w:t>
      </w:r>
      <w:r>
        <w:rPr>
          <w:rFonts w:asciiTheme="minorHAnsi" w:hAnsiTheme="minorHAnsi"/>
          <w:sz w:val="24"/>
          <w:szCs w:val="24"/>
          <w:lang w:eastAsia="zh-CN"/>
        </w:rPr>
        <w:t xml:space="preserve">ircular </w:t>
      </w:r>
      <w:r w:rsidR="00837D2C">
        <w:rPr>
          <w:rFonts w:asciiTheme="minorHAnsi" w:hAnsiTheme="minorHAnsi"/>
          <w:sz w:val="24"/>
          <w:szCs w:val="24"/>
          <w:lang w:eastAsia="zh-CN"/>
        </w:rPr>
        <w:t>L</w:t>
      </w:r>
      <w:r w:rsidRPr="00F5110F">
        <w:rPr>
          <w:rFonts w:asciiTheme="minorHAnsi" w:hAnsiTheme="minorHAnsi"/>
          <w:sz w:val="24"/>
          <w:szCs w:val="24"/>
          <w:lang w:eastAsia="zh-CN"/>
        </w:rPr>
        <w:t xml:space="preserve">etter CR/394, </w:t>
      </w:r>
      <w:r w:rsidR="002E3EB3">
        <w:rPr>
          <w:rFonts w:asciiTheme="minorHAnsi" w:hAnsiTheme="minorHAnsi"/>
          <w:sz w:val="24"/>
          <w:szCs w:val="24"/>
          <w:lang w:eastAsia="zh-CN"/>
        </w:rPr>
        <w:t xml:space="preserve">notices for </w:t>
      </w:r>
      <w:r w:rsidR="00837D2C">
        <w:rPr>
          <w:rFonts w:asciiTheme="minorHAnsi" w:hAnsiTheme="minorHAnsi"/>
          <w:sz w:val="24"/>
          <w:szCs w:val="24"/>
          <w:lang w:eastAsia="zh-CN"/>
        </w:rPr>
        <w:t xml:space="preserve">use of </w:t>
      </w:r>
      <w:r w:rsidRPr="00F5110F">
        <w:rPr>
          <w:rFonts w:asciiTheme="minorHAnsi" w:eastAsiaTheme="minorEastAsia" w:hAnsiTheme="minorHAnsi" w:cs="TimesNewRomanPSMT"/>
          <w:sz w:val="24"/>
          <w:szCs w:val="24"/>
          <w:lang w:eastAsia="zh-CN"/>
        </w:rPr>
        <w:t xml:space="preserve">the frequency band 1 087.7-1 092.3 MHz by </w:t>
      </w:r>
      <w:r w:rsidR="005675DC">
        <w:rPr>
          <w:rFonts w:asciiTheme="minorHAnsi" w:eastAsiaTheme="minorEastAsia" w:hAnsiTheme="minorHAnsi" w:cs="TimesNewRomanPSMT"/>
          <w:sz w:val="24"/>
          <w:szCs w:val="24"/>
          <w:lang w:eastAsia="zh-CN"/>
        </w:rPr>
        <w:t>a</w:t>
      </w:r>
      <w:r w:rsidRPr="00F5110F">
        <w:rPr>
          <w:rFonts w:asciiTheme="minorHAnsi" w:eastAsiaTheme="minorEastAsia" w:hAnsiTheme="minorHAnsi" w:cs="TimesNewRomanPSMT"/>
          <w:sz w:val="24"/>
          <w:szCs w:val="24"/>
          <w:lang w:eastAsia="zh-CN"/>
        </w:rPr>
        <w:t xml:space="preserve">eronautical </w:t>
      </w:r>
      <w:r w:rsidR="005675DC">
        <w:rPr>
          <w:rFonts w:asciiTheme="minorHAnsi" w:eastAsiaTheme="minorEastAsia" w:hAnsiTheme="minorHAnsi" w:cs="TimesNewRomanPSMT"/>
          <w:sz w:val="24"/>
          <w:szCs w:val="24"/>
          <w:lang w:eastAsia="zh-CN"/>
        </w:rPr>
        <w:t>m</w:t>
      </w:r>
      <w:r w:rsidRPr="00F5110F">
        <w:rPr>
          <w:rFonts w:asciiTheme="minorHAnsi" w:eastAsiaTheme="minorEastAsia" w:hAnsiTheme="minorHAnsi" w:cs="TimesNewRomanPSMT"/>
          <w:sz w:val="24"/>
          <w:szCs w:val="24"/>
          <w:lang w:eastAsia="zh-CN"/>
        </w:rPr>
        <w:t>obile-</w:t>
      </w:r>
      <w:r w:rsidR="005675DC">
        <w:rPr>
          <w:rFonts w:asciiTheme="minorHAnsi" w:eastAsiaTheme="minorEastAsia" w:hAnsiTheme="minorHAnsi" w:cs="TimesNewRomanPSMT"/>
          <w:sz w:val="24"/>
          <w:szCs w:val="24"/>
          <w:lang w:eastAsia="zh-CN"/>
        </w:rPr>
        <w:t>s</w:t>
      </w:r>
      <w:r w:rsidRPr="00F5110F">
        <w:rPr>
          <w:rFonts w:asciiTheme="minorHAnsi" w:eastAsiaTheme="minorEastAsia" w:hAnsiTheme="minorHAnsi" w:cs="TimesNewRomanPSMT"/>
          <w:sz w:val="24"/>
          <w:szCs w:val="24"/>
          <w:lang w:eastAsia="zh-CN"/>
        </w:rPr>
        <w:t xml:space="preserve">atellite (R) </w:t>
      </w:r>
      <w:r w:rsidR="005675DC">
        <w:rPr>
          <w:rFonts w:asciiTheme="minorHAnsi" w:eastAsiaTheme="minorEastAsia" w:hAnsiTheme="minorHAnsi" w:cs="TimesNewRomanPSMT"/>
          <w:sz w:val="24"/>
          <w:szCs w:val="24"/>
          <w:lang w:eastAsia="zh-CN"/>
        </w:rPr>
        <w:t>s</w:t>
      </w:r>
      <w:r w:rsidRPr="00F5110F">
        <w:rPr>
          <w:rFonts w:asciiTheme="minorHAnsi" w:eastAsiaTheme="minorEastAsia" w:hAnsiTheme="minorHAnsi" w:cs="TimesNewRomanPSMT"/>
          <w:sz w:val="24"/>
          <w:szCs w:val="24"/>
          <w:lang w:eastAsia="zh-CN"/>
        </w:rPr>
        <w:t xml:space="preserve">ervice </w:t>
      </w:r>
      <w:r w:rsidRPr="00BB6CE1">
        <w:rPr>
          <w:rFonts w:asciiTheme="minorHAnsi" w:eastAsiaTheme="minorEastAsia" w:hAnsiTheme="minorHAnsi" w:cs="TimesNewRomanPSMT"/>
          <w:sz w:val="24"/>
          <w:szCs w:val="24"/>
          <w:lang w:eastAsia="zh-CN"/>
        </w:rPr>
        <w:t>(AMS(R)</w:t>
      </w:r>
      <w:r w:rsidR="00837D2C" w:rsidRPr="00BB6CE1">
        <w:rPr>
          <w:rFonts w:asciiTheme="minorHAnsi" w:eastAsiaTheme="minorEastAsia" w:hAnsiTheme="minorHAnsi" w:cs="TimesNewRomanPSMT"/>
          <w:sz w:val="24"/>
          <w:szCs w:val="24"/>
          <w:lang w:eastAsia="zh-CN"/>
        </w:rPr>
        <w:t>S)</w:t>
      </w:r>
      <w:r w:rsidRPr="00F5110F">
        <w:rPr>
          <w:rFonts w:asciiTheme="minorHAnsi" w:eastAsiaTheme="minorEastAsia" w:hAnsiTheme="minorHAnsi" w:cs="TimesNewRomanPSMT"/>
          <w:sz w:val="24"/>
          <w:szCs w:val="24"/>
          <w:lang w:eastAsia="zh-CN"/>
        </w:rPr>
        <w:t xml:space="preserve"> systems shall be submitted using a</w:t>
      </w:r>
      <w:r w:rsidR="00BB6CE1">
        <w:rPr>
          <w:rFonts w:asciiTheme="minorHAnsi" w:eastAsiaTheme="minorEastAsia" w:hAnsiTheme="minorHAnsi" w:cs="TimesNewRomanPSMT"/>
          <w:sz w:val="24"/>
          <w:szCs w:val="24"/>
          <w:lang w:eastAsia="zh-CN"/>
        </w:rPr>
        <w:t>n</w:t>
      </w:r>
      <w:r w:rsidRPr="00F5110F">
        <w:rPr>
          <w:rFonts w:asciiTheme="minorHAnsi" w:eastAsiaTheme="minorEastAsia" w:hAnsiTheme="minorHAnsi" w:cs="TimesNewRomanPSMT"/>
          <w:sz w:val="24"/>
          <w:szCs w:val="24"/>
          <w:lang w:eastAsia="zh-CN"/>
        </w:rPr>
        <w:t xml:space="preserve"> </w:t>
      </w:r>
      <w:r w:rsidR="00BB6CE1" w:rsidRPr="00C66DAC">
        <w:rPr>
          <w:rFonts w:asciiTheme="minorHAnsi" w:eastAsiaTheme="minorEastAsia" w:hAnsiTheme="minorHAnsi" w:cs="TimesNewRomanPSMT"/>
          <w:sz w:val="24"/>
          <w:szCs w:val="24"/>
          <w:lang w:eastAsia="zh-CN"/>
        </w:rPr>
        <w:t>established</w:t>
      </w:r>
      <w:r w:rsidRPr="00F5110F">
        <w:rPr>
          <w:rFonts w:asciiTheme="minorHAnsi" w:eastAsiaTheme="minorEastAsia" w:hAnsiTheme="minorHAnsi" w:cs="TimesNewRomanPSMT"/>
          <w:sz w:val="24"/>
          <w:szCs w:val="24"/>
          <w:lang w:eastAsia="zh-CN"/>
        </w:rPr>
        <w:t xml:space="preserve"> class of station symbol.</w:t>
      </w:r>
    </w:p>
    <w:p w:rsidR="00224F90" w:rsidRPr="00DE25CD" w:rsidRDefault="00224F90" w:rsidP="00224F9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after="240" w:line="240" w:lineRule="auto"/>
        <w:ind w:left="142"/>
        <w:textAlignment w:val="auto"/>
        <w:rPr>
          <w:rFonts w:asciiTheme="minorHAnsi" w:eastAsia="SimSun" w:hAnsiTheme="minorHAnsi"/>
          <w:b/>
          <w:bCs/>
          <w:sz w:val="24"/>
          <w:szCs w:val="24"/>
          <w:lang w:eastAsia="zh-CN"/>
        </w:rPr>
      </w:pPr>
      <w:bookmarkStart w:id="0" w:name="_GoBack"/>
      <w:r w:rsidRPr="00DE25CD">
        <w:rPr>
          <w:rFonts w:asciiTheme="minorHAnsi" w:eastAsia="SimSun" w:hAnsiTheme="minorHAnsi"/>
          <w:b/>
          <w:bCs/>
          <w:sz w:val="24"/>
          <w:szCs w:val="24"/>
          <w:lang w:eastAsia="zh-CN"/>
        </w:rPr>
        <w:t>Submissions of information under Resolution 40 (WRC-15)</w:t>
      </w:r>
    </w:p>
    <w:bookmarkEnd w:id="0"/>
    <w:p w:rsidR="00224F90" w:rsidRPr="00F5110F" w:rsidRDefault="00224F90" w:rsidP="00224F90">
      <w:pPr>
        <w:pStyle w:val="Message"/>
        <w:tabs>
          <w:tab w:val="left" w:pos="-426"/>
          <w:tab w:val="left" w:pos="720"/>
        </w:tabs>
        <w:spacing w:after="240" w:line="240" w:lineRule="auto"/>
        <w:ind w:left="142" w:right="0"/>
        <w:jc w:val="both"/>
        <w:rPr>
          <w:rFonts w:asciiTheme="minorHAnsi" w:eastAsia="SimSun" w:hAnsiTheme="minorHAnsi"/>
          <w:sz w:val="24"/>
          <w:szCs w:val="24"/>
          <w:lang w:val="en-GB" w:eastAsia="zh-CN"/>
        </w:rPr>
      </w:pPr>
      <w:r>
        <w:rPr>
          <w:rFonts w:asciiTheme="minorHAnsi" w:hAnsiTheme="minorHAnsi"/>
          <w:sz w:val="24"/>
          <w:szCs w:val="24"/>
          <w:lang w:eastAsia="zh-CN"/>
        </w:rPr>
        <w:t>I</w:t>
      </w:r>
      <w:r w:rsidRPr="00F5110F">
        <w:rPr>
          <w:rFonts w:asciiTheme="minorHAnsi" w:hAnsiTheme="minorHAnsi"/>
          <w:sz w:val="24"/>
          <w:szCs w:val="24"/>
          <w:lang w:eastAsia="zh-CN"/>
        </w:rPr>
        <w:t xml:space="preserve"> would like to remind </w:t>
      </w:r>
      <w:r w:rsidR="00837D2C">
        <w:rPr>
          <w:rFonts w:asciiTheme="minorHAnsi" w:hAnsiTheme="minorHAnsi"/>
          <w:sz w:val="24"/>
          <w:szCs w:val="24"/>
          <w:lang w:eastAsia="zh-CN"/>
        </w:rPr>
        <w:t>a</w:t>
      </w:r>
      <w:r w:rsidRPr="00F5110F">
        <w:rPr>
          <w:rFonts w:asciiTheme="minorHAnsi" w:hAnsiTheme="minorHAnsi"/>
          <w:sz w:val="24"/>
          <w:szCs w:val="24"/>
          <w:lang w:eastAsia="zh-CN"/>
        </w:rPr>
        <w:t>dminis</w:t>
      </w:r>
      <w:r>
        <w:rPr>
          <w:rFonts w:asciiTheme="minorHAnsi" w:hAnsiTheme="minorHAnsi"/>
          <w:sz w:val="24"/>
          <w:szCs w:val="24"/>
          <w:lang w:eastAsia="zh-CN"/>
        </w:rPr>
        <w:t xml:space="preserve">trations that, as described in </w:t>
      </w:r>
      <w:r w:rsidR="00837D2C">
        <w:rPr>
          <w:rFonts w:asciiTheme="minorHAnsi" w:hAnsiTheme="minorHAnsi"/>
          <w:sz w:val="24"/>
          <w:szCs w:val="24"/>
          <w:lang w:eastAsia="zh-CN"/>
        </w:rPr>
        <w:t>C</w:t>
      </w:r>
      <w:r>
        <w:rPr>
          <w:rFonts w:asciiTheme="minorHAnsi" w:hAnsiTheme="minorHAnsi"/>
          <w:sz w:val="24"/>
          <w:szCs w:val="24"/>
          <w:lang w:eastAsia="zh-CN"/>
        </w:rPr>
        <w:t xml:space="preserve">ircular </w:t>
      </w:r>
      <w:r w:rsidR="00837D2C">
        <w:rPr>
          <w:rFonts w:asciiTheme="minorHAnsi" w:hAnsiTheme="minorHAnsi"/>
          <w:sz w:val="24"/>
          <w:szCs w:val="24"/>
          <w:lang w:eastAsia="zh-CN"/>
        </w:rPr>
        <w:t>L</w:t>
      </w:r>
      <w:r w:rsidRPr="00F5110F">
        <w:rPr>
          <w:rFonts w:asciiTheme="minorHAnsi" w:hAnsiTheme="minorHAnsi"/>
          <w:sz w:val="24"/>
          <w:szCs w:val="24"/>
          <w:lang w:eastAsia="zh-CN"/>
        </w:rPr>
        <w:t xml:space="preserve">etter CR/396, in accordance with </w:t>
      </w:r>
      <w:r w:rsidRPr="00F5110F">
        <w:rPr>
          <w:rFonts w:asciiTheme="minorHAnsi" w:hAnsiTheme="minorHAnsi"/>
          <w:i/>
          <w:iCs/>
          <w:sz w:val="24"/>
          <w:szCs w:val="24"/>
          <w:lang w:eastAsia="zh-CN"/>
        </w:rPr>
        <w:t xml:space="preserve">resolves </w:t>
      </w:r>
      <w:r w:rsidRPr="00C66DAC">
        <w:rPr>
          <w:rFonts w:asciiTheme="minorHAnsi" w:hAnsiTheme="minorHAnsi"/>
          <w:sz w:val="24"/>
          <w:szCs w:val="24"/>
          <w:lang w:eastAsia="zh-CN"/>
        </w:rPr>
        <w:t>1</w:t>
      </w:r>
      <w:r w:rsidRPr="00F5110F">
        <w:rPr>
          <w:rFonts w:asciiTheme="minorHAnsi" w:hAnsiTheme="minorHAnsi"/>
          <w:sz w:val="24"/>
          <w:szCs w:val="24"/>
          <w:lang w:eastAsia="zh-CN"/>
        </w:rPr>
        <w:t xml:space="preserve"> of Resolution </w:t>
      </w:r>
      <w:r w:rsidRPr="00F5110F">
        <w:rPr>
          <w:rFonts w:asciiTheme="minorHAnsi" w:hAnsiTheme="minorHAnsi"/>
          <w:b/>
          <w:sz w:val="24"/>
          <w:szCs w:val="24"/>
          <w:lang w:eastAsia="zh-CN"/>
        </w:rPr>
        <w:t>40 (WRC-15)</w:t>
      </w:r>
      <w:r w:rsidRPr="00F5110F">
        <w:rPr>
          <w:rFonts w:asciiTheme="minorHAnsi" w:hAnsiTheme="minorHAnsi"/>
          <w:sz w:val="24"/>
          <w:szCs w:val="24"/>
          <w:lang w:eastAsia="zh-CN"/>
        </w:rPr>
        <w:t xml:space="preserve">, when informing the Bureau of the bringing into use, or bringing back into use after suspension, of a frequency assignment to a space station in a geostationary-satellite network, the notifying </w:t>
      </w:r>
      <w:r w:rsidR="00837D2C">
        <w:rPr>
          <w:rFonts w:asciiTheme="minorHAnsi" w:hAnsiTheme="minorHAnsi"/>
          <w:sz w:val="24"/>
          <w:szCs w:val="24"/>
          <w:lang w:eastAsia="zh-CN"/>
        </w:rPr>
        <w:t>a</w:t>
      </w:r>
      <w:r w:rsidRPr="00F5110F">
        <w:rPr>
          <w:rFonts w:asciiTheme="minorHAnsi" w:hAnsiTheme="minorHAnsi"/>
          <w:sz w:val="24"/>
          <w:szCs w:val="24"/>
          <w:lang w:eastAsia="zh-CN"/>
        </w:rPr>
        <w:t xml:space="preserve">dministration shall indicate to the Bureau whether or not this action has been accomplished with a space station that has previously been used to bring into use, or resume the use of, frequency assignments at a different orbital location within the three years prior to the date of submission of this information. The information can be provided in the form indicated in </w:t>
      </w:r>
      <w:r w:rsidR="0060466F">
        <w:rPr>
          <w:rFonts w:asciiTheme="minorHAnsi" w:hAnsiTheme="minorHAnsi"/>
          <w:sz w:val="24"/>
          <w:szCs w:val="24"/>
          <w:lang w:eastAsia="zh-CN"/>
        </w:rPr>
        <w:t xml:space="preserve">Circular Letter </w:t>
      </w:r>
      <w:r w:rsidRPr="00F5110F">
        <w:rPr>
          <w:rFonts w:asciiTheme="minorHAnsi" w:hAnsiTheme="minorHAnsi"/>
          <w:sz w:val="24"/>
          <w:szCs w:val="24"/>
          <w:lang w:eastAsia="zh-CN"/>
        </w:rPr>
        <w:t>CR/396.</w:t>
      </w:r>
    </w:p>
    <w:p w:rsidR="00224F90" w:rsidRPr="00F5110F" w:rsidRDefault="00224F90" w:rsidP="00224F90">
      <w:pPr>
        <w:pStyle w:val="Message"/>
        <w:tabs>
          <w:tab w:val="left" w:pos="-426"/>
          <w:tab w:val="left" w:pos="720"/>
        </w:tabs>
        <w:spacing w:after="240" w:line="240" w:lineRule="auto"/>
        <w:ind w:left="142" w:right="0"/>
        <w:jc w:val="both"/>
        <w:rPr>
          <w:rFonts w:asciiTheme="minorHAnsi" w:eastAsia="SimSun" w:hAnsiTheme="minorHAnsi"/>
          <w:sz w:val="24"/>
          <w:szCs w:val="24"/>
          <w:lang w:val="en-GB" w:eastAsia="zh-CN"/>
        </w:rPr>
      </w:pPr>
      <w:r>
        <w:rPr>
          <w:rFonts w:asciiTheme="minorHAnsi" w:eastAsia="SimSun" w:hAnsiTheme="minorHAnsi"/>
          <w:sz w:val="24"/>
          <w:szCs w:val="24"/>
          <w:lang w:val="en-GB" w:eastAsia="zh-CN"/>
        </w:rPr>
        <w:lastRenderedPageBreak/>
        <w:t>I trust</w:t>
      </w:r>
      <w:r w:rsidRPr="00F5110F">
        <w:rPr>
          <w:rFonts w:asciiTheme="minorHAnsi" w:eastAsia="SimSun" w:hAnsiTheme="minorHAnsi"/>
          <w:sz w:val="24"/>
          <w:szCs w:val="24"/>
          <w:lang w:val="en-GB" w:eastAsia="zh-CN"/>
        </w:rPr>
        <w:t xml:space="preserve"> that the information provided above is useful</w:t>
      </w:r>
      <w:r w:rsidR="00A87A29">
        <w:rPr>
          <w:rFonts w:asciiTheme="minorHAnsi" w:eastAsia="SimSun" w:hAnsiTheme="minorHAnsi"/>
          <w:sz w:val="24"/>
          <w:szCs w:val="24"/>
          <w:lang w:val="en-GB" w:eastAsia="zh-CN"/>
        </w:rPr>
        <w:t>. T</w:t>
      </w:r>
      <w:r w:rsidRPr="00F5110F">
        <w:rPr>
          <w:rFonts w:asciiTheme="minorHAnsi" w:eastAsia="SimSun" w:hAnsiTheme="minorHAnsi"/>
          <w:sz w:val="24"/>
          <w:szCs w:val="24"/>
          <w:lang w:val="en-GB" w:eastAsia="zh-CN"/>
        </w:rPr>
        <w:t xml:space="preserve">he </w:t>
      </w:r>
      <w:proofErr w:type="spellStart"/>
      <w:r w:rsidRPr="00F5110F">
        <w:rPr>
          <w:rFonts w:asciiTheme="minorHAnsi" w:eastAsia="SimSun" w:hAnsiTheme="minorHAnsi"/>
          <w:sz w:val="24"/>
          <w:szCs w:val="24"/>
          <w:lang w:val="en-GB" w:eastAsia="zh-CN"/>
        </w:rPr>
        <w:t>Radiocommunication</w:t>
      </w:r>
      <w:proofErr w:type="spellEnd"/>
      <w:r w:rsidRPr="00F5110F">
        <w:rPr>
          <w:rFonts w:asciiTheme="minorHAnsi" w:eastAsia="SimSun" w:hAnsiTheme="minorHAnsi"/>
          <w:sz w:val="24"/>
          <w:szCs w:val="24"/>
          <w:lang w:val="en-GB" w:eastAsia="zh-CN"/>
        </w:rPr>
        <w:t xml:space="preserve"> Bureau remains at the disposal of your </w:t>
      </w:r>
      <w:r w:rsidR="00A87A29">
        <w:rPr>
          <w:rFonts w:asciiTheme="minorHAnsi" w:eastAsia="SimSun" w:hAnsiTheme="minorHAnsi"/>
          <w:sz w:val="24"/>
          <w:szCs w:val="24"/>
          <w:lang w:val="en-GB" w:eastAsia="zh-CN"/>
        </w:rPr>
        <w:t>a</w:t>
      </w:r>
      <w:r w:rsidRPr="00F5110F">
        <w:rPr>
          <w:rFonts w:asciiTheme="minorHAnsi" w:eastAsia="SimSun" w:hAnsiTheme="minorHAnsi"/>
          <w:sz w:val="24"/>
          <w:szCs w:val="24"/>
          <w:lang w:val="en-GB" w:eastAsia="zh-CN"/>
        </w:rPr>
        <w:t xml:space="preserve">dministration for any further information </w:t>
      </w:r>
      <w:r w:rsidR="00A87A29">
        <w:rPr>
          <w:rFonts w:asciiTheme="minorHAnsi" w:eastAsia="SimSun" w:hAnsiTheme="minorHAnsi"/>
          <w:sz w:val="24"/>
          <w:szCs w:val="24"/>
          <w:lang w:val="en-GB" w:eastAsia="zh-CN"/>
        </w:rPr>
        <w:t>it</w:t>
      </w:r>
      <w:r w:rsidRPr="00F5110F">
        <w:rPr>
          <w:rFonts w:asciiTheme="minorHAnsi" w:eastAsia="SimSun" w:hAnsiTheme="minorHAnsi"/>
          <w:sz w:val="24"/>
          <w:szCs w:val="24"/>
          <w:lang w:val="en-GB" w:eastAsia="zh-CN"/>
        </w:rPr>
        <w:t xml:space="preserve"> may require.</w:t>
      </w:r>
    </w:p>
    <w:p w:rsidR="00224F90" w:rsidRPr="002C73A0" w:rsidRDefault="00224F90" w:rsidP="00224F90">
      <w:pPr>
        <w:spacing w:before="1680" w:line="24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F5110F">
        <w:rPr>
          <w:rFonts w:asciiTheme="minorHAnsi" w:hAnsiTheme="minorHAnsi" w:cstheme="minorHAnsi"/>
          <w:sz w:val="24"/>
          <w:szCs w:val="24"/>
        </w:rPr>
        <w:t xml:space="preserve">François </w:t>
      </w:r>
      <w:r w:rsidRPr="002C73A0">
        <w:rPr>
          <w:rFonts w:asciiTheme="minorHAnsi" w:hAnsiTheme="minorHAnsi" w:cstheme="minorHAnsi"/>
          <w:sz w:val="24"/>
          <w:szCs w:val="24"/>
        </w:rPr>
        <w:t>Rancy</w:t>
      </w:r>
    </w:p>
    <w:p w:rsidR="00224F90" w:rsidRPr="002C73A0" w:rsidRDefault="00224F90" w:rsidP="00224F90">
      <w:pPr>
        <w:spacing w:before="0" w:line="24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2C73A0">
        <w:rPr>
          <w:rFonts w:asciiTheme="minorHAnsi" w:hAnsiTheme="minorHAnsi" w:cstheme="minorHAnsi"/>
          <w:sz w:val="24"/>
          <w:szCs w:val="24"/>
        </w:rPr>
        <w:t>Director</w:t>
      </w:r>
    </w:p>
    <w:p w:rsidR="00224F90" w:rsidRPr="002C73A0" w:rsidRDefault="00224F90" w:rsidP="00224F90">
      <w:pPr>
        <w:spacing w:before="0" w:line="240" w:lineRule="auto"/>
        <w:ind w:left="142"/>
        <w:rPr>
          <w:rFonts w:asciiTheme="minorHAnsi" w:hAnsiTheme="minorHAnsi" w:cstheme="minorHAnsi"/>
          <w:sz w:val="24"/>
          <w:szCs w:val="24"/>
        </w:rPr>
      </w:pPr>
    </w:p>
    <w:p w:rsidR="00224F90" w:rsidRPr="002C73A0" w:rsidRDefault="00224F90" w:rsidP="00224F90">
      <w:pPr>
        <w:spacing w:before="0" w:line="240" w:lineRule="auto"/>
        <w:ind w:left="142"/>
        <w:rPr>
          <w:rFonts w:asciiTheme="minorHAnsi" w:hAnsiTheme="minorHAnsi" w:cstheme="minorHAnsi"/>
          <w:sz w:val="24"/>
          <w:szCs w:val="24"/>
        </w:rPr>
      </w:pPr>
    </w:p>
    <w:p w:rsidR="00224F90" w:rsidRPr="002C73A0" w:rsidRDefault="00224F90" w:rsidP="00224F90">
      <w:pPr>
        <w:spacing w:before="0" w:line="240" w:lineRule="auto"/>
        <w:ind w:left="142"/>
        <w:rPr>
          <w:rFonts w:asciiTheme="minorHAnsi" w:hAnsiTheme="minorHAnsi" w:cstheme="minorHAnsi"/>
          <w:sz w:val="24"/>
          <w:szCs w:val="24"/>
        </w:rPr>
      </w:pPr>
    </w:p>
    <w:p w:rsidR="00224F90" w:rsidRPr="002C73A0" w:rsidRDefault="00224F90" w:rsidP="00224F90">
      <w:pPr>
        <w:spacing w:before="0" w:line="240" w:lineRule="auto"/>
        <w:ind w:left="142"/>
        <w:rPr>
          <w:rFonts w:asciiTheme="minorHAnsi" w:hAnsiTheme="minorHAnsi" w:cstheme="minorHAnsi"/>
          <w:sz w:val="24"/>
          <w:szCs w:val="24"/>
        </w:rPr>
      </w:pPr>
    </w:p>
    <w:p w:rsidR="00224F90" w:rsidRPr="002C73A0" w:rsidRDefault="00224F90" w:rsidP="00224F90">
      <w:pPr>
        <w:spacing w:before="0" w:line="240" w:lineRule="auto"/>
        <w:ind w:left="142"/>
        <w:rPr>
          <w:rFonts w:asciiTheme="minorHAnsi" w:hAnsiTheme="minorHAnsi" w:cstheme="minorHAnsi"/>
          <w:sz w:val="24"/>
          <w:szCs w:val="24"/>
        </w:rPr>
      </w:pPr>
    </w:p>
    <w:p w:rsidR="00224F90" w:rsidRDefault="00224F90" w:rsidP="00224F90">
      <w:pPr>
        <w:spacing w:line="240" w:lineRule="auto"/>
        <w:ind w:left="142"/>
        <w:rPr>
          <w:sz w:val="24"/>
          <w:szCs w:val="24"/>
        </w:rPr>
      </w:pPr>
    </w:p>
    <w:p w:rsidR="00224F90" w:rsidRDefault="00224F90" w:rsidP="00224F90">
      <w:pPr>
        <w:spacing w:line="240" w:lineRule="auto"/>
        <w:ind w:left="142"/>
        <w:rPr>
          <w:sz w:val="24"/>
          <w:szCs w:val="24"/>
        </w:rPr>
      </w:pPr>
    </w:p>
    <w:p w:rsidR="00224F90" w:rsidRDefault="00224F90" w:rsidP="00224F90">
      <w:pPr>
        <w:spacing w:line="240" w:lineRule="auto"/>
        <w:ind w:left="142"/>
        <w:rPr>
          <w:sz w:val="24"/>
          <w:szCs w:val="24"/>
        </w:rPr>
      </w:pPr>
    </w:p>
    <w:p w:rsidR="00224F90" w:rsidRDefault="00224F90" w:rsidP="00224F90">
      <w:pPr>
        <w:spacing w:line="240" w:lineRule="auto"/>
        <w:ind w:left="142"/>
        <w:rPr>
          <w:sz w:val="24"/>
          <w:szCs w:val="24"/>
        </w:rPr>
      </w:pPr>
    </w:p>
    <w:p w:rsidR="00224F90" w:rsidRDefault="00224F90" w:rsidP="00224F90">
      <w:pPr>
        <w:spacing w:line="240" w:lineRule="auto"/>
        <w:ind w:left="142"/>
        <w:rPr>
          <w:sz w:val="24"/>
          <w:szCs w:val="24"/>
        </w:rPr>
      </w:pPr>
    </w:p>
    <w:p w:rsidR="00224F90" w:rsidRDefault="00224F90" w:rsidP="00224F90">
      <w:pPr>
        <w:spacing w:line="240" w:lineRule="auto"/>
        <w:ind w:left="142"/>
        <w:rPr>
          <w:sz w:val="24"/>
          <w:szCs w:val="24"/>
        </w:rPr>
      </w:pPr>
    </w:p>
    <w:p w:rsidR="00224F90" w:rsidRDefault="00224F90" w:rsidP="00224F90">
      <w:pPr>
        <w:spacing w:line="240" w:lineRule="auto"/>
        <w:ind w:left="142"/>
        <w:rPr>
          <w:sz w:val="24"/>
          <w:szCs w:val="24"/>
        </w:rPr>
      </w:pPr>
    </w:p>
    <w:p w:rsidR="00224F90" w:rsidRDefault="00224F90" w:rsidP="00224F90">
      <w:pPr>
        <w:spacing w:line="240" w:lineRule="auto"/>
        <w:ind w:left="142"/>
        <w:rPr>
          <w:sz w:val="24"/>
          <w:szCs w:val="24"/>
        </w:rPr>
      </w:pPr>
    </w:p>
    <w:p w:rsidR="00224F90" w:rsidRDefault="00224F90" w:rsidP="00224F90">
      <w:pPr>
        <w:spacing w:line="240" w:lineRule="auto"/>
        <w:ind w:left="142"/>
        <w:rPr>
          <w:sz w:val="24"/>
          <w:szCs w:val="24"/>
        </w:rPr>
      </w:pPr>
    </w:p>
    <w:p w:rsidR="00224F90" w:rsidRDefault="00224F90" w:rsidP="00224F90">
      <w:pPr>
        <w:spacing w:line="240" w:lineRule="auto"/>
        <w:ind w:left="142"/>
        <w:rPr>
          <w:sz w:val="24"/>
          <w:szCs w:val="24"/>
        </w:rPr>
      </w:pPr>
    </w:p>
    <w:p w:rsidR="00224F90" w:rsidRDefault="00224F90" w:rsidP="00224F90">
      <w:pPr>
        <w:spacing w:line="240" w:lineRule="auto"/>
        <w:ind w:left="142"/>
        <w:rPr>
          <w:sz w:val="24"/>
          <w:szCs w:val="24"/>
        </w:rPr>
      </w:pPr>
    </w:p>
    <w:p w:rsidR="00224F90" w:rsidRDefault="00224F90" w:rsidP="00224F90">
      <w:pPr>
        <w:spacing w:line="240" w:lineRule="auto"/>
        <w:ind w:left="142"/>
        <w:rPr>
          <w:sz w:val="24"/>
          <w:szCs w:val="24"/>
        </w:rPr>
      </w:pPr>
    </w:p>
    <w:p w:rsidR="00224F90" w:rsidRDefault="00224F90" w:rsidP="00224F90">
      <w:pPr>
        <w:spacing w:line="240" w:lineRule="auto"/>
        <w:ind w:left="142"/>
        <w:rPr>
          <w:sz w:val="24"/>
          <w:szCs w:val="24"/>
        </w:rPr>
      </w:pPr>
    </w:p>
    <w:p w:rsidR="00224F90" w:rsidRPr="002C73A0" w:rsidRDefault="00224F90" w:rsidP="00224F90">
      <w:pPr>
        <w:spacing w:line="240" w:lineRule="auto"/>
        <w:ind w:left="142"/>
        <w:rPr>
          <w:sz w:val="24"/>
          <w:szCs w:val="24"/>
        </w:rPr>
      </w:pPr>
    </w:p>
    <w:p w:rsidR="00224F90" w:rsidRPr="002C73A0" w:rsidRDefault="00224F90" w:rsidP="00224F90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 w:line="240" w:lineRule="auto"/>
        <w:ind w:left="142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2C73A0">
        <w:rPr>
          <w:bCs/>
          <w:sz w:val="18"/>
          <w:szCs w:val="18"/>
          <w:u w:val="single"/>
        </w:rPr>
        <w:t>Distribution:</w:t>
      </w:r>
    </w:p>
    <w:p w:rsidR="00224F90" w:rsidRPr="002C73A0" w:rsidRDefault="00224F90" w:rsidP="00224F90">
      <w:pPr>
        <w:pStyle w:val="enumlev1"/>
        <w:tabs>
          <w:tab w:val="clear" w:pos="794"/>
          <w:tab w:val="left" w:pos="284"/>
        </w:tabs>
        <w:spacing w:line="240" w:lineRule="auto"/>
        <w:ind w:left="142" w:firstLine="0"/>
        <w:rPr>
          <w:sz w:val="18"/>
          <w:szCs w:val="18"/>
        </w:rPr>
      </w:pPr>
      <w:r>
        <w:rPr>
          <w:sz w:val="18"/>
          <w:szCs w:val="18"/>
        </w:rPr>
        <w:t>-</w:t>
      </w:r>
      <w:r w:rsidRPr="002C73A0">
        <w:rPr>
          <w:sz w:val="18"/>
          <w:szCs w:val="18"/>
        </w:rPr>
        <w:tab/>
        <w:t>Administrations of</w:t>
      </w:r>
      <w:r>
        <w:rPr>
          <w:sz w:val="18"/>
          <w:szCs w:val="18"/>
        </w:rPr>
        <w:t xml:space="preserve"> ITU Member States</w:t>
      </w:r>
    </w:p>
    <w:p w:rsidR="00224F90" w:rsidRPr="008E0564" w:rsidRDefault="00224F90" w:rsidP="00224F90">
      <w:pPr>
        <w:pStyle w:val="enumlev1"/>
        <w:tabs>
          <w:tab w:val="clear" w:pos="794"/>
          <w:tab w:val="left" w:pos="284"/>
        </w:tabs>
        <w:spacing w:before="0" w:line="240" w:lineRule="auto"/>
        <w:ind w:left="142" w:firstLine="0"/>
        <w:rPr>
          <w:sz w:val="18"/>
          <w:szCs w:val="18"/>
        </w:rPr>
      </w:pPr>
      <w:r>
        <w:rPr>
          <w:sz w:val="18"/>
          <w:szCs w:val="18"/>
        </w:rPr>
        <w:t>-</w:t>
      </w:r>
      <w:r w:rsidRPr="002C73A0">
        <w:rPr>
          <w:sz w:val="18"/>
          <w:szCs w:val="18"/>
        </w:rPr>
        <w:tab/>
        <w:t>Members of the Radio Regulations Board</w:t>
      </w:r>
    </w:p>
    <w:p w:rsidR="00B03940" w:rsidRDefault="00B03940"/>
    <w:sectPr w:rsidR="00B03940" w:rsidSect="007273D4">
      <w:headerReference w:type="even" r:id="rId7"/>
      <w:headerReference w:type="default" r:id="rId8"/>
      <w:headerReference w:type="first" r:id="rId9"/>
      <w:footerReference w:type="first" r:id="rId10"/>
      <w:pgSz w:w="11907" w:h="16834" w:code="9"/>
      <w:pgMar w:top="1135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BDE" w:rsidRDefault="002E3EB3">
      <w:pPr>
        <w:spacing w:before="0" w:line="240" w:lineRule="auto"/>
      </w:pPr>
      <w:r>
        <w:separator/>
      </w:r>
    </w:p>
  </w:endnote>
  <w:endnote w:type="continuationSeparator" w:id="0">
    <w:p w:rsidR="00B22BDE" w:rsidRDefault="002E3EB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224A1" w:rsidRDefault="00DE25CD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B97FE9" w:rsidRDefault="00A87A29" w:rsidP="00B97FE9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  <w:p w:rsidR="00E915AF" w:rsidRPr="005E5EB3" w:rsidRDefault="00DE25CD" w:rsidP="00B97FE9">
    <w:pPr>
      <w:pStyle w:val="FirstFooter"/>
      <w:spacing w:line="240" w:lineRule="auto"/>
      <w:ind w:left="-397" w:right="-39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BDE" w:rsidRDefault="002E3EB3">
      <w:pPr>
        <w:spacing w:before="0" w:line="240" w:lineRule="auto"/>
      </w:pPr>
      <w:r>
        <w:separator/>
      </w:r>
    </w:p>
  </w:footnote>
  <w:footnote w:type="continuationSeparator" w:id="0">
    <w:p w:rsidR="00B22BDE" w:rsidRDefault="002E3EB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26492" w:rsidRDefault="00A87A29">
    <w:pPr>
      <w:pStyle w:val="Header"/>
      <w:rPr>
        <w:sz w:val="18"/>
        <w:szCs w:val="18"/>
      </w:rPr>
    </w:pPr>
    <w:r w:rsidRPr="00326492">
      <w:rPr>
        <w:sz w:val="18"/>
        <w:szCs w:val="18"/>
      </w:rPr>
      <w:tab/>
    </w:r>
    <w:r w:rsidRPr="00326492">
      <w:rPr>
        <w:sz w:val="18"/>
        <w:szCs w:val="18"/>
      </w:rPr>
      <w:tab/>
      <w:t xml:space="preserve">– </w:t>
    </w:r>
    <w:r w:rsidRPr="00326492">
      <w:rPr>
        <w:rStyle w:val="PageNumber"/>
        <w:sz w:val="18"/>
        <w:szCs w:val="18"/>
      </w:rPr>
      <w:fldChar w:fldCharType="begin"/>
    </w:r>
    <w:r w:rsidRPr="00326492">
      <w:rPr>
        <w:rStyle w:val="PageNumber"/>
        <w:sz w:val="18"/>
        <w:szCs w:val="18"/>
      </w:rPr>
      <w:instrText xml:space="preserve"> PAGE </w:instrText>
    </w:r>
    <w:r w:rsidRPr="0032649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326492">
      <w:rPr>
        <w:rStyle w:val="PageNumber"/>
        <w:sz w:val="18"/>
        <w:szCs w:val="18"/>
      </w:rPr>
      <w:fldChar w:fldCharType="end"/>
    </w:r>
    <w:r w:rsidRPr="00326492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1A" w:rsidRPr="00326492" w:rsidRDefault="00A87A29" w:rsidP="00C1491A">
    <w:pPr>
      <w:pStyle w:val="Header"/>
      <w:rPr>
        <w:sz w:val="18"/>
        <w:szCs w:val="18"/>
      </w:rPr>
    </w:pPr>
    <w:r w:rsidRPr="00326492">
      <w:rPr>
        <w:sz w:val="18"/>
        <w:szCs w:val="18"/>
      </w:rPr>
      <w:tab/>
    </w:r>
    <w:r w:rsidRPr="00326492">
      <w:rPr>
        <w:sz w:val="18"/>
        <w:szCs w:val="18"/>
      </w:rPr>
      <w:tab/>
      <w:t xml:space="preserve">– </w:t>
    </w:r>
    <w:r w:rsidRPr="00326492">
      <w:rPr>
        <w:rStyle w:val="PageNumber"/>
        <w:sz w:val="18"/>
        <w:szCs w:val="18"/>
      </w:rPr>
      <w:fldChar w:fldCharType="begin"/>
    </w:r>
    <w:r w:rsidRPr="00326492">
      <w:rPr>
        <w:rStyle w:val="PageNumber"/>
        <w:sz w:val="18"/>
        <w:szCs w:val="18"/>
      </w:rPr>
      <w:instrText xml:space="preserve"> PAGE </w:instrText>
    </w:r>
    <w:r w:rsidRPr="00326492">
      <w:rPr>
        <w:rStyle w:val="PageNumber"/>
        <w:sz w:val="18"/>
        <w:szCs w:val="18"/>
      </w:rPr>
      <w:fldChar w:fldCharType="separate"/>
    </w:r>
    <w:r w:rsidR="00DE25CD">
      <w:rPr>
        <w:rStyle w:val="PageNumber"/>
        <w:noProof/>
        <w:sz w:val="18"/>
        <w:szCs w:val="18"/>
      </w:rPr>
      <w:t>3</w:t>
    </w:r>
    <w:r w:rsidRPr="00326492">
      <w:rPr>
        <w:rStyle w:val="PageNumber"/>
        <w:sz w:val="18"/>
        <w:szCs w:val="18"/>
      </w:rPr>
      <w:fldChar w:fldCharType="end"/>
    </w:r>
    <w:r w:rsidRPr="00326492">
      <w:rPr>
        <w:rStyle w:val="PageNumber"/>
        <w:sz w:val="18"/>
        <w:szCs w:val="18"/>
      </w:rPr>
      <w:t xml:space="preserve"> –</w:t>
    </w:r>
  </w:p>
  <w:p w:rsidR="00E915AF" w:rsidRPr="00C1491A" w:rsidRDefault="00DE25CD" w:rsidP="00C149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9"/>
      <w:gridCol w:w="222"/>
    </w:tblGrid>
    <w:tr w:rsidR="00B97FE9" w:rsidRPr="00B97FE9" w:rsidTr="00784482">
      <w:tc>
        <w:tcPr>
          <w:tcW w:w="4889" w:type="dxa"/>
        </w:tcPr>
        <w:tbl>
          <w:tblPr>
            <w:tblStyle w:val="TableGrid"/>
            <w:tblW w:w="99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031"/>
            <w:gridCol w:w="4892"/>
          </w:tblGrid>
          <w:tr w:rsidR="00B97FE9" w:rsidRPr="00B97FE9" w:rsidTr="00784482">
            <w:tc>
              <w:tcPr>
                <w:tcW w:w="5031" w:type="dxa"/>
              </w:tcPr>
              <w:p w:rsidR="00B97FE9" w:rsidRPr="00B97FE9" w:rsidRDefault="00A87A29" w:rsidP="00B97FE9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  <w:tab w:val="center" w:pos="9639"/>
                  </w:tabs>
                  <w:spacing w:before="120" w:line="360" w:lineRule="auto"/>
                  <w:ind w:left="-74"/>
                  <w:jc w:val="left"/>
                  <w:rPr>
                    <w:sz w:val="24"/>
                  </w:rPr>
                </w:pPr>
                <w:r w:rsidRPr="00B97FE9">
                  <w:rPr>
                    <w:b/>
                    <w:bCs/>
                    <w:noProof/>
                    <w:sz w:val="24"/>
                    <w:lang w:val="fr-CH" w:eastAsia="zh-CN"/>
                  </w:rPr>
                  <w:drawing>
                    <wp:inline distT="0" distB="0" distL="0" distR="0" wp14:anchorId="1350093C" wp14:editId="007EF6E0">
                      <wp:extent cx="579396" cy="657225"/>
                      <wp:effectExtent l="0" t="0" r="0" b="0"/>
                      <wp:docPr id="79" name="Picture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025" cy="657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92" w:type="dxa"/>
              </w:tcPr>
              <w:p w:rsidR="00B97FE9" w:rsidRPr="00B97FE9" w:rsidRDefault="00A87A29" w:rsidP="00B97FE9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  <w:tab w:val="center" w:pos="9639"/>
                  </w:tabs>
                  <w:spacing w:before="0" w:line="360" w:lineRule="auto"/>
                  <w:jc w:val="right"/>
                  <w:rPr>
                    <w:sz w:val="24"/>
                  </w:rPr>
                </w:pPr>
                <w:r w:rsidRPr="00B97FE9">
                  <w:rPr>
                    <w:rFonts w:cs="Arial"/>
                    <w:noProof/>
                    <w:sz w:val="24"/>
                    <w:lang w:val="fr-CH" w:eastAsia="zh-CN"/>
                  </w:rPr>
                  <w:drawing>
                    <wp:inline distT="0" distB="0" distL="0" distR="0" wp14:anchorId="21D1AC12" wp14:editId="03C2E6F7">
                      <wp:extent cx="1017905" cy="925067"/>
                      <wp:effectExtent l="0" t="0" r="0" b="8890"/>
                      <wp:docPr id="80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3050" cy="9479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B97FE9" w:rsidRPr="00B97FE9" w:rsidRDefault="00DE25CD" w:rsidP="00B97FE9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120" w:line="360" w:lineRule="auto"/>
            <w:jc w:val="left"/>
            <w:rPr>
              <w:sz w:val="24"/>
            </w:rPr>
          </w:pPr>
        </w:p>
      </w:tc>
      <w:tc>
        <w:tcPr>
          <w:tcW w:w="5000" w:type="dxa"/>
        </w:tcPr>
        <w:p w:rsidR="00B97FE9" w:rsidRPr="00B97FE9" w:rsidRDefault="00DE25CD" w:rsidP="00B97FE9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0" w:line="360" w:lineRule="auto"/>
            <w:jc w:val="right"/>
            <w:rPr>
              <w:sz w:val="24"/>
            </w:rPr>
          </w:pPr>
        </w:p>
      </w:tc>
    </w:tr>
  </w:tbl>
  <w:p w:rsidR="00E915AF" w:rsidRPr="00B97FE9" w:rsidRDefault="00DE25CD" w:rsidP="00B97F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2F4"/>
    <w:multiLevelType w:val="hybridMultilevel"/>
    <w:tmpl w:val="0C96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90"/>
    <w:rsid w:val="001B5EF1"/>
    <w:rsid w:val="00224F90"/>
    <w:rsid w:val="002A3AAD"/>
    <w:rsid w:val="002E3EB3"/>
    <w:rsid w:val="00321A7D"/>
    <w:rsid w:val="005675DC"/>
    <w:rsid w:val="0060466F"/>
    <w:rsid w:val="006A63E2"/>
    <w:rsid w:val="00726072"/>
    <w:rsid w:val="007C1171"/>
    <w:rsid w:val="00837D2C"/>
    <w:rsid w:val="00A87A29"/>
    <w:rsid w:val="00B03940"/>
    <w:rsid w:val="00B22BDE"/>
    <w:rsid w:val="00BB6CE1"/>
    <w:rsid w:val="00C66DAC"/>
    <w:rsid w:val="00D83FF6"/>
    <w:rsid w:val="00DA56B3"/>
    <w:rsid w:val="00D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CFB9E-D6C9-4469-9014-A2ACDC02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4F90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rsid w:val="00224F90"/>
    <w:rPr>
      <w:rFonts w:ascii="Calibri" w:eastAsia="Times New Roman" w:hAnsi="Calibri" w:cs="Calibri"/>
      <w:lang w:val="en-US" w:eastAsia="en-US"/>
    </w:rPr>
  </w:style>
  <w:style w:type="paragraph" w:customStyle="1" w:styleId="enumlev1">
    <w:name w:val="enumlev1"/>
    <w:basedOn w:val="Normal"/>
    <w:rsid w:val="00224F90"/>
    <w:pPr>
      <w:spacing w:before="80"/>
      <w:ind w:left="794" w:hanging="794"/>
    </w:pPr>
  </w:style>
  <w:style w:type="paragraph" w:customStyle="1" w:styleId="toc0">
    <w:name w:val="toc 0"/>
    <w:basedOn w:val="Normal"/>
    <w:next w:val="TOC1"/>
    <w:rsid w:val="00224F90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character" w:styleId="PageNumber">
    <w:name w:val="page number"/>
    <w:basedOn w:val="DefaultParagraphFont"/>
    <w:rsid w:val="00224F90"/>
  </w:style>
  <w:style w:type="paragraph" w:styleId="Index1">
    <w:name w:val="index 1"/>
    <w:basedOn w:val="Normal"/>
    <w:next w:val="Normal"/>
    <w:semiHidden/>
    <w:rsid w:val="00224F90"/>
    <w:pPr>
      <w:jc w:val="left"/>
    </w:pPr>
  </w:style>
  <w:style w:type="paragraph" w:customStyle="1" w:styleId="FirstFooter">
    <w:name w:val="FirstFooter"/>
    <w:basedOn w:val="Normal"/>
    <w:rsid w:val="00224F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character" w:styleId="Hyperlink">
    <w:name w:val="Hyperlink"/>
    <w:basedOn w:val="DefaultParagraphFont"/>
    <w:rsid w:val="00224F90"/>
    <w:rPr>
      <w:color w:val="0000FF"/>
      <w:u w:val="single"/>
    </w:rPr>
  </w:style>
  <w:style w:type="table" w:styleId="TableGrid">
    <w:name w:val="Table Grid"/>
    <w:basedOn w:val="TableNormal"/>
    <w:uiPriority w:val="59"/>
    <w:rsid w:val="00224F90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ssage">
    <w:name w:val="Message"/>
    <w:rsid w:val="00224F90"/>
    <w:pPr>
      <w:overflowPunct w:val="0"/>
      <w:autoSpaceDE w:val="0"/>
      <w:autoSpaceDN w:val="0"/>
      <w:adjustRightInd w:val="0"/>
      <w:spacing w:before="240" w:after="0" w:line="300" w:lineRule="exact"/>
      <w:ind w:left="794" w:right="794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224F90"/>
    <w:pPr>
      <w:tabs>
        <w:tab w:val="clear" w:pos="794"/>
        <w:tab w:val="clear" w:pos="1191"/>
        <w:tab w:val="clear" w:pos="1588"/>
        <w:tab w:val="clear" w:pos="1985"/>
      </w:tabs>
      <w:adjustRightInd/>
      <w:spacing w:before="120" w:line="240" w:lineRule="auto"/>
      <w:ind w:left="720"/>
      <w:contextualSpacing/>
      <w:jc w:val="left"/>
      <w:textAlignment w:val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F90"/>
    <w:pPr>
      <w:tabs>
        <w:tab w:val="clear" w:pos="794"/>
        <w:tab w:val="clear" w:pos="1191"/>
        <w:tab w:val="clear" w:pos="1588"/>
        <w:tab w:val="clear" w:pos="1985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Eldridge, Timothy</dc:creator>
  <cp:keywords/>
  <dc:description/>
  <cp:lastModifiedBy>Marchetti, Caroline</cp:lastModifiedBy>
  <cp:revision>3</cp:revision>
  <cp:lastPrinted>2016-07-04T06:06:00Z</cp:lastPrinted>
  <dcterms:created xsi:type="dcterms:W3CDTF">2016-06-23T11:31:00Z</dcterms:created>
  <dcterms:modified xsi:type="dcterms:W3CDTF">2016-07-04T06:08:00Z</dcterms:modified>
</cp:coreProperties>
</file>