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7C7E37" w:rsidRDefault="00F36590" w:rsidP="003B65BD">
            <w:pPr>
              <w:spacing w:after="120" w:line="340" w:lineRule="exact"/>
              <w:rPr>
                <w:b/>
                <w:bCs/>
                <w:color w:val="808080"/>
                <w:sz w:val="28"/>
                <w:szCs w:val="36"/>
                <w:rtl/>
                <w:lang w:bidi="ar-EG"/>
              </w:rPr>
            </w:pPr>
            <w:r w:rsidRPr="007C7E37">
              <w:rPr>
                <w:b/>
                <w:bCs/>
                <w:color w:val="808080"/>
                <w:sz w:val="28"/>
                <w:szCs w:val="36"/>
                <w:rtl/>
              </w:rPr>
              <w:t>مكتب</w:t>
            </w:r>
            <w:r w:rsidRPr="007C7E37">
              <w:rPr>
                <w:rFonts w:hint="cs"/>
                <w:b/>
                <w:bCs/>
                <w:color w:val="808080"/>
                <w:sz w:val="28"/>
                <w:szCs w:val="36"/>
                <w:rtl/>
              </w:rPr>
              <w:t xml:space="preserve"> </w:t>
            </w:r>
            <w:r w:rsidRPr="007C7E37">
              <w:rPr>
                <w:b/>
                <w:bCs/>
                <w:color w:val="808080"/>
                <w:sz w:val="28"/>
                <w:szCs w:val="36"/>
                <w:rtl/>
              </w:rPr>
              <w:t>الاتصالات</w:t>
            </w:r>
            <w:r w:rsidRPr="007C7E37">
              <w:rPr>
                <w:rFonts w:hint="cs"/>
                <w:b/>
                <w:bCs/>
                <w:color w:val="808080"/>
                <w:sz w:val="28"/>
                <w:szCs w:val="36"/>
                <w:rtl/>
              </w:rPr>
              <w:t xml:space="preserve"> </w:t>
            </w:r>
            <w:r w:rsidRPr="007C7E37">
              <w:rPr>
                <w:b/>
                <w:bCs/>
                <w:color w:val="808080"/>
                <w:sz w:val="28"/>
                <w:szCs w:val="36"/>
                <w:rtl/>
              </w:rPr>
              <w:t>الراديوية</w:t>
            </w:r>
            <w:r w:rsidRPr="007C7E37">
              <w:rPr>
                <w:rFonts w:hint="cs"/>
                <w:b/>
                <w:bCs/>
                <w:color w:val="808080"/>
                <w:sz w:val="28"/>
                <w:szCs w:val="36"/>
                <w:rtl/>
              </w:rPr>
              <w:t xml:space="preserve"> </w:t>
            </w:r>
            <w:r w:rsidRPr="007C7E37">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AB5BF7">
            <w:pPr>
              <w:spacing w:before="60" w:line="260" w:lineRule="exact"/>
              <w:jc w:val="left"/>
              <w:rPr>
                <w:lang w:bidi="ar-SY"/>
              </w:rPr>
            </w:pPr>
            <w:r w:rsidRPr="00F36590">
              <w:rPr>
                <w:rFonts w:hint="cs"/>
                <w:rtl/>
                <w:lang w:bidi="ar-AE"/>
              </w:rPr>
              <w:t>الرسالة المعممة</w:t>
            </w:r>
          </w:p>
          <w:p w:rsidR="00F36590" w:rsidRPr="00F36590" w:rsidRDefault="004842C0" w:rsidP="00AB5BF7">
            <w:pPr>
              <w:spacing w:before="0" w:after="60" w:line="260" w:lineRule="exact"/>
              <w:jc w:val="left"/>
              <w:rPr>
                <w:rtl/>
                <w:lang w:bidi="ar-EG"/>
              </w:rPr>
            </w:pPr>
            <w:r w:rsidRPr="004842C0">
              <w:rPr>
                <w:b/>
                <w:bCs/>
                <w:lang w:val="en-GB" w:bidi="ar-SY"/>
              </w:rPr>
              <w:t>CR</w:t>
            </w:r>
            <w:r w:rsidR="00F36590" w:rsidRPr="004842C0">
              <w:rPr>
                <w:b/>
                <w:bCs/>
                <w:lang w:val="en-GB" w:bidi="ar-SY"/>
              </w:rPr>
              <w:t>/</w:t>
            </w:r>
            <w:r w:rsidRPr="004842C0">
              <w:rPr>
                <w:b/>
                <w:bCs/>
                <w:lang w:bidi="ar-SY"/>
              </w:rPr>
              <w:t>414</w:t>
            </w:r>
          </w:p>
        </w:tc>
        <w:tc>
          <w:tcPr>
            <w:tcW w:w="2293" w:type="pct"/>
            <w:shd w:val="clear" w:color="auto" w:fill="auto"/>
          </w:tcPr>
          <w:p w:rsidR="00F36590" w:rsidRPr="00F36590" w:rsidRDefault="00476B8E" w:rsidP="004842C0">
            <w:pPr>
              <w:spacing w:before="60" w:after="60" w:line="260" w:lineRule="exact"/>
              <w:jc w:val="right"/>
              <w:rPr>
                <w:rtl/>
                <w:lang w:bidi="ar-SY"/>
              </w:rPr>
            </w:pPr>
            <w:r>
              <w:rPr>
                <w:lang w:val="fr-FR" w:bidi="ar-SY"/>
              </w:rPr>
              <w:t>6</w:t>
            </w:r>
            <w:bookmarkStart w:id="0" w:name="_GoBack"/>
            <w:bookmarkEnd w:id="0"/>
            <w:r w:rsidR="00F36590" w:rsidRPr="004842C0">
              <w:rPr>
                <w:rFonts w:hint="cs"/>
                <w:rtl/>
                <w:lang w:bidi="ar-SY"/>
              </w:rPr>
              <w:t xml:space="preserve"> </w:t>
            </w:r>
            <w:r w:rsidR="004842C0">
              <w:rPr>
                <w:rFonts w:hint="cs"/>
                <w:rtl/>
                <w:lang w:bidi="ar-SY"/>
              </w:rPr>
              <w:t>ديسمبر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7C7E37">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7C7E37">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4842C0">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w:t>
            </w:r>
            <w:r w:rsidR="007C7E37">
              <w:rPr>
                <w:rFonts w:hint="cs"/>
                <w:b/>
                <w:bCs/>
                <w:rtl/>
                <w:lang w:bidi="ar-SY"/>
              </w:rPr>
              <w:t xml:space="preserve"> الدولي للاتصالات</w:t>
            </w:r>
          </w:p>
        </w:tc>
      </w:tr>
      <w:tr w:rsidR="007C7E37" w:rsidRPr="00241274" w:rsidTr="00115BBA">
        <w:tc>
          <w:tcPr>
            <w:tcW w:w="5000" w:type="pct"/>
            <w:gridSpan w:val="3"/>
            <w:shd w:val="clear" w:color="auto" w:fill="auto"/>
          </w:tcPr>
          <w:p w:rsidR="007C7E37" w:rsidRPr="00241274" w:rsidRDefault="007C7E37" w:rsidP="007C7E37">
            <w:pPr>
              <w:spacing w:before="0" w:line="260" w:lineRule="exact"/>
              <w:rPr>
                <w:rtl/>
                <w:lang w:bidi="ar-SY"/>
              </w:rPr>
            </w:pPr>
          </w:p>
        </w:tc>
      </w:tr>
      <w:tr w:rsidR="007C7E37" w:rsidRPr="00241274" w:rsidTr="00115BBA">
        <w:tc>
          <w:tcPr>
            <w:tcW w:w="5000" w:type="pct"/>
            <w:gridSpan w:val="3"/>
            <w:shd w:val="clear" w:color="auto" w:fill="auto"/>
          </w:tcPr>
          <w:p w:rsidR="007C7E37" w:rsidRPr="00241274" w:rsidRDefault="007C7E37" w:rsidP="007C7E37">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4842C0" w:rsidP="005C771D">
            <w:pPr>
              <w:tabs>
                <w:tab w:val="clear" w:pos="794"/>
                <w:tab w:val="left" w:pos="386"/>
              </w:tabs>
              <w:spacing w:before="60" w:after="60" w:line="340" w:lineRule="exact"/>
              <w:ind w:left="386" w:hanging="386"/>
              <w:rPr>
                <w:b/>
                <w:bCs/>
                <w:highlight w:val="yellow"/>
                <w:rtl/>
                <w:lang w:bidi="ar-SY"/>
              </w:rPr>
            </w:pPr>
            <w:r>
              <w:rPr>
                <w:rFonts w:hint="cs"/>
                <w:b/>
                <w:bCs/>
                <w:rtl/>
                <w:lang w:bidi="ar-EG"/>
              </w:rPr>
              <w:t xml:space="preserve">الفحص بموجب القرار </w:t>
            </w:r>
            <w:r>
              <w:rPr>
                <w:b/>
                <w:bCs/>
                <w:lang w:bidi="ar-EG"/>
              </w:rPr>
              <w:t>85 (WRC</w:t>
            </w:r>
            <w:r>
              <w:rPr>
                <w:b/>
                <w:bCs/>
                <w:lang w:bidi="ar-EG"/>
              </w:rPr>
              <w:noBreakHyphen/>
              <w:t>03)</w:t>
            </w:r>
          </w:p>
        </w:tc>
      </w:tr>
    </w:tbl>
    <w:p w:rsidR="005C771D" w:rsidRPr="004842C0" w:rsidRDefault="004842C0" w:rsidP="00B960DF">
      <w:pPr>
        <w:spacing w:before="600"/>
        <w:rPr>
          <w:spacing w:val="-2"/>
          <w:rtl/>
          <w:lang w:bidi="ar-EG"/>
        </w:rPr>
      </w:pPr>
      <w:r w:rsidRPr="004842C0">
        <w:rPr>
          <w:rFonts w:hint="cs"/>
          <w:spacing w:val="-2"/>
          <w:rtl/>
        </w:rPr>
        <w:t xml:space="preserve">يلزم القرار </w:t>
      </w:r>
      <w:r w:rsidRPr="004842C0">
        <w:rPr>
          <w:b/>
          <w:bCs/>
          <w:spacing w:val="-2"/>
        </w:rPr>
        <w:t>85 (WRC</w:t>
      </w:r>
      <w:r w:rsidRPr="004842C0">
        <w:rPr>
          <w:b/>
          <w:bCs/>
          <w:spacing w:val="-2"/>
        </w:rPr>
        <w:noBreakHyphen/>
        <w:t>03)</w:t>
      </w:r>
      <w:r w:rsidRPr="004842C0">
        <w:rPr>
          <w:rFonts w:hint="cs"/>
          <w:spacing w:val="-2"/>
          <w:rtl/>
          <w:lang w:bidi="ar-EG"/>
        </w:rPr>
        <w:t xml:space="preserve"> مكتب الاتصالات الراديوية </w:t>
      </w:r>
      <w:r w:rsidR="00D86C54">
        <w:rPr>
          <w:rFonts w:hint="cs"/>
          <w:spacing w:val="-2"/>
          <w:rtl/>
          <w:lang w:bidi="ar-EG"/>
        </w:rPr>
        <w:t>ب</w:t>
      </w:r>
      <w:r w:rsidRPr="004842C0">
        <w:rPr>
          <w:rFonts w:hint="cs"/>
          <w:spacing w:val="-2"/>
          <w:rtl/>
          <w:lang w:bidi="ar-EG"/>
        </w:rPr>
        <w:t>أن يقوم بمجرد تيسر برمجية التحقق من كثافة تدفق القدرة المكافئة</w:t>
      </w:r>
      <w:r w:rsidR="00D86C54">
        <w:rPr>
          <w:rFonts w:hint="eastAsia"/>
          <w:spacing w:val="-2"/>
          <w:rtl/>
          <w:lang w:bidi="ar-EG"/>
        </w:rPr>
        <w:t> </w:t>
      </w:r>
      <w:r w:rsidRPr="004842C0">
        <w:rPr>
          <w:spacing w:val="-2"/>
          <w:lang w:bidi="ar-EG"/>
        </w:rPr>
        <w:t>(EPFD)</w:t>
      </w:r>
      <w:r w:rsidRPr="004842C0">
        <w:rPr>
          <w:rFonts w:hint="cs"/>
          <w:spacing w:val="-2"/>
          <w:rtl/>
          <w:lang w:bidi="ar-EG"/>
        </w:rPr>
        <w:t xml:space="preserve">، باستعراض نتائجها طبقاً للرقمين </w:t>
      </w:r>
      <w:r w:rsidRPr="004842C0">
        <w:rPr>
          <w:b/>
          <w:bCs/>
          <w:spacing w:val="-2"/>
          <w:lang w:bidi="ar-EG"/>
        </w:rPr>
        <w:t>35.9</w:t>
      </w:r>
      <w:r w:rsidRPr="004842C0">
        <w:rPr>
          <w:rFonts w:hint="cs"/>
          <w:spacing w:val="-2"/>
          <w:rtl/>
          <w:lang w:bidi="ar-EG"/>
        </w:rPr>
        <w:t xml:space="preserve"> و</w:t>
      </w:r>
      <w:r w:rsidRPr="004842C0">
        <w:rPr>
          <w:b/>
          <w:bCs/>
          <w:spacing w:val="-2"/>
          <w:lang w:bidi="ar-EG"/>
        </w:rPr>
        <w:t>31.11</w:t>
      </w:r>
      <w:r w:rsidRPr="004842C0">
        <w:rPr>
          <w:rFonts w:hint="cs"/>
          <w:spacing w:val="-2"/>
          <w:rtl/>
          <w:lang w:bidi="ar-EG"/>
        </w:rPr>
        <w:t xml:space="preserve"> من أجل تخصيصات ترددات الأنظمة الساتلية غير المستق</w:t>
      </w:r>
      <w:r w:rsidR="00F9575B">
        <w:rPr>
          <w:rFonts w:hint="cs"/>
          <w:spacing w:val="-2"/>
          <w:rtl/>
          <w:lang w:bidi="ar-EG"/>
        </w:rPr>
        <w:t>رة بالنسبة إلى الأرض العاملة في</w:t>
      </w:r>
      <w:r w:rsidR="00F9575B">
        <w:rPr>
          <w:rFonts w:hint="eastAsia"/>
          <w:spacing w:val="-2"/>
          <w:rtl/>
          <w:lang w:bidi="ar-EG"/>
        </w:rPr>
        <w:t> </w:t>
      </w:r>
      <w:r w:rsidRPr="004842C0">
        <w:rPr>
          <w:rFonts w:hint="cs"/>
          <w:spacing w:val="-2"/>
          <w:rtl/>
          <w:lang w:bidi="ar-EG"/>
        </w:rPr>
        <w:t xml:space="preserve">الخدمة الثابتة الساتلية فيما يتعلق بحدود الكثافة </w:t>
      </w:r>
      <w:r w:rsidRPr="004842C0">
        <w:rPr>
          <w:spacing w:val="-2"/>
          <w:lang w:bidi="ar-EG"/>
        </w:rPr>
        <w:t>EPFD</w:t>
      </w:r>
      <w:r w:rsidRPr="004842C0">
        <w:rPr>
          <w:rFonts w:hint="cs"/>
          <w:spacing w:val="-2"/>
          <w:rtl/>
          <w:lang w:bidi="ar-EG"/>
        </w:rPr>
        <w:t xml:space="preserve"> لمصدر وحيد في الجداول </w:t>
      </w:r>
      <w:r w:rsidRPr="004842C0">
        <w:rPr>
          <w:spacing w:val="-2"/>
          <w:lang w:bidi="ar-EG"/>
        </w:rPr>
        <w:t>1A</w:t>
      </w:r>
      <w:r w:rsidRPr="004842C0">
        <w:rPr>
          <w:spacing w:val="-2"/>
          <w:lang w:bidi="ar-EG"/>
        </w:rPr>
        <w:noBreakHyphen/>
        <w:t>22</w:t>
      </w:r>
      <w:r w:rsidRPr="004842C0">
        <w:rPr>
          <w:rFonts w:hint="cs"/>
          <w:spacing w:val="-2"/>
          <w:rtl/>
          <w:lang w:bidi="ar-EG"/>
        </w:rPr>
        <w:t xml:space="preserve"> و</w:t>
      </w:r>
      <w:r w:rsidRPr="004842C0">
        <w:rPr>
          <w:spacing w:val="-2"/>
          <w:lang w:bidi="ar-EG"/>
        </w:rPr>
        <w:t>1B</w:t>
      </w:r>
      <w:r w:rsidRPr="004842C0">
        <w:rPr>
          <w:spacing w:val="-2"/>
          <w:lang w:bidi="ar-EG"/>
        </w:rPr>
        <w:noBreakHyphen/>
        <w:t>22</w:t>
      </w:r>
      <w:r w:rsidRPr="004842C0">
        <w:rPr>
          <w:rFonts w:hint="cs"/>
          <w:spacing w:val="-2"/>
          <w:rtl/>
          <w:lang w:bidi="ar-EG"/>
        </w:rPr>
        <w:t xml:space="preserve"> و</w:t>
      </w:r>
      <w:r w:rsidRPr="004842C0">
        <w:rPr>
          <w:spacing w:val="-2"/>
          <w:lang w:bidi="ar-EG"/>
        </w:rPr>
        <w:t>1C</w:t>
      </w:r>
      <w:r w:rsidRPr="004842C0">
        <w:rPr>
          <w:spacing w:val="-2"/>
          <w:lang w:bidi="ar-EG"/>
        </w:rPr>
        <w:noBreakHyphen/>
        <w:t>22</w:t>
      </w:r>
      <w:r w:rsidRPr="004842C0">
        <w:rPr>
          <w:rFonts w:hint="cs"/>
          <w:spacing w:val="-2"/>
          <w:rtl/>
          <w:lang w:bidi="ar-EG"/>
        </w:rPr>
        <w:t xml:space="preserve"> و</w:t>
      </w:r>
      <w:r w:rsidRPr="004842C0">
        <w:rPr>
          <w:spacing w:val="-2"/>
          <w:lang w:bidi="ar-EG"/>
        </w:rPr>
        <w:t>1D</w:t>
      </w:r>
      <w:r w:rsidRPr="004842C0">
        <w:rPr>
          <w:spacing w:val="-2"/>
          <w:lang w:bidi="ar-EG"/>
        </w:rPr>
        <w:noBreakHyphen/>
        <w:t>22</w:t>
      </w:r>
      <w:r w:rsidRPr="004842C0">
        <w:rPr>
          <w:rFonts w:hint="cs"/>
          <w:spacing w:val="-2"/>
          <w:rtl/>
          <w:lang w:bidi="ar-EG"/>
        </w:rPr>
        <w:t xml:space="preserve"> و</w:t>
      </w:r>
      <w:r w:rsidRPr="004842C0">
        <w:rPr>
          <w:spacing w:val="-2"/>
          <w:lang w:bidi="ar-EG"/>
        </w:rPr>
        <w:t>1E</w:t>
      </w:r>
      <w:r w:rsidRPr="004842C0">
        <w:rPr>
          <w:spacing w:val="-2"/>
          <w:lang w:bidi="ar-EG"/>
        </w:rPr>
        <w:noBreakHyphen/>
        <w:t>22</w:t>
      </w:r>
      <w:r w:rsidRPr="004842C0">
        <w:rPr>
          <w:rFonts w:hint="cs"/>
          <w:spacing w:val="-2"/>
          <w:rtl/>
          <w:lang w:bidi="ar-EG"/>
        </w:rPr>
        <w:t xml:space="preserve"> و</w:t>
      </w:r>
      <w:r w:rsidRPr="004842C0">
        <w:rPr>
          <w:spacing w:val="-2"/>
          <w:lang w:bidi="ar-EG"/>
        </w:rPr>
        <w:t>2</w:t>
      </w:r>
      <w:r w:rsidRPr="004842C0">
        <w:rPr>
          <w:spacing w:val="-2"/>
          <w:lang w:bidi="ar-EG"/>
        </w:rPr>
        <w:noBreakHyphen/>
        <w:t>22</w:t>
      </w:r>
      <w:r w:rsidRPr="004842C0">
        <w:rPr>
          <w:rFonts w:hint="cs"/>
          <w:spacing w:val="-2"/>
          <w:rtl/>
          <w:lang w:bidi="ar-EG"/>
        </w:rPr>
        <w:t xml:space="preserve"> و</w:t>
      </w:r>
      <w:r w:rsidRPr="004842C0">
        <w:rPr>
          <w:spacing w:val="-2"/>
          <w:lang w:bidi="ar-EG"/>
        </w:rPr>
        <w:t>3</w:t>
      </w:r>
      <w:r w:rsidRPr="004842C0">
        <w:rPr>
          <w:spacing w:val="-2"/>
          <w:lang w:bidi="ar-EG"/>
        </w:rPr>
        <w:noBreakHyphen/>
        <w:t>22</w:t>
      </w:r>
      <w:r w:rsidRPr="004842C0">
        <w:rPr>
          <w:rFonts w:hint="cs"/>
          <w:spacing w:val="-2"/>
          <w:rtl/>
          <w:lang w:bidi="ar-EG"/>
        </w:rPr>
        <w:t xml:space="preserve"> بالمادة </w:t>
      </w:r>
      <w:r w:rsidRPr="004842C0">
        <w:rPr>
          <w:b/>
          <w:bCs/>
          <w:spacing w:val="-2"/>
          <w:lang w:bidi="ar-EG"/>
        </w:rPr>
        <w:t>22</w:t>
      </w:r>
      <w:r w:rsidRPr="004842C0">
        <w:rPr>
          <w:rFonts w:hint="cs"/>
          <w:spacing w:val="-2"/>
          <w:rtl/>
          <w:lang w:bidi="ar-EG"/>
        </w:rPr>
        <w:t xml:space="preserve"> من لوائح الراديو، وتحديد متطلبات التنسيق طبقاً للرقمين </w:t>
      </w:r>
      <w:r w:rsidRPr="004842C0">
        <w:rPr>
          <w:b/>
          <w:bCs/>
          <w:spacing w:val="-2"/>
          <w:lang w:bidi="ar-EG"/>
        </w:rPr>
        <w:t>7A.9</w:t>
      </w:r>
      <w:r w:rsidRPr="004842C0">
        <w:rPr>
          <w:rFonts w:hint="cs"/>
          <w:spacing w:val="-2"/>
          <w:rtl/>
          <w:lang w:bidi="ar-EG"/>
        </w:rPr>
        <w:t xml:space="preserve"> و</w:t>
      </w:r>
      <w:r w:rsidRPr="004842C0">
        <w:rPr>
          <w:b/>
          <w:bCs/>
          <w:spacing w:val="-2"/>
          <w:lang w:bidi="ar-EG"/>
        </w:rPr>
        <w:t>7B.9</w:t>
      </w:r>
      <w:r w:rsidRPr="004842C0">
        <w:rPr>
          <w:rFonts w:hint="cs"/>
          <w:spacing w:val="-2"/>
          <w:rtl/>
          <w:lang w:bidi="ar-EG"/>
        </w:rPr>
        <w:t>.</w:t>
      </w:r>
    </w:p>
    <w:p w:rsidR="004842C0" w:rsidRDefault="00A37DF4" w:rsidP="00E81522">
      <w:pPr>
        <w:rPr>
          <w:rtl/>
          <w:lang w:bidi="ar-EG"/>
        </w:rPr>
      </w:pPr>
      <w:r>
        <w:rPr>
          <w:rFonts w:hint="cs"/>
          <w:rtl/>
          <w:lang w:bidi="ar-EG"/>
        </w:rPr>
        <w:t xml:space="preserve">وفي الرسالة المعممة </w:t>
      </w:r>
      <w:r>
        <w:rPr>
          <w:lang w:bidi="ar-EG"/>
        </w:rPr>
        <w:t>CR/405</w:t>
      </w:r>
      <w:r>
        <w:rPr>
          <w:rFonts w:hint="cs"/>
          <w:rtl/>
          <w:lang w:bidi="ar-EG"/>
        </w:rPr>
        <w:t xml:space="preserve"> (</w:t>
      </w:r>
      <w:r>
        <w:rPr>
          <w:lang w:bidi="ar-EG"/>
        </w:rPr>
        <w:t>3</w:t>
      </w:r>
      <w:r>
        <w:rPr>
          <w:rFonts w:hint="cs"/>
          <w:rtl/>
          <w:lang w:bidi="ar-EG"/>
        </w:rPr>
        <w:t xml:space="preserve"> يونيو </w:t>
      </w:r>
      <w:r>
        <w:rPr>
          <w:lang w:bidi="ar-EG"/>
        </w:rPr>
        <w:t>2016</w:t>
      </w:r>
      <w:r>
        <w:rPr>
          <w:rFonts w:hint="cs"/>
          <w:rtl/>
          <w:lang w:bidi="ar-EG"/>
        </w:rPr>
        <w:t xml:space="preserve">)، </w:t>
      </w:r>
      <w:r w:rsidR="00760ED7">
        <w:rPr>
          <w:rFonts w:hint="cs"/>
          <w:rtl/>
          <w:lang w:bidi="ar-EG"/>
        </w:rPr>
        <w:t>أخطر المكتب الإدارات بتيس</w:t>
      </w:r>
      <w:r>
        <w:rPr>
          <w:rFonts w:hint="cs"/>
          <w:rtl/>
          <w:lang w:bidi="ar-EG"/>
        </w:rPr>
        <w:t>ر الإصدار بيتا من برمجية التحقق من الكثافة</w:t>
      </w:r>
      <w:r w:rsidR="00E81522">
        <w:rPr>
          <w:rFonts w:hint="eastAsia"/>
          <w:rtl/>
          <w:lang w:bidi="ar-EG"/>
        </w:rPr>
        <w:t> </w:t>
      </w:r>
      <w:r>
        <w:rPr>
          <w:lang w:bidi="ar-EG"/>
        </w:rPr>
        <w:t>EPFD</w:t>
      </w:r>
      <w:r>
        <w:rPr>
          <w:rFonts w:hint="cs"/>
          <w:rtl/>
          <w:lang w:bidi="ar-EG"/>
        </w:rPr>
        <w:t xml:space="preserve"> لأغراض الاختبار والتقييم.</w:t>
      </w:r>
    </w:p>
    <w:p w:rsidR="00A37DF4" w:rsidRDefault="00A37DF4" w:rsidP="002402AE">
      <w:pPr>
        <w:rPr>
          <w:rtl/>
          <w:lang w:bidi="ar-EG"/>
        </w:rPr>
      </w:pPr>
      <w:r>
        <w:rPr>
          <w:rFonts w:hint="cs"/>
          <w:rtl/>
          <w:lang w:bidi="ar-EG"/>
        </w:rPr>
        <w:t>ومنذ نشر الإصدار بيتا من البرمجية، قام المكتب بجمع التعليقات والاقتراحات الخاصة بإجراء تحسينات محتملة على البرمجية. وقد</w:t>
      </w:r>
      <w:r w:rsidR="002402AE">
        <w:rPr>
          <w:rFonts w:hint="eastAsia"/>
          <w:rtl/>
          <w:lang w:bidi="ar-EG"/>
        </w:rPr>
        <w:t> </w:t>
      </w:r>
      <w:r>
        <w:rPr>
          <w:rFonts w:hint="cs"/>
          <w:rtl/>
          <w:lang w:bidi="ar-EG"/>
        </w:rPr>
        <w:t>أُخذت هذه التعليقات بعين الاعتبار عند إعداد الإصدار النهائي من البرمجية.</w:t>
      </w:r>
    </w:p>
    <w:p w:rsidR="00633389" w:rsidRPr="00B960DF" w:rsidRDefault="00633389" w:rsidP="001A1E0A">
      <w:pPr>
        <w:rPr>
          <w:spacing w:val="-4"/>
          <w:rtl/>
          <w:lang w:bidi="ar-EG"/>
        </w:rPr>
      </w:pPr>
      <w:r w:rsidRPr="00B960DF">
        <w:rPr>
          <w:rFonts w:hint="cs"/>
          <w:spacing w:val="-4"/>
          <w:rtl/>
          <w:lang w:bidi="ar-EG"/>
        </w:rPr>
        <w:t xml:space="preserve">ويسّر المكتب أن يخطر الإدارات بأن الإصدار النهائي لبرمجية تطبيق التوصية </w:t>
      </w:r>
      <w:r w:rsidRPr="00B960DF">
        <w:rPr>
          <w:spacing w:val="-4"/>
          <w:lang w:bidi="ar-EG"/>
        </w:rPr>
        <w:t>ITU</w:t>
      </w:r>
      <w:r w:rsidRPr="00B960DF">
        <w:rPr>
          <w:spacing w:val="-4"/>
          <w:lang w:bidi="ar-EG"/>
        </w:rPr>
        <w:noBreakHyphen/>
        <w:t>R </w:t>
      </w:r>
      <w:r w:rsidRPr="00B960DF">
        <w:rPr>
          <w:spacing w:val="-4"/>
          <w:lang w:val="en-GB" w:bidi="ar-EG"/>
        </w:rPr>
        <w:t>S.1503</w:t>
      </w:r>
      <w:r w:rsidRPr="00B960DF">
        <w:rPr>
          <w:spacing w:val="-4"/>
          <w:lang w:val="en-GB" w:bidi="ar-EG"/>
        </w:rPr>
        <w:noBreakHyphen/>
        <w:t>2</w:t>
      </w:r>
      <w:r w:rsidRPr="00B960DF">
        <w:rPr>
          <w:rFonts w:hint="cs"/>
          <w:spacing w:val="-4"/>
          <w:rtl/>
          <w:lang w:val="en-GB" w:bidi="ar-EG"/>
        </w:rPr>
        <w:t xml:space="preserve"> متاح على الموقع الإلكتروني للاتحاد </w:t>
      </w:r>
      <w:hyperlink r:id="rId8" w:history="1">
        <w:r w:rsidRPr="00B960DF">
          <w:rPr>
            <w:rStyle w:val="Hyperlink"/>
            <w:spacing w:val="-4"/>
            <w:lang w:val="en-GB" w:bidi="ar-EG"/>
          </w:rPr>
          <w:t>www.itu.int/ITU-R/go/space-epfd/en</w:t>
        </w:r>
      </w:hyperlink>
      <w:r w:rsidRPr="00B960DF">
        <w:rPr>
          <w:rFonts w:hint="cs"/>
          <w:spacing w:val="-4"/>
          <w:rtl/>
          <w:lang w:val="en-GB" w:bidi="ar-EG"/>
        </w:rPr>
        <w:t xml:space="preserve"> و</w:t>
      </w:r>
      <w:r w:rsidR="00B960DF" w:rsidRPr="00B960DF">
        <w:rPr>
          <w:rFonts w:hint="cs"/>
          <w:spacing w:val="-4"/>
          <w:rtl/>
          <w:lang w:val="en-GB" w:bidi="ar-EG"/>
        </w:rPr>
        <w:t xml:space="preserve">سيتاح </w:t>
      </w:r>
      <w:r w:rsidRPr="00B960DF">
        <w:rPr>
          <w:rFonts w:hint="cs"/>
          <w:spacing w:val="-4"/>
          <w:rtl/>
          <w:lang w:val="en-GB" w:bidi="ar-EG"/>
        </w:rPr>
        <w:t>على نسخة النشرة</w:t>
      </w:r>
      <w:r w:rsidR="001A1E0A">
        <w:rPr>
          <w:rFonts w:hint="eastAsia"/>
          <w:spacing w:val="-4"/>
          <w:rtl/>
          <w:lang w:val="en-GB" w:bidi="ar-EG"/>
        </w:rPr>
        <w:t> </w:t>
      </w:r>
      <w:r w:rsidRPr="00B960DF">
        <w:rPr>
          <w:spacing w:val="-4"/>
          <w:lang w:bidi="ar-EG"/>
        </w:rPr>
        <w:t>BR IFIC</w:t>
      </w:r>
      <w:r w:rsidRPr="00B960DF">
        <w:rPr>
          <w:rFonts w:hint="cs"/>
          <w:spacing w:val="-4"/>
          <w:rtl/>
          <w:lang w:bidi="ar-EG"/>
        </w:rPr>
        <w:t xml:space="preserve"> (الخدمات الفضائية) رقم </w:t>
      </w:r>
      <w:r w:rsidRPr="00B960DF">
        <w:rPr>
          <w:spacing w:val="-4"/>
          <w:lang w:bidi="ar-EG"/>
        </w:rPr>
        <w:t>2384</w:t>
      </w:r>
      <w:r w:rsidRPr="00B960DF">
        <w:rPr>
          <w:rFonts w:hint="cs"/>
          <w:spacing w:val="-4"/>
          <w:rtl/>
          <w:lang w:bidi="ar-EG"/>
        </w:rPr>
        <w:t>/بتاريخ</w:t>
      </w:r>
      <w:r w:rsidR="00B960DF" w:rsidRPr="00B960DF">
        <w:rPr>
          <w:rFonts w:hint="eastAsia"/>
          <w:spacing w:val="-4"/>
          <w:rtl/>
          <w:lang w:bidi="ar-EG"/>
        </w:rPr>
        <w:t> </w:t>
      </w:r>
      <w:r w:rsidRPr="00B960DF">
        <w:rPr>
          <w:spacing w:val="-4"/>
          <w:lang w:bidi="ar-EG"/>
        </w:rPr>
        <w:t>2016.12.06</w:t>
      </w:r>
      <w:r w:rsidRPr="00B960DF">
        <w:rPr>
          <w:rFonts w:hint="cs"/>
          <w:spacing w:val="-4"/>
          <w:rtl/>
          <w:lang w:bidi="ar-EG"/>
        </w:rPr>
        <w:t xml:space="preserve"> والنسخ التالية من النشرة المتاحة على </w:t>
      </w:r>
      <w:r w:rsidR="00DA38D6">
        <w:rPr>
          <w:rFonts w:hint="cs"/>
          <w:spacing w:val="-4"/>
          <w:rtl/>
          <w:lang w:bidi="ar-EG"/>
        </w:rPr>
        <w:t>أقراص</w:t>
      </w:r>
      <w:r w:rsidRPr="00B960DF">
        <w:rPr>
          <w:rFonts w:hint="cs"/>
          <w:spacing w:val="-4"/>
          <w:rtl/>
          <w:lang w:bidi="ar-EG"/>
        </w:rPr>
        <w:t xml:space="preserve"> </w:t>
      </w:r>
      <w:r w:rsidRPr="00B960DF">
        <w:rPr>
          <w:spacing w:val="-4"/>
          <w:lang w:bidi="ar-EG"/>
        </w:rPr>
        <w:t>DVD</w:t>
      </w:r>
      <w:r w:rsidRPr="00B960DF">
        <w:rPr>
          <w:rFonts w:hint="cs"/>
          <w:spacing w:val="-4"/>
          <w:rtl/>
          <w:lang w:bidi="ar-EG"/>
        </w:rPr>
        <w:t>.</w:t>
      </w:r>
    </w:p>
    <w:p w:rsidR="00633389" w:rsidRDefault="00A20181" w:rsidP="00A20181">
      <w:pPr>
        <w:rPr>
          <w:rtl/>
          <w:lang w:bidi="ar-EG"/>
        </w:rPr>
      </w:pPr>
      <w:r>
        <w:rPr>
          <w:rFonts w:hint="cs"/>
          <w:rtl/>
          <w:lang w:bidi="ar-EG"/>
        </w:rPr>
        <w:t xml:space="preserve">وتحتوي حزمة التحقق من الكثافة </w:t>
      </w:r>
      <w:r>
        <w:rPr>
          <w:lang w:bidi="ar-EG"/>
        </w:rPr>
        <w:t>EPFD</w:t>
      </w:r>
      <w:r>
        <w:rPr>
          <w:rFonts w:hint="cs"/>
          <w:rtl/>
          <w:lang w:bidi="ar-EG"/>
        </w:rPr>
        <w:t xml:space="preserve"> على وحدة نمطية للسطح البيني البياني الخاص بحسابات المجموعة </w:t>
      </w:r>
      <w:r>
        <w:rPr>
          <w:lang w:bidi="ar-EG"/>
        </w:rPr>
        <w:t>(GIBC)</w:t>
      </w:r>
      <w:r>
        <w:rPr>
          <w:rFonts w:hint="cs"/>
          <w:rtl/>
          <w:lang w:bidi="ar-EG"/>
        </w:rPr>
        <w:t xml:space="preserve"> تستخدم كواجهة لإطلاق عملية التحقق من الكثافة </w:t>
      </w:r>
      <w:r>
        <w:rPr>
          <w:lang w:bidi="ar-EG"/>
        </w:rPr>
        <w:t>EPFD</w:t>
      </w:r>
      <w:r>
        <w:rPr>
          <w:rFonts w:hint="cs"/>
          <w:rtl/>
          <w:lang w:bidi="ar-EG"/>
        </w:rPr>
        <w:t xml:space="preserve"> وأداتين للتحقق من الكثافة </w:t>
      </w:r>
      <w:r>
        <w:rPr>
          <w:lang w:bidi="ar-EG"/>
        </w:rPr>
        <w:t>EPFD</w:t>
      </w:r>
      <w:r>
        <w:rPr>
          <w:rFonts w:hint="cs"/>
          <w:rtl/>
          <w:lang w:bidi="ar-EG"/>
        </w:rPr>
        <w:t xml:space="preserve"> وحالتي اختبار ودليل للمستعمل.</w:t>
      </w:r>
    </w:p>
    <w:p w:rsidR="00A20181" w:rsidRDefault="00A20181" w:rsidP="00940F54">
      <w:pPr>
        <w:rPr>
          <w:rtl/>
          <w:lang w:bidi="ar-EG"/>
        </w:rPr>
      </w:pPr>
      <w:r>
        <w:rPr>
          <w:rFonts w:hint="cs"/>
          <w:rtl/>
          <w:lang w:bidi="ar-EG"/>
        </w:rPr>
        <w:t>والغرض من هذه الرسالة المعممة تزويد الإدارات والمستعملين الآخرين بالمعلومات والتوجيهات بشأن برمجية التحقق من الكثافة</w:t>
      </w:r>
      <w:r w:rsidR="00940F54">
        <w:rPr>
          <w:rFonts w:hint="eastAsia"/>
          <w:rtl/>
          <w:lang w:bidi="ar-EG"/>
        </w:rPr>
        <w:t> </w:t>
      </w:r>
      <w:r>
        <w:rPr>
          <w:lang w:bidi="ar-EG"/>
        </w:rPr>
        <w:t>EPFD</w:t>
      </w:r>
      <w:r>
        <w:rPr>
          <w:rFonts w:hint="cs"/>
          <w:rtl/>
          <w:lang w:bidi="ar-EG"/>
        </w:rPr>
        <w:t xml:space="preserve"> وتنفيذ فقرة </w:t>
      </w:r>
      <w:r w:rsidRPr="00A20181">
        <w:rPr>
          <w:rFonts w:hint="cs"/>
          <w:i/>
          <w:iCs/>
          <w:rtl/>
          <w:lang w:bidi="ar-EG"/>
        </w:rPr>
        <w:t>يكلف مدير مكتب الاتصالات الراديوية</w:t>
      </w:r>
      <w:r>
        <w:rPr>
          <w:rFonts w:hint="cs"/>
          <w:rtl/>
          <w:lang w:bidi="ar-EG"/>
        </w:rPr>
        <w:t xml:space="preserve"> بالقرار </w:t>
      </w:r>
      <w:r w:rsidRPr="00A20181">
        <w:rPr>
          <w:b/>
          <w:bCs/>
          <w:lang w:bidi="ar-EG"/>
        </w:rPr>
        <w:t>85 (WRC</w:t>
      </w:r>
      <w:r w:rsidRPr="00A20181">
        <w:rPr>
          <w:b/>
          <w:bCs/>
          <w:lang w:bidi="ar-EG"/>
        </w:rPr>
        <w:noBreakHyphen/>
        <w:t>03)</w:t>
      </w:r>
      <w:r>
        <w:rPr>
          <w:rFonts w:hint="cs"/>
          <w:rtl/>
          <w:lang w:bidi="ar-EG"/>
        </w:rPr>
        <w:t>.</w:t>
      </w:r>
    </w:p>
    <w:p w:rsidR="00A20181" w:rsidRDefault="004534D7" w:rsidP="00D74880">
      <w:pPr>
        <w:rPr>
          <w:rtl/>
          <w:lang w:bidi="ar-EG"/>
        </w:rPr>
      </w:pPr>
      <w:r>
        <w:rPr>
          <w:rFonts w:hint="cs"/>
          <w:rtl/>
          <w:lang w:bidi="ar-EG"/>
        </w:rPr>
        <w:t xml:space="preserve">ووفقاً للفقرتين </w:t>
      </w:r>
      <w:r>
        <w:rPr>
          <w:lang w:bidi="ar-EG"/>
        </w:rPr>
        <w:t>2</w:t>
      </w:r>
      <w:r>
        <w:rPr>
          <w:rFonts w:hint="cs"/>
          <w:rtl/>
          <w:lang w:bidi="ar-EG"/>
        </w:rPr>
        <w:t xml:space="preserve"> و</w:t>
      </w:r>
      <w:r>
        <w:rPr>
          <w:lang w:bidi="ar-EG"/>
        </w:rPr>
        <w:t>3</w:t>
      </w:r>
      <w:r>
        <w:rPr>
          <w:rFonts w:hint="cs"/>
          <w:rtl/>
          <w:lang w:bidi="ar-EG"/>
        </w:rPr>
        <w:t xml:space="preserve"> من </w:t>
      </w:r>
      <w:r>
        <w:rPr>
          <w:rFonts w:hint="cs"/>
          <w:i/>
          <w:iCs/>
          <w:rtl/>
          <w:lang w:bidi="ar-EG"/>
        </w:rPr>
        <w:t>يكلف مدير مكتب الاتصالات الراديوية</w:t>
      </w:r>
      <w:r>
        <w:rPr>
          <w:rFonts w:hint="cs"/>
          <w:rtl/>
          <w:lang w:bidi="ar-EG"/>
        </w:rPr>
        <w:t xml:space="preserve"> بالقرار </w:t>
      </w:r>
      <w:r w:rsidRPr="004534D7">
        <w:rPr>
          <w:b/>
          <w:bCs/>
          <w:lang w:bidi="ar-EG"/>
        </w:rPr>
        <w:t>85</w:t>
      </w:r>
      <w:r>
        <w:rPr>
          <w:rFonts w:hint="cs"/>
          <w:rtl/>
          <w:lang w:bidi="ar-EG"/>
        </w:rPr>
        <w:t>، سيقوم المكتب باستعراض نتائجها طبقاً للرقمين</w:t>
      </w:r>
      <w:r w:rsidR="00EB79C3">
        <w:rPr>
          <w:rFonts w:hint="eastAsia"/>
          <w:rtl/>
          <w:lang w:bidi="ar-EG"/>
        </w:rPr>
        <w:t> </w:t>
      </w:r>
      <w:r w:rsidRPr="004534D7">
        <w:rPr>
          <w:b/>
          <w:bCs/>
          <w:lang w:bidi="ar-EG"/>
        </w:rPr>
        <w:t>35.9</w:t>
      </w:r>
      <w:r>
        <w:rPr>
          <w:rFonts w:hint="cs"/>
          <w:rtl/>
          <w:lang w:bidi="ar-EG"/>
        </w:rPr>
        <w:t xml:space="preserve"> و</w:t>
      </w:r>
      <w:r w:rsidRPr="004534D7">
        <w:rPr>
          <w:b/>
          <w:bCs/>
          <w:lang w:bidi="ar-EG"/>
        </w:rPr>
        <w:t>31.11</w:t>
      </w:r>
      <w:r>
        <w:rPr>
          <w:rFonts w:hint="cs"/>
          <w:rtl/>
          <w:lang w:bidi="ar-EG"/>
        </w:rPr>
        <w:t xml:space="preserve"> </w:t>
      </w:r>
      <w:r w:rsidRPr="00FF0DF2">
        <w:rPr>
          <w:rFonts w:hint="cs"/>
          <w:rtl/>
          <w:lang w:bidi="ar-EG"/>
        </w:rPr>
        <w:t>ومتطلبات</w:t>
      </w:r>
      <w:r>
        <w:rPr>
          <w:rFonts w:hint="cs"/>
          <w:rtl/>
          <w:lang w:bidi="ar-EG"/>
        </w:rPr>
        <w:t xml:space="preserve"> التنسيق بموجب الرقمين </w:t>
      </w:r>
      <w:r w:rsidRPr="004534D7">
        <w:rPr>
          <w:b/>
          <w:bCs/>
          <w:lang w:bidi="ar-EG"/>
        </w:rPr>
        <w:t>7A.9</w:t>
      </w:r>
      <w:r>
        <w:rPr>
          <w:rFonts w:hint="cs"/>
          <w:rtl/>
          <w:lang w:bidi="ar-EG"/>
        </w:rPr>
        <w:t xml:space="preserve"> و</w:t>
      </w:r>
      <w:r w:rsidRPr="004534D7">
        <w:rPr>
          <w:b/>
          <w:bCs/>
          <w:lang w:bidi="ar-EG"/>
        </w:rPr>
        <w:t>7B.9</w:t>
      </w:r>
      <w:r>
        <w:rPr>
          <w:rFonts w:hint="cs"/>
          <w:rtl/>
          <w:lang w:bidi="ar-EG"/>
        </w:rPr>
        <w:t>، حسب الاقتضاء.</w:t>
      </w:r>
    </w:p>
    <w:p w:rsidR="0071706B" w:rsidRDefault="0071706B" w:rsidP="00087221">
      <w:pPr>
        <w:keepNext/>
        <w:keepLines/>
        <w:rPr>
          <w:rtl/>
          <w:lang w:bidi="ar-EG"/>
        </w:rPr>
      </w:pPr>
      <w:r>
        <w:rPr>
          <w:rFonts w:hint="cs"/>
          <w:rtl/>
          <w:lang w:bidi="ar-EG"/>
        </w:rPr>
        <w:t>ويحدد المكتب ما إذا كانت تخصيصات ترددات:</w:t>
      </w:r>
    </w:p>
    <w:p w:rsidR="0071706B" w:rsidRDefault="0071706B" w:rsidP="00092539">
      <w:pPr>
        <w:spacing w:before="80"/>
        <w:ind w:left="794" w:hanging="794"/>
        <w:rPr>
          <w:rtl/>
        </w:rPr>
      </w:pPr>
      <w:r>
        <w:rPr>
          <w:rFonts w:hint="cs"/>
          <w:rtl/>
          <w:lang w:bidi="ar-EG"/>
        </w:rPr>
        <w:t xml:space="preserve"> أ )</w:t>
      </w:r>
      <w:r>
        <w:rPr>
          <w:rFonts w:hint="cs"/>
          <w:rtl/>
          <w:lang w:bidi="ar-EG"/>
        </w:rPr>
        <w:tab/>
        <w:t xml:space="preserve">الأنظمة الساتلية </w:t>
      </w:r>
      <w:r>
        <w:rPr>
          <w:lang w:bidi="ar-EG"/>
        </w:rPr>
        <w:t>FSS</w:t>
      </w:r>
      <w:r>
        <w:rPr>
          <w:rFonts w:hint="cs"/>
          <w:rtl/>
          <w:lang w:bidi="ar-EG"/>
        </w:rPr>
        <w:t xml:space="preserve"> غير المستقرة بالنسبة إلى الأرض تمتثل </w:t>
      </w:r>
      <w:r w:rsidR="00092539">
        <w:rPr>
          <w:rFonts w:hint="cs"/>
          <w:rtl/>
          <w:lang w:bidi="ar-EG"/>
        </w:rPr>
        <w:t>لحدود</w:t>
      </w:r>
      <w:r>
        <w:rPr>
          <w:rFonts w:hint="cs"/>
          <w:rtl/>
          <w:lang w:bidi="ar-EG"/>
        </w:rPr>
        <w:t xml:space="preserve"> الكثافة </w:t>
      </w:r>
      <w:r>
        <w:rPr>
          <w:lang w:bidi="ar-EG"/>
        </w:rPr>
        <w:t>EPFD</w:t>
      </w:r>
      <w:r>
        <w:rPr>
          <w:rFonts w:hint="cs"/>
          <w:rtl/>
          <w:lang w:bidi="ar-EG"/>
        </w:rPr>
        <w:t xml:space="preserve"> الواردة في الجداول </w:t>
      </w:r>
      <w:r w:rsidRPr="0071706B">
        <w:rPr>
          <w:b/>
          <w:bCs/>
          <w:lang w:bidi="ar-EG"/>
        </w:rPr>
        <w:t>1A</w:t>
      </w:r>
      <w:r w:rsidRPr="0071706B">
        <w:rPr>
          <w:b/>
          <w:bCs/>
          <w:lang w:bidi="ar-EG"/>
        </w:rPr>
        <w:noBreakHyphen/>
        <w:t>22</w:t>
      </w:r>
      <w:r w:rsidRPr="0071706B">
        <w:rPr>
          <w:rFonts w:hint="cs"/>
          <w:rtl/>
          <w:lang w:bidi="ar-EG"/>
        </w:rPr>
        <w:t xml:space="preserve"> و</w:t>
      </w:r>
      <w:r w:rsidRPr="0071706B">
        <w:rPr>
          <w:b/>
          <w:bCs/>
          <w:lang w:bidi="ar-EG"/>
        </w:rPr>
        <w:t>1B</w:t>
      </w:r>
      <w:r w:rsidRPr="0071706B">
        <w:rPr>
          <w:b/>
          <w:bCs/>
          <w:lang w:bidi="ar-EG"/>
        </w:rPr>
        <w:noBreakHyphen/>
        <w:t>22</w:t>
      </w:r>
      <w:r w:rsidRPr="0071706B">
        <w:rPr>
          <w:rFonts w:hint="cs"/>
          <w:rtl/>
          <w:lang w:bidi="ar-EG"/>
        </w:rPr>
        <w:t xml:space="preserve"> و</w:t>
      </w:r>
      <w:r w:rsidRPr="0071706B">
        <w:rPr>
          <w:b/>
          <w:bCs/>
          <w:lang w:bidi="ar-EG"/>
        </w:rPr>
        <w:t>1C</w:t>
      </w:r>
      <w:r w:rsidRPr="0071706B">
        <w:rPr>
          <w:b/>
          <w:bCs/>
          <w:lang w:bidi="ar-EG"/>
        </w:rPr>
        <w:noBreakHyphen/>
        <w:t>22</w:t>
      </w:r>
      <w:r w:rsidRPr="0071706B">
        <w:rPr>
          <w:rFonts w:hint="cs"/>
          <w:rtl/>
          <w:lang w:bidi="ar-EG"/>
        </w:rPr>
        <w:t xml:space="preserve"> و</w:t>
      </w:r>
      <w:r w:rsidRPr="0071706B">
        <w:rPr>
          <w:b/>
          <w:bCs/>
          <w:lang w:bidi="ar-EG"/>
        </w:rPr>
        <w:t>1D</w:t>
      </w:r>
      <w:r w:rsidRPr="0071706B">
        <w:rPr>
          <w:b/>
          <w:bCs/>
          <w:lang w:bidi="ar-EG"/>
        </w:rPr>
        <w:noBreakHyphen/>
        <w:t>22</w:t>
      </w:r>
      <w:r w:rsidRPr="0071706B">
        <w:rPr>
          <w:rFonts w:hint="cs"/>
          <w:rtl/>
          <w:lang w:bidi="ar-EG"/>
        </w:rPr>
        <w:t xml:space="preserve"> و</w:t>
      </w:r>
      <w:r w:rsidRPr="0071706B">
        <w:rPr>
          <w:b/>
          <w:bCs/>
          <w:lang w:bidi="ar-EG"/>
        </w:rPr>
        <w:t>1E</w:t>
      </w:r>
      <w:r w:rsidRPr="0071706B">
        <w:rPr>
          <w:b/>
          <w:bCs/>
          <w:lang w:bidi="ar-EG"/>
        </w:rPr>
        <w:noBreakHyphen/>
        <w:t>22</w:t>
      </w:r>
      <w:r w:rsidRPr="0071706B">
        <w:rPr>
          <w:rFonts w:hint="cs"/>
          <w:rtl/>
          <w:lang w:bidi="ar-EG"/>
        </w:rPr>
        <w:t xml:space="preserve"> و</w:t>
      </w:r>
      <w:r w:rsidRPr="0071706B">
        <w:rPr>
          <w:b/>
          <w:bCs/>
          <w:lang w:bidi="ar-EG"/>
        </w:rPr>
        <w:t>2</w:t>
      </w:r>
      <w:r w:rsidRPr="0071706B">
        <w:rPr>
          <w:b/>
          <w:bCs/>
          <w:lang w:bidi="ar-EG"/>
        </w:rPr>
        <w:noBreakHyphen/>
        <w:t>22</w:t>
      </w:r>
      <w:r w:rsidRPr="0071706B">
        <w:rPr>
          <w:rFonts w:hint="cs"/>
          <w:rtl/>
          <w:lang w:bidi="ar-EG"/>
        </w:rPr>
        <w:t xml:space="preserve"> و</w:t>
      </w:r>
      <w:r w:rsidRPr="0071706B">
        <w:rPr>
          <w:b/>
          <w:bCs/>
          <w:lang w:bidi="ar-EG"/>
        </w:rPr>
        <w:t>3</w:t>
      </w:r>
      <w:r w:rsidRPr="0071706B">
        <w:rPr>
          <w:b/>
          <w:bCs/>
          <w:lang w:bidi="ar-EG"/>
        </w:rPr>
        <w:noBreakHyphen/>
        <w:t>22</w:t>
      </w:r>
      <w:r w:rsidRPr="0071706B">
        <w:rPr>
          <w:rFonts w:hint="cs"/>
          <w:rtl/>
          <w:lang w:bidi="ar-EG"/>
        </w:rPr>
        <w:t xml:space="preserve"> بالمادة </w:t>
      </w:r>
      <w:r w:rsidRPr="0071706B">
        <w:rPr>
          <w:b/>
          <w:bCs/>
          <w:lang w:bidi="ar-EG"/>
        </w:rPr>
        <w:t>22</w:t>
      </w:r>
      <w:r w:rsidRPr="0071706B">
        <w:rPr>
          <w:rFonts w:hint="cs"/>
          <w:rtl/>
        </w:rPr>
        <w:t>؛</w:t>
      </w:r>
    </w:p>
    <w:p w:rsidR="0071706B" w:rsidRDefault="0071706B" w:rsidP="00610951">
      <w:pPr>
        <w:spacing w:before="80"/>
        <w:ind w:left="794" w:hanging="794"/>
        <w:rPr>
          <w:rtl/>
          <w:lang w:bidi="ar-EG"/>
        </w:rPr>
      </w:pPr>
      <w:r>
        <w:rPr>
          <w:rFonts w:hint="cs"/>
          <w:rtl/>
          <w:lang w:bidi="ar-EG"/>
        </w:rPr>
        <w:lastRenderedPageBreak/>
        <w:t>ب)</w:t>
      </w:r>
      <w:r>
        <w:rPr>
          <w:rFonts w:hint="cs"/>
          <w:rtl/>
          <w:lang w:bidi="ar-EG"/>
        </w:rPr>
        <w:tab/>
        <w:t xml:space="preserve">أو محطات أرضية كبيرة محددة (تحت شروط معينة) تتطلب التنسيق بموجب الرقم </w:t>
      </w:r>
      <w:r w:rsidRPr="0071706B">
        <w:rPr>
          <w:b/>
          <w:bCs/>
          <w:lang w:bidi="ar-EG"/>
        </w:rPr>
        <w:t>7A.9</w:t>
      </w:r>
      <w:r>
        <w:rPr>
          <w:rFonts w:hint="cs"/>
          <w:rtl/>
          <w:lang w:bidi="ar-EG"/>
        </w:rPr>
        <w:t xml:space="preserve"> إزاء أي أنظمة ساتلية</w:t>
      </w:r>
      <w:r w:rsidR="00610951">
        <w:rPr>
          <w:rFonts w:hint="eastAsia"/>
          <w:rtl/>
          <w:lang w:bidi="ar-EG"/>
        </w:rPr>
        <w:t> </w:t>
      </w:r>
      <w:r>
        <w:rPr>
          <w:lang w:bidi="ar-EG"/>
        </w:rPr>
        <w:t>FSS</w:t>
      </w:r>
      <w:r>
        <w:rPr>
          <w:rFonts w:hint="cs"/>
          <w:rtl/>
          <w:lang w:bidi="ar-EG"/>
        </w:rPr>
        <w:t xml:space="preserve"> غير</w:t>
      </w:r>
      <w:r w:rsidR="00610951">
        <w:rPr>
          <w:rFonts w:hint="eastAsia"/>
          <w:rtl/>
          <w:lang w:bidi="ar-EG"/>
        </w:rPr>
        <w:t> </w:t>
      </w:r>
      <w:r>
        <w:rPr>
          <w:rFonts w:hint="cs"/>
          <w:rtl/>
          <w:lang w:bidi="ar-EG"/>
        </w:rPr>
        <w:t>مستقرة بالنسبة إلى الأرض قائمة باستعمال عتبات التنسيق الواردة في التذييل</w:t>
      </w:r>
      <w:r>
        <w:rPr>
          <w:rFonts w:hint="eastAsia"/>
          <w:rtl/>
          <w:lang w:bidi="ar-EG"/>
        </w:rPr>
        <w:t> </w:t>
      </w:r>
      <w:r w:rsidRPr="0071706B">
        <w:rPr>
          <w:b/>
          <w:bCs/>
          <w:lang w:bidi="ar-EG"/>
        </w:rPr>
        <w:t>5</w:t>
      </w:r>
      <w:r>
        <w:rPr>
          <w:rFonts w:hint="cs"/>
          <w:rtl/>
          <w:lang w:bidi="ar-EG"/>
        </w:rPr>
        <w:t>؛</w:t>
      </w:r>
    </w:p>
    <w:p w:rsidR="0071706B" w:rsidRDefault="0071706B" w:rsidP="00734718">
      <w:pPr>
        <w:spacing w:before="80"/>
        <w:ind w:left="794" w:hanging="794"/>
        <w:rPr>
          <w:rtl/>
          <w:lang w:bidi="ar-EG"/>
        </w:rPr>
      </w:pPr>
      <w:r>
        <w:rPr>
          <w:rFonts w:hint="cs"/>
          <w:rtl/>
          <w:lang w:bidi="ar-EG"/>
        </w:rPr>
        <w:t>ج)</w:t>
      </w:r>
      <w:r>
        <w:rPr>
          <w:rFonts w:hint="cs"/>
          <w:rtl/>
          <w:lang w:bidi="ar-EG"/>
        </w:rPr>
        <w:tab/>
        <w:t xml:space="preserve">أو الأنظمة الساتلية </w:t>
      </w:r>
      <w:r>
        <w:rPr>
          <w:lang w:bidi="ar-EG"/>
        </w:rPr>
        <w:t>FSS</w:t>
      </w:r>
      <w:r>
        <w:rPr>
          <w:rFonts w:hint="cs"/>
          <w:rtl/>
          <w:lang w:bidi="ar-EG"/>
        </w:rPr>
        <w:t xml:space="preserve"> غير المستقرة بالنسبة إلى الأرض تتطلب التنسيق بموجب الرقم </w:t>
      </w:r>
      <w:r w:rsidRPr="0071706B">
        <w:rPr>
          <w:b/>
          <w:bCs/>
          <w:lang w:bidi="ar-EG"/>
        </w:rPr>
        <w:t>7B.9</w:t>
      </w:r>
      <w:r>
        <w:rPr>
          <w:rFonts w:hint="cs"/>
          <w:rtl/>
          <w:lang w:bidi="ar-EG"/>
        </w:rPr>
        <w:t xml:space="preserve"> إزاء أي محطة كبيرة (تحت شروط معينة) باستعمال عتبات التنسيق الواردة في التذييل</w:t>
      </w:r>
      <w:r w:rsidR="00734718">
        <w:rPr>
          <w:rFonts w:hint="eastAsia"/>
          <w:rtl/>
          <w:lang w:bidi="ar-EG"/>
        </w:rPr>
        <w:t> </w:t>
      </w:r>
      <w:r w:rsidRPr="0071706B">
        <w:rPr>
          <w:b/>
          <w:bCs/>
          <w:lang w:bidi="ar-EG"/>
        </w:rPr>
        <w:t>5</w:t>
      </w:r>
      <w:r>
        <w:rPr>
          <w:rFonts w:hint="cs"/>
          <w:rtl/>
          <w:lang w:bidi="ar-EG"/>
        </w:rPr>
        <w:t>.</w:t>
      </w:r>
    </w:p>
    <w:p w:rsidR="0071706B" w:rsidRDefault="00540453" w:rsidP="0071706B">
      <w:pPr>
        <w:rPr>
          <w:rtl/>
          <w:lang w:bidi="ar-EG"/>
        </w:rPr>
      </w:pPr>
      <w:r>
        <w:rPr>
          <w:rFonts w:hint="cs"/>
          <w:rtl/>
          <w:lang w:bidi="ar-EG"/>
        </w:rPr>
        <w:t>وللأغراض المذكورة أعلاه،</w:t>
      </w:r>
      <w:r w:rsidR="0087018C">
        <w:rPr>
          <w:rFonts w:hint="cs"/>
          <w:rtl/>
          <w:lang w:bidi="ar-EG"/>
        </w:rPr>
        <w:t xml:space="preserve"> سيتواصل المكتب مع كل إدارة على حدة من الإدارات التي أبلغت عن أنظمة ساتلية غير مستقرة بالنسبة إلى الأرض في الخدمة الثابتة الساتلية، بما في ذلك تخصيصات الترددات ذات النتائج المؤاتية المشروطة طبقاً للقرار </w:t>
      </w:r>
      <w:r w:rsidR="0087018C" w:rsidRPr="0087018C">
        <w:rPr>
          <w:b/>
          <w:bCs/>
          <w:lang w:bidi="ar-EG"/>
        </w:rPr>
        <w:t>85 (WRC</w:t>
      </w:r>
      <w:r w:rsidR="0087018C" w:rsidRPr="0087018C">
        <w:rPr>
          <w:b/>
          <w:bCs/>
          <w:lang w:bidi="ar-EG"/>
        </w:rPr>
        <w:noBreakHyphen/>
        <w:t>03)</w:t>
      </w:r>
      <w:r w:rsidR="0087018C">
        <w:rPr>
          <w:rFonts w:hint="cs"/>
          <w:rtl/>
          <w:lang w:bidi="ar-EG"/>
        </w:rPr>
        <w:t xml:space="preserve"> وتطلب منها أن تقدم ما يلي في غضون ثلاثة أشهر من تاريخ إرسال الرسالة:</w:t>
      </w:r>
    </w:p>
    <w:p w:rsidR="0087018C" w:rsidRDefault="00D63CE6" w:rsidP="0002536B">
      <w:pPr>
        <w:pStyle w:val="enumlev1"/>
        <w:rPr>
          <w:rtl/>
        </w:rPr>
      </w:pPr>
      <w:r>
        <w:rPr>
          <w:rFonts w:hint="cs"/>
          <w:rtl/>
        </w:rPr>
        <w:t>-</w:t>
      </w:r>
      <w:r>
        <w:rPr>
          <w:rFonts w:hint="cs"/>
          <w:rtl/>
        </w:rPr>
        <w:tab/>
      </w:r>
      <w:r w:rsidR="00FB2841">
        <w:rPr>
          <w:rFonts w:hint="cs"/>
          <w:rtl/>
        </w:rPr>
        <w:t xml:space="preserve">بيانات قناعي الكثافة </w:t>
      </w:r>
      <w:r w:rsidR="00FB2841">
        <w:t>PFD</w:t>
      </w:r>
      <w:r w:rsidR="00FB2841">
        <w:rPr>
          <w:rFonts w:hint="cs"/>
          <w:rtl/>
        </w:rPr>
        <w:t xml:space="preserve"> والقدرة </w:t>
      </w:r>
      <w:r w:rsidR="00FB2841">
        <w:t>EIRP</w:t>
      </w:r>
      <w:r w:rsidR="00FB2841">
        <w:rPr>
          <w:rFonts w:hint="cs"/>
          <w:rtl/>
        </w:rPr>
        <w:t xml:space="preserve"> (عناصر البيانات المدرجة تحت البند </w:t>
      </w:r>
      <w:r w:rsidR="00FB2841">
        <w:t>14.A</w:t>
      </w:r>
      <w:r w:rsidR="00FB2841">
        <w:rPr>
          <w:rFonts w:hint="cs"/>
          <w:rtl/>
        </w:rPr>
        <w:t xml:space="preserve"> بالتذييل </w:t>
      </w:r>
      <w:r w:rsidR="00FB2841">
        <w:t>4</w:t>
      </w:r>
      <w:r w:rsidR="00FB2841">
        <w:rPr>
          <w:rFonts w:hint="cs"/>
          <w:rtl/>
        </w:rPr>
        <w:t xml:space="preserve">) طبقاً للوصف التفصيلي للأقنعة الوارد في الجزء </w:t>
      </w:r>
      <w:r w:rsidR="00FB2841">
        <w:t>B</w:t>
      </w:r>
      <w:r w:rsidR="00FB2841">
        <w:rPr>
          <w:rFonts w:hint="cs"/>
          <w:rtl/>
        </w:rPr>
        <w:t xml:space="preserve"> من التوصية </w:t>
      </w:r>
      <w:r w:rsidR="00FB2841" w:rsidRPr="00FB2841">
        <w:t>ITU</w:t>
      </w:r>
      <w:r w:rsidR="00FB2841">
        <w:noBreakHyphen/>
      </w:r>
      <w:r w:rsidR="00FB2841" w:rsidRPr="00FB2841">
        <w:t>R</w:t>
      </w:r>
      <w:r w:rsidR="00FB2841">
        <w:t> </w:t>
      </w:r>
      <w:r w:rsidR="00FB2841" w:rsidRPr="00FB2841">
        <w:t>S.1503</w:t>
      </w:r>
      <w:r w:rsidR="00FB2841">
        <w:noBreakHyphen/>
      </w:r>
      <w:r w:rsidR="00FB2841" w:rsidRPr="00FB2841">
        <w:t>2</w:t>
      </w:r>
      <w:r w:rsidR="00FB2841">
        <w:rPr>
          <w:rFonts w:hint="cs"/>
          <w:rtl/>
        </w:rPr>
        <w:t xml:space="preserve">. وينبغي تقديم بيانات القناعين </w:t>
      </w:r>
      <w:r w:rsidR="0002536B">
        <w:rPr>
          <w:rFonts w:hint="cs"/>
          <w:rtl/>
        </w:rPr>
        <w:t>بالنسق</w:t>
      </w:r>
      <w:r w:rsidR="00610951">
        <w:rPr>
          <w:rFonts w:hint="eastAsia"/>
          <w:rtl/>
        </w:rPr>
        <w:t> </w:t>
      </w:r>
      <w:r w:rsidR="00FB2841">
        <w:t>XML</w:t>
      </w:r>
      <w:r w:rsidR="00FB2841">
        <w:rPr>
          <w:rFonts w:hint="cs"/>
          <w:rtl/>
        </w:rPr>
        <w:t xml:space="preserve">، الذي يرد وصف له في </w:t>
      </w:r>
      <w:hyperlink r:id="rId9" w:history="1">
        <w:r w:rsidR="00FB2841" w:rsidRPr="00FB2841">
          <w:rPr>
            <w:rStyle w:val="Hyperlink"/>
            <w:lang w:bidi="ar-EG"/>
          </w:rPr>
          <w:t>www.itu.int/ITU-R/go/space-mask-XMLfile/en</w:t>
        </w:r>
      </w:hyperlink>
      <w:r w:rsidR="00FB2841">
        <w:rPr>
          <w:rFonts w:hint="cs"/>
          <w:rtl/>
        </w:rPr>
        <w:t>؛</w:t>
      </w:r>
    </w:p>
    <w:p w:rsidR="00FB2841" w:rsidRDefault="00FB2841" w:rsidP="0076258F">
      <w:pPr>
        <w:pStyle w:val="enumlev1"/>
        <w:rPr>
          <w:rtl/>
        </w:rPr>
      </w:pPr>
      <w:r>
        <w:rPr>
          <w:rFonts w:hint="cs"/>
          <w:rtl/>
        </w:rPr>
        <w:t>-</w:t>
      </w:r>
      <w:r>
        <w:rPr>
          <w:rFonts w:hint="cs"/>
          <w:rtl/>
        </w:rPr>
        <w:tab/>
      </w:r>
      <w:r w:rsidR="002B0C1C">
        <w:rPr>
          <w:rFonts w:hint="cs"/>
          <w:rtl/>
        </w:rPr>
        <w:t>أي عناصر بيانات أخرى للتذييل </w:t>
      </w:r>
      <w:r w:rsidR="002B0C1C">
        <w:t>4</w:t>
      </w:r>
      <w:r w:rsidR="002B0C1C">
        <w:rPr>
          <w:rFonts w:hint="cs"/>
          <w:rtl/>
        </w:rPr>
        <w:t xml:space="preserve"> مطلوبة للمحطات العاملة في نطاق تردد خاضع للأرقام </w:t>
      </w:r>
      <w:r w:rsidR="002B0C1C" w:rsidRPr="002B0C1C">
        <w:t>5C</w:t>
      </w:r>
      <w:r w:rsidR="002B0C1C">
        <w:t>.22</w:t>
      </w:r>
      <w:r w:rsidR="002B0C1C">
        <w:rPr>
          <w:rFonts w:hint="cs"/>
          <w:rtl/>
        </w:rPr>
        <w:t xml:space="preserve"> أو </w:t>
      </w:r>
      <w:r w:rsidR="002B0C1C" w:rsidRPr="002B0C1C">
        <w:t>5D</w:t>
      </w:r>
      <w:r w:rsidR="002B0C1C">
        <w:t>.22</w:t>
      </w:r>
      <w:r w:rsidR="002B0C1C">
        <w:rPr>
          <w:rFonts w:hint="cs"/>
          <w:rtl/>
        </w:rPr>
        <w:t xml:space="preserve"> أو</w:t>
      </w:r>
      <w:r w:rsidR="0076258F">
        <w:rPr>
          <w:rFonts w:hint="eastAsia"/>
          <w:rtl/>
        </w:rPr>
        <w:t> </w:t>
      </w:r>
      <w:r w:rsidR="002B0C1C" w:rsidRPr="002B0C1C">
        <w:t>5F</w:t>
      </w:r>
      <w:r w:rsidR="002B0C1C">
        <w:t>.22</w:t>
      </w:r>
      <w:r w:rsidR="002B0C1C">
        <w:rPr>
          <w:rFonts w:hint="cs"/>
          <w:rtl/>
        </w:rPr>
        <w:t xml:space="preserve"> (أي خاضع لفحص الكثافة </w:t>
      </w:r>
      <w:r w:rsidR="002B0C1C">
        <w:t>EPFD</w:t>
      </w:r>
      <w:r w:rsidR="002B0C1C">
        <w:rPr>
          <w:rFonts w:hint="cs"/>
          <w:rtl/>
        </w:rPr>
        <w:t xml:space="preserve">) قد تكون غير مدرجة في التبليغات الأصلية أو قد يتعين تعديلها لتشغيل برمجية التحقق من الكثافة </w:t>
      </w:r>
      <w:r w:rsidR="003C3910">
        <w:t>EPFD</w:t>
      </w:r>
      <w:r w:rsidR="002B0C1C">
        <w:rPr>
          <w:rFonts w:hint="cs"/>
          <w:rtl/>
        </w:rPr>
        <w:t xml:space="preserve"> بشكلٍ سليم إلى جانب بيانات قناعي الكثافة </w:t>
      </w:r>
      <w:r w:rsidR="002B0C1C">
        <w:t>PFD</w:t>
      </w:r>
      <w:r w:rsidR="002B0C1C">
        <w:rPr>
          <w:rFonts w:hint="cs"/>
          <w:rtl/>
        </w:rPr>
        <w:t xml:space="preserve">/القدرة </w:t>
      </w:r>
      <w:r w:rsidR="002B0C1C">
        <w:t>EIRP</w:t>
      </w:r>
      <w:r w:rsidR="002B0C1C">
        <w:rPr>
          <w:rFonts w:hint="cs"/>
          <w:rtl/>
        </w:rPr>
        <w:t>.</w:t>
      </w:r>
    </w:p>
    <w:p w:rsidR="002B0C1C" w:rsidRDefault="009C0FF7" w:rsidP="002176D1">
      <w:pPr>
        <w:rPr>
          <w:rtl/>
          <w:lang w:bidi="ar-EG"/>
        </w:rPr>
      </w:pPr>
      <w:r>
        <w:rPr>
          <w:rFonts w:hint="cs"/>
          <w:rtl/>
          <w:lang w:bidi="ar-EG"/>
        </w:rPr>
        <w:t>ولن تغير المعلومات أعلاه التاريخ الرسمي لاستلام تبليغات تخصيصات الترددات المعنية إذا قدمت المعلومات أو التوضيحات في غضون الفترة المحددة بثلاثة أشهر. وفي حالة وجود نظام ساتلي له مجموعات فرعية مختلفة من الخصائص المدارية لا</w:t>
      </w:r>
      <w:r w:rsidR="0076258F">
        <w:rPr>
          <w:rFonts w:hint="eastAsia"/>
          <w:rtl/>
          <w:lang w:bidi="ar-EG"/>
        </w:rPr>
        <w:t> </w:t>
      </w:r>
      <w:r>
        <w:rPr>
          <w:rFonts w:hint="cs"/>
          <w:rtl/>
          <w:lang w:bidi="ar-EG"/>
        </w:rPr>
        <w:t xml:space="preserve">تؤثر كل منها على الأخرى، يجب أن تقدم البيانات المطلوبة لكل مجموعة فرعية من المعلمات المدارية طبقاً </w:t>
      </w:r>
      <w:r w:rsidR="004433DB">
        <w:rPr>
          <w:rFonts w:hint="cs"/>
          <w:rtl/>
          <w:lang w:bidi="ar-EG"/>
        </w:rPr>
        <w:t>للحدود الواردة في</w:t>
      </w:r>
      <w:r w:rsidR="002176D1">
        <w:rPr>
          <w:rFonts w:hint="eastAsia"/>
          <w:rtl/>
          <w:lang w:bidi="ar-EG"/>
        </w:rPr>
        <w:t> </w:t>
      </w:r>
      <w:r>
        <w:rPr>
          <w:rFonts w:hint="cs"/>
          <w:rtl/>
          <w:lang w:bidi="ar-EG"/>
        </w:rPr>
        <w:t>المادة</w:t>
      </w:r>
      <w:r w:rsidR="00F90431">
        <w:rPr>
          <w:rFonts w:hint="eastAsia"/>
          <w:rtl/>
          <w:lang w:bidi="ar-EG"/>
        </w:rPr>
        <w:t> </w:t>
      </w:r>
      <w:r w:rsidRPr="009C0FF7">
        <w:rPr>
          <w:b/>
          <w:bCs/>
          <w:lang w:bidi="ar-EG"/>
        </w:rPr>
        <w:t>22</w:t>
      </w:r>
      <w:r>
        <w:rPr>
          <w:rFonts w:hint="cs"/>
          <w:rtl/>
          <w:lang w:bidi="ar-EG"/>
        </w:rPr>
        <w:t xml:space="preserve"> والرقم</w:t>
      </w:r>
      <w:r w:rsidR="00F90431">
        <w:rPr>
          <w:rFonts w:hint="eastAsia"/>
          <w:rtl/>
          <w:lang w:bidi="ar-EG"/>
        </w:rPr>
        <w:t> </w:t>
      </w:r>
      <w:r w:rsidRPr="009C0FF7">
        <w:rPr>
          <w:b/>
          <w:bCs/>
          <w:lang w:bidi="ar-EG"/>
        </w:rPr>
        <w:t>7B.9</w:t>
      </w:r>
      <w:r>
        <w:rPr>
          <w:rFonts w:hint="cs"/>
          <w:rtl/>
          <w:lang w:bidi="ar-EG"/>
        </w:rPr>
        <w:t>.</w:t>
      </w:r>
    </w:p>
    <w:p w:rsidR="009C0FF7" w:rsidRDefault="00D956E4" w:rsidP="00A120D1">
      <w:pPr>
        <w:rPr>
          <w:rtl/>
          <w:lang w:bidi="ar-EG"/>
        </w:rPr>
      </w:pPr>
      <w:r>
        <w:rPr>
          <w:rFonts w:hint="cs"/>
          <w:rtl/>
          <w:lang w:bidi="ar-EG"/>
        </w:rPr>
        <w:t xml:space="preserve">وإذا لم تقدم المعلومات المطلوبة في غضون فترة الثلاثة أشهر المذكورة </w:t>
      </w:r>
      <w:r w:rsidR="00A120D1">
        <w:rPr>
          <w:rFonts w:hint="cs"/>
          <w:rtl/>
          <w:lang w:bidi="ar-EG"/>
        </w:rPr>
        <w:t>آنفاً</w:t>
      </w:r>
      <w:r>
        <w:rPr>
          <w:rFonts w:hint="cs"/>
          <w:rtl/>
          <w:lang w:bidi="ar-EG"/>
        </w:rPr>
        <w:t>، يعتبر التبليغ غير مكتمل ويحدد تاريخ رسمي جديد للاستلام عند استلام المعلومات الكاملة.</w:t>
      </w:r>
    </w:p>
    <w:p w:rsidR="00D956E4" w:rsidRDefault="00C35575" w:rsidP="00F810A8">
      <w:pPr>
        <w:rPr>
          <w:rtl/>
          <w:lang w:bidi="ar-EG"/>
        </w:rPr>
      </w:pPr>
      <w:r>
        <w:rPr>
          <w:rFonts w:hint="cs"/>
          <w:rtl/>
          <w:lang w:bidi="ar-EG"/>
        </w:rPr>
        <w:t xml:space="preserve">وتنشر بيانات قناعي الكثافة </w:t>
      </w:r>
      <w:r>
        <w:rPr>
          <w:lang w:bidi="ar-EG"/>
        </w:rPr>
        <w:t>PFD</w:t>
      </w:r>
      <w:r>
        <w:rPr>
          <w:rFonts w:hint="cs"/>
          <w:rtl/>
          <w:lang w:bidi="ar-EG"/>
        </w:rPr>
        <w:t xml:space="preserve"> والقدرة </w:t>
      </w:r>
      <w:r>
        <w:rPr>
          <w:lang w:bidi="ar-EG"/>
        </w:rPr>
        <w:t>EIRP</w:t>
      </w:r>
      <w:r>
        <w:rPr>
          <w:rFonts w:hint="cs"/>
          <w:rtl/>
          <w:lang w:bidi="ar-EG"/>
        </w:rPr>
        <w:t xml:space="preserve"> المقدمة جنباً إلى جنب مع نتائج فحص الكثافة</w:t>
      </w:r>
      <w:r w:rsidR="00F810A8">
        <w:rPr>
          <w:rFonts w:hint="eastAsia"/>
          <w:rtl/>
          <w:lang w:bidi="ar-EG"/>
        </w:rPr>
        <w:t> </w:t>
      </w:r>
      <w:r>
        <w:rPr>
          <w:lang w:bidi="ar-EG"/>
        </w:rPr>
        <w:t>EPFD</w:t>
      </w:r>
      <w:r>
        <w:rPr>
          <w:rFonts w:hint="cs"/>
          <w:rtl/>
          <w:lang w:bidi="ar-EG"/>
        </w:rPr>
        <w:t xml:space="preserve"> في النشرة</w:t>
      </w:r>
      <w:r w:rsidR="00F810A8">
        <w:rPr>
          <w:rFonts w:hint="eastAsia"/>
          <w:rtl/>
          <w:lang w:bidi="ar-EG"/>
        </w:rPr>
        <w:t> </w:t>
      </w:r>
      <w:r>
        <w:rPr>
          <w:lang w:bidi="ar-EG"/>
        </w:rPr>
        <w:t>BR IFIC</w:t>
      </w:r>
      <w:r>
        <w:rPr>
          <w:rFonts w:hint="cs"/>
          <w:rtl/>
          <w:lang w:bidi="ar-EG"/>
        </w:rPr>
        <w:t xml:space="preserve"> (الخدمات الفضائية) وعلى </w:t>
      </w:r>
      <w:hyperlink r:id="rId10" w:history="1">
        <w:r w:rsidRPr="00C35575">
          <w:rPr>
            <w:rStyle w:val="Hyperlink"/>
            <w:lang w:bidi="ar-EG"/>
          </w:rPr>
          <w:t>www.itu.int/ITU-R/go/space-epfd/en</w:t>
        </w:r>
      </w:hyperlink>
      <w:r>
        <w:rPr>
          <w:rFonts w:hint="cs"/>
          <w:rtl/>
          <w:lang w:bidi="ar-EG"/>
        </w:rPr>
        <w:t>.</w:t>
      </w:r>
    </w:p>
    <w:p w:rsidR="00C35575" w:rsidRDefault="008A11A9" w:rsidP="00B21259">
      <w:pPr>
        <w:rPr>
          <w:rtl/>
          <w:lang w:val="en-GB" w:bidi="ar-EG"/>
        </w:rPr>
      </w:pPr>
      <w:r>
        <w:rPr>
          <w:rFonts w:hint="cs"/>
          <w:rtl/>
          <w:lang w:bidi="ar-EG"/>
        </w:rPr>
        <w:t xml:space="preserve">وقد استعرض المؤتمر العالمي للاتصالات الراديوية لعام </w:t>
      </w:r>
      <w:r>
        <w:rPr>
          <w:lang w:bidi="ar-EG"/>
        </w:rPr>
        <w:t>2015</w:t>
      </w:r>
      <w:r>
        <w:rPr>
          <w:rFonts w:hint="cs"/>
          <w:rtl/>
          <w:lang w:bidi="ar-EG"/>
        </w:rPr>
        <w:t xml:space="preserve"> </w:t>
      </w:r>
      <w:r>
        <w:rPr>
          <w:lang w:bidi="ar-EG"/>
        </w:rPr>
        <w:t>(WRC</w:t>
      </w:r>
      <w:r>
        <w:rPr>
          <w:lang w:bidi="ar-EG"/>
        </w:rPr>
        <w:noBreakHyphen/>
        <w:t>15)</w:t>
      </w:r>
      <w:r>
        <w:rPr>
          <w:rFonts w:hint="cs"/>
          <w:rtl/>
          <w:lang w:bidi="ar-EG"/>
        </w:rPr>
        <w:t xml:space="preserve"> التقدم المحرز والذي </w:t>
      </w:r>
      <w:r w:rsidR="00B21259">
        <w:rPr>
          <w:rFonts w:hint="cs"/>
          <w:rtl/>
          <w:lang w:bidi="ar-EG"/>
        </w:rPr>
        <w:t>أفاد به</w:t>
      </w:r>
      <w:r>
        <w:rPr>
          <w:rFonts w:hint="cs"/>
          <w:rtl/>
          <w:lang w:bidi="ar-EG"/>
        </w:rPr>
        <w:t xml:space="preserve"> مدير مكتب الاتصالات الراديوية فيما</w:t>
      </w:r>
      <w:r w:rsidR="004B41EF">
        <w:rPr>
          <w:rFonts w:hint="eastAsia"/>
          <w:rtl/>
          <w:lang w:bidi="ar-EG"/>
        </w:rPr>
        <w:t> </w:t>
      </w:r>
      <w:r>
        <w:rPr>
          <w:rFonts w:hint="cs"/>
          <w:rtl/>
          <w:lang w:bidi="ar-EG"/>
        </w:rPr>
        <w:t xml:space="preserve">يتعلق بتطوير برمجية التحقق من الكثافة </w:t>
      </w:r>
      <w:r w:rsidR="00D47CEE">
        <w:rPr>
          <w:lang w:bidi="ar-EG"/>
        </w:rPr>
        <w:t>EPFD</w:t>
      </w:r>
      <w:r>
        <w:rPr>
          <w:rFonts w:hint="cs"/>
          <w:rtl/>
          <w:lang w:bidi="ar-EG"/>
        </w:rPr>
        <w:t xml:space="preserve"> ووافق في جلسته العامة الثامنة على التقرير الثاني للجنة</w:t>
      </w:r>
      <w:r w:rsidR="005B229E">
        <w:rPr>
          <w:rFonts w:hint="eastAsia"/>
          <w:rtl/>
          <w:lang w:bidi="ar-EG"/>
        </w:rPr>
        <w:t> </w:t>
      </w:r>
      <w:r>
        <w:rPr>
          <w:lang w:bidi="ar-EG"/>
        </w:rPr>
        <w:t>5</w:t>
      </w:r>
      <w:r>
        <w:rPr>
          <w:rFonts w:hint="cs"/>
          <w:rtl/>
          <w:lang w:bidi="ar-EG"/>
        </w:rPr>
        <w:t xml:space="preserve"> المقدم إلى الجلسة العامة (انظر الوثيقتين </w:t>
      </w:r>
      <w:r w:rsidRPr="008A11A9">
        <w:rPr>
          <w:lang w:val="en-GB" w:bidi="ar-EG"/>
        </w:rPr>
        <w:t>CMR15/416</w:t>
      </w:r>
      <w:r>
        <w:rPr>
          <w:rFonts w:hint="cs"/>
          <w:rtl/>
          <w:lang w:val="en-GB" w:bidi="ar-EG"/>
        </w:rPr>
        <w:t xml:space="preserve"> و</w:t>
      </w:r>
      <w:r w:rsidRPr="008A11A9">
        <w:rPr>
          <w:lang w:val="en-GB" w:bidi="ar-EG"/>
        </w:rPr>
        <w:t>CMR15/505</w:t>
      </w:r>
      <w:r>
        <w:rPr>
          <w:rFonts w:hint="cs"/>
          <w:rtl/>
          <w:lang w:val="en-GB" w:bidi="ar-EG"/>
        </w:rPr>
        <w:t>) الذي ورد فيه أنه:</w:t>
      </w:r>
    </w:p>
    <w:p w:rsidR="008A11A9" w:rsidRDefault="00F526BE" w:rsidP="004C11E1">
      <w:pPr>
        <w:ind w:left="794" w:hanging="794"/>
        <w:rPr>
          <w:rtl/>
          <w:lang w:bidi="ar-EG"/>
        </w:rPr>
      </w:pPr>
      <w:r>
        <w:rPr>
          <w:rFonts w:hint="cs"/>
          <w:rtl/>
          <w:lang w:bidi="ar-EG"/>
        </w:rPr>
        <w:t>-</w:t>
      </w:r>
      <w:r>
        <w:rPr>
          <w:rFonts w:hint="cs"/>
          <w:rtl/>
          <w:lang w:bidi="ar-EG"/>
        </w:rPr>
        <w:tab/>
      </w:r>
      <w:r w:rsidRPr="00F526BE">
        <w:rPr>
          <w:rFonts w:hint="cs"/>
          <w:i/>
          <w:iCs/>
          <w:rtl/>
          <w:lang w:bidi="ar-EG"/>
        </w:rPr>
        <w:t xml:space="preserve">في الحالات التي لا تتمكن البرمجيات فيها من وضع نموذج لأنظمة الخدمة الثابتة الساتلية غير المستقرة بالنسبة إلى الأرض، يستمر تطبيق القرار </w:t>
      </w:r>
      <w:r w:rsidRPr="00F526BE">
        <w:rPr>
          <w:b/>
          <w:bCs/>
          <w:i/>
          <w:iCs/>
          <w:lang w:bidi="ar-EG"/>
        </w:rPr>
        <w:t>85 (WRC</w:t>
      </w:r>
      <w:r w:rsidRPr="00F526BE">
        <w:rPr>
          <w:b/>
          <w:bCs/>
          <w:i/>
          <w:iCs/>
          <w:lang w:bidi="ar-EG"/>
        </w:rPr>
        <w:noBreakHyphen/>
        <w:t>03)</w:t>
      </w:r>
      <w:r w:rsidRPr="00F526BE">
        <w:rPr>
          <w:rFonts w:hint="cs"/>
          <w:i/>
          <w:iCs/>
          <w:rtl/>
          <w:lang w:bidi="ar-EG"/>
        </w:rPr>
        <w:t xml:space="preserve"> حتى تتم الموافقة في قطاع الاتصالات الراديوية على التوصية</w:t>
      </w:r>
      <w:r w:rsidR="005B229E">
        <w:rPr>
          <w:rFonts w:hint="eastAsia"/>
          <w:i/>
          <w:iCs/>
          <w:rtl/>
          <w:lang w:bidi="ar-EG"/>
        </w:rPr>
        <w:t> </w:t>
      </w:r>
      <w:r w:rsidRPr="00F526BE">
        <w:rPr>
          <w:i/>
          <w:iCs/>
          <w:lang w:bidi="ar-EG"/>
        </w:rPr>
        <w:t>ITU</w:t>
      </w:r>
      <w:r w:rsidRPr="00F526BE">
        <w:rPr>
          <w:i/>
          <w:iCs/>
          <w:lang w:bidi="ar-EG"/>
        </w:rPr>
        <w:noBreakHyphen/>
        <w:t>R S.1503</w:t>
      </w:r>
      <w:r w:rsidRPr="00F526BE">
        <w:rPr>
          <w:rFonts w:hint="cs"/>
          <w:i/>
          <w:iCs/>
          <w:rtl/>
          <w:lang w:bidi="ar-EG"/>
        </w:rPr>
        <w:t xml:space="preserve"> التي تحسّن من نموذج هذه الأنظمة غير المستقرة بالنسبة إلى الأرض ويتم تنفيذها في برمجيات التحقق من كثافة تدفق القدرة المكافئة. وهذا لا يمنع المكتب من التحقق من الأنظمة </w:t>
      </w:r>
      <w:r w:rsidRPr="00F526BE">
        <w:rPr>
          <w:i/>
          <w:iCs/>
          <w:lang w:bidi="ar-EG"/>
        </w:rPr>
        <w:t>FSS</w:t>
      </w:r>
      <w:r w:rsidRPr="00F526BE">
        <w:rPr>
          <w:rFonts w:hint="cs"/>
          <w:i/>
          <w:iCs/>
          <w:rtl/>
          <w:lang w:bidi="ar-EG"/>
        </w:rPr>
        <w:t xml:space="preserve"> غير المستقرة بالنسبة إلى الأرض التي يمكن وضع نموذج لها في</w:t>
      </w:r>
      <w:r w:rsidR="004C11E1">
        <w:rPr>
          <w:rFonts w:hint="eastAsia"/>
          <w:i/>
          <w:iCs/>
          <w:rtl/>
          <w:lang w:bidi="ar-EG"/>
        </w:rPr>
        <w:t> </w:t>
      </w:r>
      <w:r w:rsidRPr="00F526BE">
        <w:rPr>
          <w:rFonts w:hint="cs"/>
          <w:i/>
          <w:iCs/>
          <w:rtl/>
          <w:lang w:bidi="ar-EG"/>
        </w:rPr>
        <w:t>إطار النسخة الحالية من البرمجيات.</w:t>
      </w:r>
    </w:p>
    <w:p w:rsidR="00F526BE" w:rsidRDefault="003208A1" w:rsidP="00780419">
      <w:pPr>
        <w:keepNext/>
        <w:keepLines/>
        <w:rPr>
          <w:rtl/>
          <w:lang w:bidi="ar-EG"/>
        </w:rPr>
      </w:pPr>
      <w:r>
        <w:rPr>
          <w:rFonts w:hint="cs"/>
          <w:rtl/>
          <w:lang w:bidi="ar-EG"/>
        </w:rPr>
        <w:t xml:space="preserve">وطبقاً للقرار أعلاه، فإن المكتب سيقوم، عند استلام بيان يشير إلى أن </w:t>
      </w:r>
      <w:r w:rsidRPr="00042DCD">
        <w:rPr>
          <w:rFonts w:hint="cs"/>
          <w:i/>
          <w:iCs/>
          <w:rtl/>
          <w:lang w:bidi="ar-EG"/>
        </w:rPr>
        <w:t>البرمجية لا يمكنها أن تجري النمذجة بشكلٍ وافٍ لنظام ساتلي</w:t>
      </w:r>
      <w:r w:rsidR="00425463" w:rsidRPr="00042DCD">
        <w:rPr>
          <w:rFonts w:hint="eastAsia"/>
          <w:i/>
          <w:iCs/>
          <w:rtl/>
          <w:lang w:bidi="ar-EG"/>
        </w:rPr>
        <w:t> </w:t>
      </w:r>
      <w:r w:rsidRPr="00042DCD">
        <w:rPr>
          <w:i/>
          <w:iCs/>
          <w:lang w:bidi="ar-EG"/>
        </w:rPr>
        <w:t>FSS</w:t>
      </w:r>
      <w:r w:rsidRPr="00042DCD">
        <w:rPr>
          <w:rFonts w:hint="cs"/>
          <w:i/>
          <w:iCs/>
          <w:rtl/>
          <w:lang w:bidi="ar-EG"/>
        </w:rPr>
        <w:t xml:space="preserve"> غير مستقر بالنسبة إلى الأرض معين</w:t>
      </w:r>
      <w:r>
        <w:rPr>
          <w:rFonts w:hint="cs"/>
          <w:rtl/>
          <w:lang w:bidi="ar-EG"/>
        </w:rPr>
        <w:t xml:space="preserve">، بإحالة الحالة إلى فرقة العمل </w:t>
      </w:r>
      <w:r>
        <w:rPr>
          <w:lang w:bidi="ar-EG"/>
        </w:rPr>
        <w:t>4A</w:t>
      </w:r>
      <w:r>
        <w:rPr>
          <w:rFonts w:hint="cs"/>
          <w:rtl/>
          <w:lang w:bidi="ar-EG"/>
        </w:rPr>
        <w:t>/لجنة الدراسات</w:t>
      </w:r>
      <w:r w:rsidR="004229AB">
        <w:rPr>
          <w:rFonts w:hint="eastAsia"/>
          <w:rtl/>
          <w:lang w:bidi="ar-EG"/>
        </w:rPr>
        <w:t> </w:t>
      </w:r>
      <w:r>
        <w:rPr>
          <w:lang w:bidi="ar-EG"/>
        </w:rPr>
        <w:t>4</w:t>
      </w:r>
      <w:r>
        <w:rPr>
          <w:rFonts w:hint="cs"/>
          <w:rtl/>
          <w:lang w:bidi="ar-EG"/>
        </w:rPr>
        <w:t xml:space="preserve"> لقطاع الاتصالات الراديوية للنظر فيما إذا كانت هناك </w:t>
      </w:r>
      <w:r w:rsidR="00780419">
        <w:rPr>
          <w:rFonts w:hint="cs"/>
          <w:rtl/>
          <w:lang w:bidi="ar-EG"/>
        </w:rPr>
        <w:t>حاجة إلى</w:t>
      </w:r>
      <w:r>
        <w:rPr>
          <w:rFonts w:hint="cs"/>
          <w:rtl/>
          <w:lang w:bidi="ar-EG"/>
        </w:rPr>
        <w:t xml:space="preserve"> مزيد من التحسينات على منهجية التوصية </w:t>
      </w:r>
      <w:r w:rsidR="00ED7382" w:rsidRPr="00ED7382">
        <w:rPr>
          <w:lang w:bidi="ar-EG"/>
        </w:rPr>
        <w:t>ITU</w:t>
      </w:r>
      <w:r w:rsidR="00ED7382">
        <w:rPr>
          <w:lang w:bidi="ar-EG"/>
        </w:rPr>
        <w:noBreakHyphen/>
      </w:r>
      <w:r w:rsidR="00ED7382" w:rsidRPr="00ED7382">
        <w:rPr>
          <w:lang w:bidi="ar-EG"/>
        </w:rPr>
        <w:t>R</w:t>
      </w:r>
      <w:r w:rsidR="00ED7382">
        <w:rPr>
          <w:lang w:bidi="ar-EG"/>
        </w:rPr>
        <w:t> </w:t>
      </w:r>
      <w:r w:rsidR="00ED7382" w:rsidRPr="00ED7382">
        <w:rPr>
          <w:lang w:bidi="ar-EG"/>
        </w:rPr>
        <w:t>S.1503</w:t>
      </w:r>
      <w:r w:rsidR="00ED7382">
        <w:rPr>
          <w:lang w:bidi="ar-EG"/>
        </w:rPr>
        <w:noBreakHyphen/>
      </w:r>
      <w:r w:rsidR="00ED7382" w:rsidRPr="00ED7382">
        <w:rPr>
          <w:lang w:bidi="ar-EG"/>
        </w:rPr>
        <w:t>2</w:t>
      </w:r>
      <w:r w:rsidR="00ED7382">
        <w:rPr>
          <w:rFonts w:hint="cs"/>
          <w:rtl/>
          <w:lang w:bidi="ar-EG"/>
        </w:rPr>
        <w:t xml:space="preserve"> </w:t>
      </w:r>
      <w:r w:rsidR="00ED7382" w:rsidRPr="00B95CBF">
        <w:rPr>
          <w:rFonts w:hint="cs"/>
          <w:rtl/>
          <w:lang w:bidi="ar-EG"/>
        </w:rPr>
        <w:t>لنمذجة</w:t>
      </w:r>
      <w:r w:rsidR="00ED7382">
        <w:rPr>
          <w:rFonts w:hint="cs"/>
          <w:rtl/>
          <w:lang w:bidi="ar-EG"/>
        </w:rPr>
        <w:t xml:space="preserve"> النظام بشكلٍ واف</w:t>
      </w:r>
      <w:r w:rsidR="002B598F">
        <w:rPr>
          <w:rFonts w:hint="cs"/>
          <w:rtl/>
          <w:lang w:bidi="ar-EG"/>
        </w:rPr>
        <w:t>ٍ</w:t>
      </w:r>
      <w:r w:rsidR="00ED7382">
        <w:rPr>
          <w:rFonts w:hint="cs"/>
          <w:rtl/>
          <w:lang w:bidi="ar-EG"/>
        </w:rPr>
        <w:t xml:space="preserve">. ولدعم هذا الاستعراض من جانب المكتب وفرقة العمل </w:t>
      </w:r>
      <w:r w:rsidR="00ED7382">
        <w:rPr>
          <w:lang w:bidi="ar-EG"/>
        </w:rPr>
        <w:t>4A</w:t>
      </w:r>
      <w:r w:rsidR="00ED7382">
        <w:rPr>
          <w:rFonts w:hint="cs"/>
          <w:rtl/>
          <w:lang w:bidi="ar-EG"/>
        </w:rPr>
        <w:t>/لجنة الدراسات </w:t>
      </w:r>
      <w:r w:rsidR="00ED7382">
        <w:rPr>
          <w:lang w:bidi="ar-EG"/>
        </w:rPr>
        <w:t>4</w:t>
      </w:r>
      <w:r w:rsidR="00ED7382">
        <w:rPr>
          <w:rFonts w:hint="cs"/>
          <w:rtl/>
          <w:lang w:bidi="ar-EG"/>
        </w:rPr>
        <w:t xml:space="preserve">، يتعين تقديم أوصاف تفصيلية تقنية أخرى، تتضمن </w:t>
      </w:r>
      <w:r w:rsidR="00ED7382" w:rsidRPr="00556258">
        <w:rPr>
          <w:rFonts w:hint="cs"/>
          <w:i/>
          <w:iCs/>
          <w:rtl/>
          <w:lang w:bidi="ar-EG"/>
        </w:rPr>
        <w:t>ضمن جملة أشياء</w:t>
      </w:r>
      <w:r w:rsidR="00ED7382">
        <w:rPr>
          <w:rFonts w:hint="cs"/>
          <w:rtl/>
          <w:lang w:bidi="ar-EG"/>
        </w:rPr>
        <w:t>:</w:t>
      </w:r>
    </w:p>
    <w:p w:rsidR="00ED7382" w:rsidRDefault="00972FAC" w:rsidP="00D4557F">
      <w:pPr>
        <w:pStyle w:val="enumlev1"/>
        <w:rPr>
          <w:rtl/>
        </w:rPr>
      </w:pPr>
      <w:r>
        <w:t>1</w:t>
      </w:r>
      <w:r>
        <w:tab/>
      </w:r>
      <w:r>
        <w:rPr>
          <w:rFonts w:hint="cs"/>
          <w:rtl/>
        </w:rPr>
        <w:t xml:space="preserve">نتائج الحساب باستعمال برمجية التحقق من الكثافة </w:t>
      </w:r>
      <w:r>
        <w:t>EPFD</w:t>
      </w:r>
      <w:r>
        <w:rPr>
          <w:rFonts w:hint="cs"/>
          <w:rtl/>
        </w:rPr>
        <w:t xml:space="preserve"> الحالية؛</w:t>
      </w:r>
    </w:p>
    <w:p w:rsidR="00972FAC" w:rsidRDefault="00972FAC" w:rsidP="00D4557F">
      <w:pPr>
        <w:pStyle w:val="enumlev1"/>
        <w:rPr>
          <w:rtl/>
        </w:rPr>
      </w:pPr>
      <w:r>
        <w:t>2</w:t>
      </w:r>
      <w:r>
        <w:rPr>
          <w:rtl/>
        </w:rPr>
        <w:tab/>
      </w:r>
      <w:r>
        <w:rPr>
          <w:rFonts w:hint="cs"/>
          <w:rtl/>
        </w:rPr>
        <w:t xml:space="preserve">نتائج حساب الكثافة </w:t>
      </w:r>
      <w:r>
        <w:t>EPFD</w:t>
      </w:r>
      <w:r>
        <w:rPr>
          <w:rFonts w:hint="cs"/>
          <w:rtl/>
        </w:rPr>
        <w:t xml:space="preserve"> باستعمال برمجية محاكاة مع نمذجة وافية للنظام غير المستقر بالنسبة إلى الأرض؛</w:t>
      </w:r>
    </w:p>
    <w:p w:rsidR="00972FAC" w:rsidRDefault="00972FAC" w:rsidP="005D3632">
      <w:pPr>
        <w:pStyle w:val="enumlev1"/>
        <w:rPr>
          <w:rtl/>
        </w:rPr>
      </w:pPr>
      <w:r>
        <w:t>3</w:t>
      </w:r>
      <w:r>
        <w:rPr>
          <w:rtl/>
        </w:rPr>
        <w:tab/>
      </w:r>
      <w:r>
        <w:rPr>
          <w:rFonts w:hint="cs"/>
          <w:rtl/>
        </w:rPr>
        <w:t xml:space="preserve">تحديد الأجزاء المحددة </w:t>
      </w:r>
      <w:r w:rsidR="005D3632">
        <w:rPr>
          <w:rFonts w:hint="cs"/>
          <w:rtl/>
        </w:rPr>
        <w:t>من</w:t>
      </w:r>
      <w:r>
        <w:rPr>
          <w:rFonts w:hint="cs"/>
          <w:rtl/>
        </w:rPr>
        <w:t xml:space="preserve"> التوصية </w:t>
      </w:r>
      <w:r w:rsidRPr="00972FAC">
        <w:t>ITU</w:t>
      </w:r>
      <w:r w:rsidR="00726435">
        <w:noBreakHyphen/>
      </w:r>
      <w:r w:rsidRPr="00972FAC">
        <w:t>R</w:t>
      </w:r>
      <w:r w:rsidR="00726435">
        <w:t> </w:t>
      </w:r>
      <w:r w:rsidRPr="00972FAC">
        <w:t>S.1503</w:t>
      </w:r>
      <w:r w:rsidR="00726435">
        <w:noBreakHyphen/>
      </w:r>
      <w:r w:rsidRPr="00972FAC">
        <w:t>2</w:t>
      </w:r>
      <w:r>
        <w:rPr>
          <w:rFonts w:hint="cs"/>
          <w:rtl/>
        </w:rPr>
        <w:t xml:space="preserve"> التي تحتاج إلى المراجعة والتحسين.</w:t>
      </w:r>
    </w:p>
    <w:p w:rsidR="00972FAC" w:rsidRDefault="00E02315" w:rsidP="00EC5960">
      <w:pPr>
        <w:rPr>
          <w:rtl/>
          <w:lang w:bidi="ar-EG"/>
        </w:rPr>
      </w:pPr>
      <w:r>
        <w:rPr>
          <w:rFonts w:hint="cs"/>
          <w:rtl/>
          <w:lang w:bidi="ar-EG"/>
        </w:rPr>
        <w:t xml:space="preserve">وستنشر المعلومات أعلاه على الموقع الإلكتروني للاتحاد </w:t>
      </w:r>
      <w:r w:rsidR="000069BE">
        <w:rPr>
          <w:rFonts w:hint="cs"/>
          <w:rtl/>
          <w:lang w:bidi="ar-EG"/>
        </w:rPr>
        <w:t>وكجزء من</w:t>
      </w:r>
      <w:r>
        <w:rPr>
          <w:rFonts w:hint="cs"/>
          <w:rtl/>
          <w:lang w:bidi="ar-EG"/>
        </w:rPr>
        <w:t xml:space="preserve"> الوثيقة المقدمة إلى فرقة العمل </w:t>
      </w:r>
      <w:r>
        <w:rPr>
          <w:lang w:bidi="ar-EG"/>
        </w:rPr>
        <w:t>4A</w:t>
      </w:r>
      <w:r>
        <w:rPr>
          <w:rFonts w:hint="cs"/>
          <w:rtl/>
          <w:lang w:bidi="ar-EG"/>
        </w:rPr>
        <w:t>/لجنة الدراسات </w:t>
      </w:r>
      <w:r>
        <w:rPr>
          <w:lang w:bidi="ar-EG"/>
        </w:rPr>
        <w:t>4</w:t>
      </w:r>
      <w:r>
        <w:rPr>
          <w:rFonts w:hint="cs"/>
          <w:rtl/>
          <w:lang w:bidi="ar-EG"/>
        </w:rPr>
        <w:t xml:space="preserve"> لكي تنظر فيها. وإذا ما وافقت فرقة العمل على وجهة نظر الإدارة وخلصت إلى ضرورة إجراء مراجعة للتوصية</w:t>
      </w:r>
      <w:r w:rsidR="00EC5960">
        <w:rPr>
          <w:rFonts w:hint="eastAsia"/>
          <w:rtl/>
          <w:lang w:bidi="ar-EG"/>
        </w:rPr>
        <w:t> </w:t>
      </w:r>
      <w:r w:rsidRPr="00E02315">
        <w:rPr>
          <w:lang w:bidi="ar-EG"/>
        </w:rPr>
        <w:t>ITU</w:t>
      </w:r>
      <w:r w:rsidR="00AB534F">
        <w:rPr>
          <w:lang w:bidi="ar-EG"/>
        </w:rPr>
        <w:noBreakHyphen/>
      </w:r>
      <w:r w:rsidRPr="00E02315">
        <w:rPr>
          <w:lang w:bidi="ar-EG"/>
        </w:rPr>
        <w:t>R</w:t>
      </w:r>
      <w:r w:rsidR="00AB534F">
        <w:rPr>
          <w:lang w:bidi="ar-EG"/>
        </w:rPr>
        <w:t> </w:t>
      </w:r>
      <w:r w:rsidRPr="00E02315">
        <w:rPr>
          <w:lang w:bidi="ar-EG"/>
        </w:rPr>
        <w:t>S.1503</w:t>
      </w:r>
      <w:r w:rsidR="004E1FD5">
        <w:rPr>
          <w:lang w:bidi="ar-EG"/>
        </w:rPr>
        <w:t>-2</w:t>
      </w:r>
      <w:r>
        <w:rPr>
          <w:rFonts w:hint="cs"/>
          <w:rtl/>
          <w:lang w:bidi="ar-EG"/>
        </w:rPr>
        <w:t xml:space="preserve"> من أجل نمذجة النظام بشكلٍ وافٍ، </w:t>
      </w:r>
      <w:r w:rsidR="009817F0">
        <w:rPr>
          <w:rFonts w:hint="cs"/>
          <w:rtl/>
          <w:lang w:bidi="ar-EG"/>
        </w:rPr>
        <w:t>يبقي</w:t>
      </w:r>
      <w:r>
        <w:rPr>
          <w:rFonts w:hint="cs"/>
          <w:rtl/>
          <w:lang w:bidi="ar-EG"/>
        </w:rPr>
        <w:t xml:space="preserve"> المكتب على النتيجة "المؤاتية المشروطة" إلى أن تتم الموافقة على صيغة جديدة للتوصية وتطبيقها في</w:t>
      </w:r>
      <w:r>
        <w:rPr>
          <w:rFonts w:hint="eastAsia"/>
          <w:rtl/>
          <w:lang w:bidi="ar-EG"/>
        </w:rPr>
        <w:t> </w:t>
      </w:r>
      <w:r>
        <w:rPr>
          <w:rFonts w:hint="cs"/>
          <w:rtl/>
          <w:lang w:bidi="ar-EG"/>
        </w:rPr>
        <w:t>الإصدار الجديد من برمجية التحقق من الكثافة</w:t>
      </w:r>
      <w:r w:rsidR="00EC5DE8">
        <w:rPr>
          <w:rFonts w:hint="eastAsia"/>
          <w:rtl/>
          <w:lang w:bidi="ar-EG"/>
        </w:rPr>
        <w:t> </w:t>
      </w:r>
      <w:r>
        <w:rPr>
          <w:lang w:bidi="ar-EG"/>
        </w:rPr>
        <w:t>EPFD</w:t>
      </w:r>
      <w:r>
        <w:rPr>
          <w:rFonts w:hint="cs"/>
          <w:rtl/>
          <w:lang w:bidi="ar-EG"/>
        </w:rPr>
        <w:t>.</w:t>
      </w:r>
    </w:p>
    <w:p w:rsidR="00930EB1" w:rsidRDefault="00930EB1" w:rsidP="00930EB1">
      <w:pPr>
        <w:rPr>
          <w:rtl/>
          <w:lang w:bidi="ar-EG"/>
        </w:rPr>
      </w:pPr>
      <w:r>
        <w:rPr>
          <w:rFonts w:hint="cs"/>
          <w:rtl/>
          <w:lang w:bidi="ar-EG"/>
        </w:rPr>
        <w:t xml:space="preserve">وفي حالة وجود أي أسئلة بخصوص تشغيل برمجية التحقق من الكثافة </w:t>
      </w:r>
      <w:r w:rsidR="004E1FD5">
        <w:rPr>
          <w:lang w:bidi="ar-EG"/>
        </w:rPr>
        <w:t>EPFD</w:t>
      </w:r>
      <w:r>
        <w:rPr>
          <w:rFonts w:hint="cs"/>
          <w:rtl/>
          <w:lang w:bidi="ar-EG"/>
        </w:rPr>
        <w:t xml:space="preserve"> أو عند الرغبة في تقديم اقتراحات وأفكار من أجل إجراء تحسينات محتملة، يرجى من الإدارات الاتصال بالمكتب عبر </w:t>
      </w:r>
      <w:hyperlink r:id="rId11" w:history="1">
        <w:r w:rsidRPr="00930EB1">
          <w:rPr>
            <w:rStyle w:val="Hyperlink"/>
            <w:lang w:bidi="ar-EG"/>
          </w:rPr>
          <w:t>BRMail@itu.int</w:t>
        </w:r>
      </w:hyperlink>
      <w:r>
        <w:rPr>
          <w:rFonts w:hint="cs"/>
          <w:rtl/>
          <w:lang w:bidi="ar-EG"/>
        </w:rPr>
        <w:t xml:space="preserve"> أو </w:t>
      </w:r>
      <w:hyperlink r:id="rId12" w:history="1">
        <w:r w:rsidRPr="00930EB1">
          <w:rPr>
            <w:rStyle w:val="Hyperlink"/>
            <w:lang w:bidi="ar-EG"/>
          </w:rPr>
          <w:t>epfd-support@itu.int</w:t>
        </w:r>
      </w:hyperlink>
      <w:r>
        <w:rPr>
          <w:rFonts w:hint="cs"/>
          <w:rtl/>
          <w:lang w:bidi="ar-EG"/>
        </w:rPr>
        <w:t>.</w:t>
      </w:r>
    </w:p>
    <w:p w:rsidR="00930EB1" w:rsidRPr="002B0C1C" w:rsidRDefault="00CA62EE" w:rsidP="00CA62EE">
      <w:pPr>
        <w:rPr>
          <w:rtl/>
          <w:lang w:bidi="ar-EG"/>
        </w:rPr>
      </w:pPr>
      <w:r>
        <w:rPr>
          <w:rFonts w:hint="cs"/>
          <w:rtl/>
          <w:lang w:bidi="ar-EG"/>
        </w:rPr>
        <w:t>ويبقى المكتب على استعداد لتزويد إدا</w:t>
      </w:r>
      <w:r w:rsidR="002322A1">
        <w:rPr>
          <w:rFonts w:hint="cs"/>
          <w:rtl/>
          <w:lang w:bidi="ar-EG"/>
        </w:rPr>
        <w:t>رتكم بأي إيضاحات قد تطلبها فيما</w:t>
      </w:r>
      <w:r w:rsidR="002322A1">
        <w:rPr>
          <w:rFonts w:hint="eastAsia"/>
          <w:rtl/>
          <w:lang w:bidi="ar-EG"/>
        </w:rPr>
        <w:t> </w:t>
      </w:r>
      <w:r>
        <w:rPr>
          <w:rFonts w:hint="cs"/>
          <w:rtl/>
          <w:lang w:bidi="ar-EG"/>
        </w:rPr>
        <w:t xml:space="preserve">يتعلق بمحتوى هذه الرسالة المعممة من خلال عنوان البريد الإلكتروني </w:t>
      </w:r>
      <w:hyperlink r:id="rId13" w:history="1">
        <w:r w:rsidRPr="00CA62EE">
          <w:rPr>
            <w:rStyle w:val="Hyperlink"/>
            <w:lang w:bidi="ar-EG"/>
          </w:rPr>
          <w:t>brmail@itu.int</w:t>
        </w:r>
      </w:hyperlink>
      <w:r w:rsidR="0002074E">
        <w:rPr>
          <w:rFonts w:hint="cs"/>
          <w:rtl/>
          <w:lang w:bidi="ar-EG"/>
        </w:rPr>
        <w:t xml:space="preserve"> أو المنتدى الخاص</w:t>
      </w:r>
      <w:r>
        <w:rPr>
          <w:rFonts w:hint="cs"/>
          <w:rtl/>
          <w:lang w:bidi="ar-EG"/>
        </w:rPr>
        <w:t xml:space="preserve"> لأداة التحقق من الكثافة </w:t>
      </w:r>
      <w:r>
        <w:rPr>
          <w:lang w:bidi="ar-EG"/>
        </w:rPr>
        <w:t>EPFD</w:t>
      </w:r>
      <w:r>
        <w:rPr>
          <w:rFonts w:hint="cs"/>
          <w:rtl/>
          <w:lang w:bidi="ar-EG"/>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5C771D" w:rsidRPr="00E45690" w:rsidRDefault="005C771D" w:rsidP="00820116">
      <w:pPr>
        <w:tabs>
          <w:tab w:val="clear" w:pos="794"/>
          <w:tab w:val="left" w:pos="283"/>
        </w:tabs>
        <w:spacing w:before="456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363CDE" w:rsidRDefault="005C771D" w:rsidP="00820116">
      <w:pPr>
        <w:tabs>
          <w:tab w:val="clear" w:pos="794"/>
          <w:tab w:val="left" w:pos="283"/>
        </w:tabs>
        <w:jc w:val="left"/>
        <w:rPr>
          <w:sz w:val="16"/>
          <w:szCs w:val="22"/>
          <w:rtl/>
          <w:lang w:bidi="ar-EG"/>
        </w:rPr>
      </w:pPr>
      <w:r w:rsidRPr="00363CDE">
        <w:rPr>
          <w:rFonts w:hint="cs"/>
          <w:sz w:val="16"/>
          <w:szCs w:val="22"/>
          <w:rtl/>
          <w:lang w:bidi="ar-EG"/>
        </w:rPr>
        <w:t>-</w:t>
      </w:r>
      <w:r w:rsidRPr="00363CDE">
        <w:rPr>
          <w:rFonts w:hint="cs"/>
          <w:sz w:val="16"/>
          <w:szCs w:val="22"/>
          <w:rtl/>
          <w:lang w:bidi="ar-EG"/>
        </w:rPr>
        <w:tab/>
      </w:r>
      <w:r w:rsidRPr="00363CDE">
        <w:rPr>
          <w:sz w:val="16"/>
          <w:szCs w:val="22"/>
          <w:rtl/>
          <w:lang w:bidi="ar-EG"/>
        </w:rPr>
        <w:t>إدارات الدول الأعضاء</w:t>
      </w:r>
      <w:r w:rsidRPr="00363CDE">
        <w:rPr>
          <w:rFonts w:hint="cs"/>
          <w:sz w:val="16"/>
          <w:szCs w:val="22"/>
          <w:rtl/>
          <w:lang w:bidi="ar-EG"/>
        </w:rPr>
        <w:t xml:space="preserve"> في الاتحاد</w:t>
      </w:r>
    </w:p>
    <w:p w:rsidR="005C771D" w:rsidRPr="00363CDE" w:rsidRDefault="005C771D" w:rsidP="00820116">
      <w:pPr>
        <w:tabs>
          <w:tab w:val="clear" w:pos="794"/>
          <w:tab w:val="left" w:pos="283"/>
        </w:tabs>
        <w:spacing w:before="60"/>
        <w:jc w:val="left"/>
        <w:rPr>
          <w:sz w:val="16"/>
          <w:szCs w:val="22"/>
          <w:rtl/>
          <w:lang w:bidi="ar-EG"/>
        </w:rPr>
      </w:pPr>
      <w:r w:rsidRPr="00363CDE">
        <w:rPr>
          <w:sz w:val="16"/>
          <w:szCs w:val="22"/>
          <w:rtl/>
          <w:lang w:bidi="ar-EG"/>
        </w:rPr>
        <w:t>-</w:t>
      </w:r>
      <w:r w:rsidRPr="00363CDE">
        <w:rPr>
          <w:sz w:val="16"/>
          <w:szCs w:val="22"/>
          <w:rtl/>
          <w:lang w:bidi="ar-EG"/>
        </w:rPr>
        <w:tab/>
        <w:t>أعضاء لجنة لوائح الراديو</w:t>
      </w:r>
    </w:p>
    <w:sectPr w:rsidR="005C771D" w:rsidRPr="00363CDE" w:rsidSect="007E6E52">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64" w:rsidRDefault="00D72964" w:rsidP="00F36590">
      <w:pPr>
        <w:spacing w:before="0" w:line="240" w:lineRule="auto"/>
      </w:pPr>
      <w:r>
        <w:separator/>
      </w:r>
    </w:p>
  </w:endnote>
  <w:endnote w:type="continuationSeparator" w:id="0">
    <w:p w:rsidR="00D72964" w:rsidRDefault="00D72964"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6A" w:rsidRPr="00F4286A" w:rsidRDefault="00F4286A" w:rsidP="00F428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18"/>
        <w:lang w:eastAsia="en-US"/>
      </w:rPr>
    </w:pPr>
    <w:r w:rsidRPr="00F4286A">
      <w:rPr>
        <w:rFonts w:eastAsia="Times New Roman" w:cs="Calibri"/>
        <w:color w:val="3E8EDE"/>
        <w:sz w:val="18"/>
        <w:szCs w:val="18"/>
        <w:lang w:eastAsia="en-US"/>
      </w:rPr>
      <w:t>International Telecommunication Union • Place des Nations, CH</w:t>
    </w:r>
    <w:r w:rsidRPr="00F4286A">
      <w:rPr>
        <w:rFonts w:eastAsia="Times New Roman" w:cs="Calibri"/>
        <w:color w:val="3E8EDE"/>
        <w:sz w:val="18"/>
        <w:szCs w:val="18"/>
        <w:lang w:eastAsia="en-US"/>
      </w:rPr>
      <w:noBreakHyphen/>
      <w:t xml:space="preserve">1211 Geneva 20, Switzerland </w:t>
    </w:r>
    <w:r w:rsidRPr="00F4286A">
      <w:rPr>
        <w:rFonts w:eastAsia="Times New Roman" w:cs="Calibri"/>
        <w:color w:val="3E8EDE"/>
        <w:sz w:val="18"/>
        <w:szCs w:val="18"/>
        <w:lang w:eastAsia="en-US"/>
      </w:rPr>
      <w:br/>
      <w:t xml:space="preserve">Tel: +41 22 730 5111 • Fax: +41 22 733 7256 • </w:t>
    </w:r>
    <w:r w:rsidRPr="00F4286A">
      <w:rPr>
        <w:rFonts w:eastAsia="Times New Roman" w:cs="Calibri"/>
        <w:color w:val="3E8EDE"/>
        <w:sz w:val="18"/>
        <w:szCs w:val="18"/>
        <w:lang w:eastAsia="en-US"/>
      </w:rPr>
      <w:br/>
      <w:t xml:space="preserve">E-mail: </w:t>
    </w:r>
    <w:hyperlink r:id="rId1" w:history="1">
      <w:r w:rsidRPr="00F4286A">
        <w:rPr>
          <w:rFonts w:eastAsia="Times New Roman" w:cs="Calibri"/>
          <w:color w:val="3E8EDE"/>
          <w:sz w:val="18"/>
          <w:szCs w:val="18"/>
          <w:u w:val="single"/>
          <w:lang w:eastAsia="en-US"/>
        </w:rPr>
        <w:t>itumail@itu.int</w:t>
      </w:r>
    </w:hyperlink>
    <w:r w:rsidRPr="00F4286A">
      <w:rPr>
        <w:rFonts w:eastAsia="Times New Roman" w:cs="Calibri"/>
        <w:color w:val="3E8EDE"/>
        <w:sz w:val="18"/>
        <w:szCs w:val="18"/>
        <w:lang w:eastAsia="en-US"/>
      </w:rPr>
      <w:t xml:space="preserve"> • </w:t>
    </w:r>
    <w:hyperlink r:id="rId2" w:history="1">
      <w:r w:rsidRPr="00F4286A">
        <w:rPr>
          <w:rFonts w:eastAsia="Times New Roman" w:cs="Calibri"/>
          <w:color w:val="3E8EDE"/>
          <w:sz w:val="18"/>
          <w:szCs w:val="18"/>
          <w:u w:val="single"/>
          <w:lang w:eastAsia="en-US"/>
        </w:rPr>
        <w:t>www.itu.int</w:t>
      </w:r>
    </w:hyperlink>
    <w:r w:rsidRPr="00F4286A">
      <w:rPr>
        <w:rFonts w:eastAsia="Times New Roman" w:cs="Calibri"/>
        <w:color w:val="3E8EDE"/>
        <w:sz w:val="18"/>
        <w:szCs w:val="18"/>
        <w:lang w:eastAsia="en-US"/>
      </w:rPr>
      <w:t xml:space="preserve"> • </w:t>
    </w:r>
    <w:hyperlink r:id="rId3" w:history="1">
      <w:r w:rsidRPr="00F4286A">
        <w:rPr>
          <w:rFonts w:eastAsia="Times New Roman" w:cs="Calibri"/>
          <w:color w:val="3E8EDE"/>
          <w:sz w:val="18"/>
          <w:szCs w:val="18"/>
          <w:u w:val="single"/>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64" w:rsidRDefault="00D72964" w:rsidP="00F36590">
      <w:pPr>
        <w:spacing w:before="0" w:line="240" w:lineRule="auto"/>
      </w:pPr>
      <w:r>
        <w:separator/>
      </w:r>
    </w:p>
  </w:footnote>
  <w:footnote w:type="continuationSeparator" w:id="0">
    <w:p w:rsidR="00D72964" w:rsidRDefault="00D72964"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476B8E">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64"/>
    <w:rsid w:val="000069BE"/>
    <w:rsid w:val="0002074E"/>
    <w:rsid w:val="0002523A"/>
    <w:rsid w:val="0002536B"/>
    <w:rsid w:val="000374E6"/>
    <w:rsid w:val="00042DCD"/>
    <w:rsid w:val="00083A9A"/>
    <w:rsid w:val="00087221"/>
    <w:rsid w:val="00090574"/>
    <w:rsid w:val="00092539"/>
    <w:rsid w:val="000B73F4"/>
    <w:rsid w:val="00184CD0"/>
    <w:rsid w:val="00185E59"/>
    <w:rsid w:val="001A04CA"/>
    <w:rsid w:val="001A1E0A"/>
    <w:rsid w:val="001D1D7B"/>
    <w:rsid w:val="00215966"/>
    <w:rsid w:val="002176D1"/>
    <w:rsid w:val="00223695"/>
    <w:rsid w:val="002322A1"/>
    <w:rsid w:val="0023283D"/>
    <w:rsid w:val="002402AE"/>
    <w:rsid w:val="00241274"/>
    <w:rsid w:val="00286140"/>
    <w:rsid w:val="002978F4"/>
    <w:rsid w:val="002B028D"/>
    <w:rsid w:val="002B0C1C"/>
    <w:rsid w:val="002B598F"/>
    <w:rsid w:val="002E6541"/>
    <w:rsid w:val="00307B9B"/>
    <w:rsid w:val="00312BA6"/>
    <w:rsid w:val="003208A1"/>
    <w:rsid w:val="00335CE7"/>
    <w:rsid w:val="003403A3"/>
    <w:rsid w:val="00341FFF"/>
    <w:rsid w:val="00357185"/>
    <w:rsid w:val="00363CDE"/>
    <w:rsid w:val="00381BB6"/>
    <w:rsid w:val="003B65BD"/>
    <w:rsid w:val="003C3910"/>
    <w:rsid w:val="0040525C"/>
    <w:rsid w:val="00407328"/>
    <w:rsid w:val="004229AB"/>
    <w:rsid w:val="00425463"/>
    <w:rsid w:val="0042686F"/>
    <w:rsid w:val="004433DB"/>
    <w:rsid w:val="00443869"/>
    <w:rsid w:val="004534D7"/>
    <w:rsid w:val="004671B1"/>
    <w:rsid w:val="00476B8E"/>
    <w:rsid w:val="004842C0"/>
    <w:rsid w:val="00485E78"/>
    <w:rsid w:val="004879B4"/>
    <w:rsid w:val="004B2ED5"/>
    <w:rsid w:val="004B41EF"/>
    <w:rsid w:val="004B6504"/>
    <w:rsid w:val="004C11E1"/>
    <w:rsid w:val="004C6CD2"/>
    <w:rsid w:val="004D704B"/>
    <w:rsid w:val="004E1FD5"/>
    <w:rsid w:val="00540453"/>
    <w:rsid w:val="0055516A"/>
    <w:rsid w:val="00556258"/>
    <w:rsid w:val="005B229E"/>
    <w:rsid w:val="005C771D"/>
    <w:rsid w:val="005D3632"/>
    <w:rsid w:val="005F4897"/>
    <w:rsid w:val="00610951"/>
    <w:rsid w:val="00633389"/>
    <w:rsid w:val="00682E46"/>
    <w:rsid w:val="006E1CFD"/>
    <w:rsid w:val="006F63F7"/>
    <w:rsid w:val="00706D7A"/>
    <w:rsid w:val="00714C7B"/>
    <w:rsid w:val="0071706B"/>
    <w:rsid w:val="00726435"/>
    <w:rsid w:val="00733D09"/>
    <w:rsid w:val="00734718"/>
    <w:rsid w:val="00760ED7"/>
    <w:rsid w:val="0076258F"/>
    <w:rsid w:val="00770787"/>
    <w:rsid w:val="00780419"/>
    <w:rsid w:val="007C7E37"/>
    <w:rsid w:val="007E6E52"/>
    <w:rsid w:val="007F07B9"/>
    <w:rsid w:val="007F10DA"/>
    <w:rsid w:val="00820116"/>
    <w:rsid w:val="008235CD"/>
    <w:rsid w:val="008513CB"/>
    <w:rsid w:val="0087018C"/>
    <w:rsid w:val="008A11A9"/>
    <w:rsid w:val="008B60E7"/>
    <w:rsid w:val="00930EB1"/>
    <w:rsid w:val="00940F54"/>
    <w:rsid w:val="00951EBA"/>
    <w:rsid w:val="00972FAC"/>
    <w:rsid w:val="009817F0"/>
    <w:rsid w:val="00982B28"/>
    <w:rsid w:val="009C0FF7"/>
    <w:rsid w:val="009C50BD"/>
    <w:rsid w:val="00A0706D"/>
    <w:rsid w:val="00A120D1"/>
    <w:rsid w:val="00A20181"/>
    <w:rsid w:val="00A37DF4"/>
    <w:rsid w:val="00A97F94"/>
    <w:rsid w:val="00AA305C"/>
    <w:rsid w:val="00AB534F"/>
    <w:rsid w:val="00AB5BF7"/>
    <w:rsid w:val="00AB7CE2"/>
    <w:rsid w:val="00B05E36"/>
    <w:rsid w:val="00B078CB"/>
    <w:rsid w:val="00B11105"/>
    <w:rsid w:val="00B21259"/>
    <w:rsid w:val="00B2467E"/>
    <w:rsid w:val="00B5527F"/>
    <w:rsid w:val="00B95CBF"/>
    <w:rsid w:val="00B960DF"/>
    <w:rsid w:val="00BD1334"/>
    <w:rsid w:val="00C35575"/>
    <w:rsid w:val="00C65978"/>
    <w:rsid w:val="00C674FE"/>
    <w:rsid w:val="00C75633"/>
    <w:rsid w:val="00CA62EE"/>
    <w:rsid w:val="00CB3E2E"/>
    <w:rsid w:val="00CE10A8"/>
    <w:rsid w:val="00CE2EE1"/>
    <w:rsid w:val="00CF3FFD"/>
    <w:rsid w:val="00D11F4E"/>
    <w:rsid w:val="00D4557F"/>
    <w:rsid w:val="00D47CEE"/>
    <w:rsid w:val="00D63CE6"/>
    <w:rsid w:val="00D72964"/>
    <w:rsid w:val="00D74880"/>
    <w:rsid w:val="00D77D0F"/>
    <w:rsid w:val="00D86C54"/>
    <w:rsid w:val="00D956E4"/>
    <w:rsid w:val="00DA1CF0"/>
    <w:rsid w:val="00DA38D6"/>
    <w:rsid w:val="00DC24B4"/>
    <w:rsid w:val="00DF16DC"/>
    <w:rsid w:val="00E02315"/>
    <w:rsid w:val="00E02604"/>
    <w:rsid w:val="00E3407A"/>
    <w:rsid w:val="00E45211"/>
    <w:rsid w:val="00E548AF"/>
    <w:rsid w:val="00E64F8E"/>
    <w:rsid w:val="00E81522"/>
    <w:rsid w:val="00E96F8D"/>
    <w:rsid w:val="00EB79C3"/>
    <w:rsid w:val="00EC3FFD"/>
    <w:rsid w:val="00EC5960"/>
    <w:rsid w:val="00EC5DE8"/>
    <w:rsid w:val="00ED7382"/>
    <w:rsid w:val="00F36590"/>
    <w:rsid w:val="00F4286A"/>
    <w:rsid w:val="00F526BE"/>
    <w:rsid w:val="00F810A8"/>
    <w:rsid w:val="00F84366"/>
    <w:rsid w:val="00F85089"/>
    <w:rsid w:val="00F90431"/>
    <w:rsid w:val="00F9575B"/>
    <w:rsid w:val="00FB2841"/>
    <w:rsid w:val="00FD116B"/>
    <w:rsid w:val="00FE022A"/>
    <w:rsid w:val="00FF0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3ABC733-74C5-4C71-8587-7CD0738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pfd/en" TargetMode="External"/><Relationship Id="rId13" Type="http://schemas.openxmlformats.org/officeDocument/2006/relationships/hyperlink" Target="mailto:brmail@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fd-support@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R/go/space-epfd/en" TargetMode="External"/><Relationship Id="rId4" Type="http://schemas.openxmlformats.org/officeDocument/2006/relationships/settings" Target="settings.xml"/><Relationship Id="rId9" Type="http://schemas.openxmlformats.org/officeDocument/2006/relationships/hyperlink" Target="http://www.itu.int/ITU-R/go/space-mask-XMLfile/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0389-1FF3-4652-81AE-A44499EF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3</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Anghelone, Christine</cp:lastModifiedBy>
  <cp:revision>6</cp:revision>
  <dcterms:created xsi:type="dcterms:W3CDTF">2016-12-05T14:20:00Z</dcterms:created>
  <dcterms:modified xsi:type="dcterms:W3CDTF">2016-12-06T07:33:00Z</dcterms:modified>
</cp:coreProperties>
</file>