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386"/>
        <w:gridCol w:w="2977"/>
      </w:tblGrid>
      <w:tr w:rsidR="009A21D8" w:rsidRPr="007B3DB1" w14:paraId="6B9B8C84" w14:textId="77777777" w:rsidTr="00BE73A0">
        <w:trPr>
          <w:jc w:val="center"/>
        </w:trPr>
        <w:tc>
          <w:tcPr>
            <w:tcW w:w="9889" w:type="dxa"/>
            <w:gridSpan w:val="3"/>
            <w:shd w:val="clear" w:color="auto" w:fill="auto"/>
          </w:tcPr>
          <w:p w14:paraId="58961640" w14:textId="77777777" w:rsidR="009A21D8" w:rsidRDefault="009A21D8" w:rsidP="00BE73A0">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10E07E74" w14:textId="77777777" w:rsidR="009A21D8" w:rsidRDefault="009A21D8" w:rsidP="00BE73A0">
            <w:pPr>
              <w:spacing w:before="0"/>
              <w:jc w:val="left"/>
              <w:rPr>
                <w:rFonts w:cstheme="minorHAnsi"/>
                <w:b/>
                <w:bCs/>
                <w:color w:val="808080"/>
                <w:sz w:val="28"/>
                <w:szCs w:val="28"/>
                <w:lang w:val="en-GB"/>
              </w:rPr>
            </w:pPr>
          </w:p>
          <w:p w14:paraId="0F5FDC85" w14:textId="77777777" w:rsidR="009A21D8" w:rsidRPr="00AF70DA" w:rsidRDefault="009A21D8" w:rsidP="00BE73A0">
            <w:pPr>
              <w:spacing w:before="0"/>
              <w:jc w:val="left"/>
              <w:rPr>
                <w:rFonts w:cs="Times New Roman Bold"/>
                <w:b/>
                <w:bCs/>
                <w:color w:val="808080"/>
                <w:sz w:val="28"/>
                <w:szCs w:val="28"/>
                <w:lang w:val="en-GB"/>
              </w:rPr>
            </w:pPr>
          </w:p>
        </w:tc>
      </w:tr>
      <w:tr w:rsidR="00295CF8" w:rsidRPr="005B440D" w14:paraId="34D7DB0C" w14:textId="77777777" w:rsidTr="009A21D8">
        <w:trPr>
          <w:jc w:val="center"/>
        </w:trPr>
        <w:tc>
          <w:tcPr>
            <w:tcW w:w="6912" w:type="dxa"/>
            <w:gridSpan w:val="2"/>
            <w:shd w:val="clear" w:color="auto" w:fill="auto"/>
          </w:tcPr>
          <w:p w14:paraId="496A989E" w14:textId="77777777" w:rsidR="009E6EBB" w:rsidRPr="005B440D" w:rsidRDefault="009E6EBB" w:rsidP="00CA0113">
            <w:pPr>
              <w:spacing w:before="0"/>
              <w:jc w:val="left"/>
              <w:rPr>
                <w:sz w:val="24"/>
                <w:szCs w:val="24"/>
                <w:lang w:val="en-GB"/>
              </w:rPr>
            </w:pPr>
            <w:r w:rsidRPr="005B440D">
              <w:rPr>
                <w:sz w:val="24"/>
                <w:szCs w:val="24"/>
                <w:lang w:val="en-GB"/>
              </w:rPr>
              <w:t>Circular Letter</w:t>
            </w:r>
          </w:p>
          <w:p w14:paraId="196DB832" w14:textId="77777777" w:rsidR="009E6EBB" w:rsidRPr="005B440D" w:rsidRDefault="009E6EBB" w:rsidP="009A21D8">
            <w:pPr>
              <w:spacing w:before="0"/>
              <w:jc w:val="left"/>
              <w:rPr>
                <w:b/>
                <w:bCs/>
                <w:sz w:val="24"/>
                <w:szCs w:val="24"/>
                <w:lang w:val="en-GB"/>
              </w:rPr>
            </w:pPr>
            <w:r w:rsidRPr="005B440D">
              <w:rPr>
                <w:b/>
                <w:bCs/>
                <w:sz w:val="24"/>
                <w:szCs w:val="24"/>
                <w:lang w:val="en-GB"/>
              </w:rPr>
              <w:t>CR/</w:t>
            </w:r>
            <w:r w:rsidR="009A21D8" w:rsidRPr="005B440D">
              <w:rPr>
                <w:b/>
                <w:bCs/>
                <w:sz w:val="24"/>
                <w:szCs w:val="24"/>
                <w:lang w:val="en-GB"/>
              </w:rPr>
              <w:t>420</w:t>
            </w:r>
          </w:p>
        </w:tc>
        <w:tc>
          <w:tcPr>
            <w:tcW w:w="2977" w:type="dxa"/>
            <w:shd w:val="clear" w:color="auto" w:fill="auto"/>
          </w:tcPr>
          <w:p w14:paraId="214024FE" w14:textId="1F42BF27" w:rsidR="009E6EBB" w:rsidRPr="005B440D" w:rsidRDefault="009E6EBB" w:rsidP="000846CD">
            <w:pPr>
              <w:spacing w:before="0"/>
              <w:jc w:val="right"/>
              <w:rPr>
                <w:sz w:val="24"/>
                <w:szCs w:val="24"/>
                <w:lang w:val="en-GB"/>
              </w:rPr>
            </w:pPr>
            <w:r w:rsidRPr="005B440D">
              <w:rPr>
                <w:sz w:val="24"/>
                <w:szCs w:val="24"/>
                <w:lang w:val="en-GB"/>
              </w:rPr>
              <w:t xml:space="preserve">Geneva, </w:t>
            </w:r>
            <w:r w:rsidR="000846CD" w:rsidRPr="005B440D">
              <w:rPr>
                <w:sz w:val="24"/>
                <w:szCs w:val="24"/>
                <w:lang w:val="en-GB"/>
              </w:rPr>
              <w:t>31</w:t>
            </w:r>
            <w:r w:rsidR="007518B2" w:rsidRPr="005B440D">
              <w:rPr>
                <w:sz w:val="24"/>
                <w:szCs w:val="24"/>
                <w:lang w:val="en-GB"/>
              </w:rPr>
              <w:t xml:space="preserve"> </w:t>
            </w:r>
            <w:r w:rsidR="00702BBE" w:rsidRPr="005B440D">
              <w:rPr>
                <w:sz w:val="24"/>
                <w:szCs w:val="24"/>
                <w:lang w:val="en-GB"/>
              </w:rPr>
              <w:t>August</w:t>
            </w:r>
            <w:r w:rsidR="002A3CCE" w:rsidRPr="005B440D">
              <w:rPr>
                <w:sz w:val="24"/>
                <w:szCs w:val="24"/>
                <w:lang w:val="en-GB"/>
              </w:rPr>
              <w:t xml:space="preserve"> </w:t>
            </w:r>
            <w:r w:rsidR="00F37853" w:rsidRPr="005B440D">
              <w:rPr>
                <w:sz w:val="24"/>
                <w:szCs w:val="24"/>
                <w:lang w:val="en-GB"/>
              </w:rPr>
              <w:t>2017</w:t>
            </w:r>
          </w:p>
        </w:tc>
      </w:tr>
      <w:tr w:rsidR="009E6EBB" w:rsidRPr="005B440D" w14:paraId="59EFE5D0" w14:textId="77777777" w:rsidTr="009A21D8">
        <w:trPr>
          <w:jc w:val="center"/>
        </w:trPr>
        <w:tc>
          <w:tcPr>
            <w:tcW w:w="9889" w:type="dxa"/>
            <w:gridSpan w:val="3"/>
            <w:shd w:val="clear" w:color="auto" w:fill="auto"/>
          </w:tcPr>
          <w:p w14:paraId="57FB2CBB" w14:textId="77777777" w:rsidR="009E6EBB" w:rsidRPr="005B440D" w:rsidRDefault="009E6EBB" w:rsidP="00CA0113">
            <w:pPr>
              <w:spacing w:before="0"/>
              <w:jc w:val="left"/>
              <w:rPr>
                <w:rFonts w:cs="Arial"/>
                <w:sz w:val="24"/>
                <w:szCs w:val="24"/>
                <w:lang w:val="en-GB"/>
              </w:rPr>
            </w:pPr>
          </w:p>
        </w:tc>
      </w:tr>
      <w:tr w:rsidR="009E6EBB" w:rsidRPr="005B440D" w14:paraId="21B331A4" w14:textId="77777777" w:rsidTr="009A21D8">
        <w:trPr>
          <w:jc w:val="center"/>
        </w:trPr>
        <w:tc>
          <w:tcPr>
            <w:tcW w:w="9889" w:type="dxa"/>
            <w:gridSpan w:val="3"/>
            <w:shd w:val="clear" w:color="auto" w:fill="auto"/>
          </w:tcPr>
          <w:p w14:paraId="63503B45" w14:textId="77777777" w:rsidR="009E6EBB" w:rsidRPr="005B440D" w:rsidRDefault="009E6EBB" w:rsidP="00CA0113">
            <w:pPr>
              <w:spacing w:before="0"/>
              <w:jc w:val="left"/>
              <w:rPr>
                <w:b/>
                <w:bCs/>
                <w:sz w:val="24"/>
                <w:szCs w:val="24"/>
                <w:lang w:val="en-GB"/>
              </w:rPr>
            </w:pPr>
            <w:r w:rsidRPr="005B440D">
              <w:rPr>
                <w:b/>
                <w:bCs/>
                <w:sz w:val="24"/>
                <w:szCs w:val="24"/>
                <w:lang w:val="en-GB"/>
              </w:rPr>
              <w:t>To Administrations of Member States of the ITU</w:t>
            </w:r>
          </w:p>
          <w:p w14:paraId="17FEB6B0" w14:textId="77777777" w:rsidR="009E6EBB" w:rsidRPr="005B440D" w:rsidRDefault="009E6EBB" w:rsidP="00CA0113">
            <w:pPr>
              <w:spacing w:before="0"/>
              <w:jc w:val="left"/>
              <w:rPr>
                <w:b/>
                <w:bCs/>
                <w:sz w:val="24"/>
                <w:szCs w:val="24"/>
                <w:lang w:val="en-GB"/>
              </w:rPr>
            </w:pPr>
          </w:p>
        </w:tc>
      </w:tr>
      <w:tr w:rsidR="009E6EBB" w:rsidRPr="000D79FA" w14:paraId="51EAD8C6" w14:textId="77777777" w:rsidTr="009A21D8">
        <w:trPr>
          <w:jc w:val="center"/>
        </w:trPr>
        <w:tc>
          <w:tcPr>
            <w:tcW w:w="9889" w:type="dxa"/>
            <w:gridSpan w:val="3"/>
            <w:shd w:val="clear" w:color="auto" w:fill="auto"/>
          </w:tcPr>
          <w:p w14:paraId="728420CA" w14:textId="77777777" w:rsidR="009E6EBB" w:rsidRPr="000D79FA" w:rsidRDefault="009E6EBB" w:rsidP="00CA0113">
            <w:pPr>
              <w:spacing w:before="0"/>
              <w:jc w:val="left"/>
              <w:rPr>
                <w:sz w:val="24"/>
                <w:szCs w:val="24"/>
                <w:lang w:val="en-GB"/>
              </w:rPr>
            </w:pPr>
          </w:p>
        </w:tc>
      </w:tr>
      <w:tr w:rsidR="009E6EBB" w:rsidRPr="000D79FA" w14:paraId="22A3D259" w14:textId="77777777" w:rsidTr="009A21D8">
        <w:trPr>
          <w:jc w:val="center"/>
        </w:trPr>
        <w:tc>
          <w:tcPr>
            <w:tcW w:w="9889" w:type="dxa"/>
            <w:gridSpan w:val="3"/>
            <w:shd w:val="clear" w:color="auto" w:fill="auto"/>
          </w:tcPr>
          <w:p w14:paraId="398AF348" w14:textId="77777777" w:rsidR="009E6EBB" w:rsidRPr="000D79FA" w:rsidRDefault="009E6EBB" w:rsidP="00CA0113">
            <w:pPr>
              <w:spacing w:before="0"/>
              <w:jc w:val="left"/>
              <w:rPr>
                <w:sz w:val="24"/>
                <w:szCs w:val="24"/>
                <w:lang w:val="en-GB"/>
              </w:rPr>
            </w:pPr>
          </w:p>
        </w:tc>
      </w:tr>
      <w:tr w:rsidR="009E6EBB" w:rsidRPr="000D79FA" w14:paraId="7A11F7DF" w14:textId="77777777" w:rsidTr="009A21D8">
        <w:trPr>
          <w:jc w:val="center"/>
        </w:trPr>
        <w:tc>
          <w:tcPr>
            <w:tcW w:w="1526" w:type="dxa"/>
            <w:shd w:val="clear" w:color="auto" w:fill="auto"/>
          </w:tcPr>
          <w:p w14:paraId="01C954DC" w14:textId="77777777" w:rsidR="009E6EBB" w:rsidRPr="000D79FA" w:rsidRDefault="009E6EBB" w:rsidP="00CA0113">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23C93C10" w14:textId="77777777" w:rsidR="009E6EBB" w:rsidRPr="000D79FA" w:rsidRDefault="009A21D8" w:rsidP="001E3EAA">
            <w:pPr>
              <w:tabs>
                <w:tab w:val="clear" w:pos="794"/>
                <w:tab w:val="left" w:pos="425"/>
              </w:tabs>
              <w:spacing w:before="80"/>
              <w:ind w:left="425" w:hanging="425"/>
              <w:jc w:val="left"/>
              <w:rPr>
                <w:b/>
                <w:bCs/>
                <w:sz w:val="24"/>
                <w:szCs w:val="24"/>
                <w:lang w:val="en-GB"/>
              </w:rPr>
            </w:pPr>
            <w:r>
              <w:rPr>
                <w:b/>
                <w:bCs/>
                <w:sz w:val="24"/>
                <w:szCs w:val="24"/>
                <w:lang w:val="en-GB"/>
              </w:rPr>
              <w:t>Application of No. 9.3 of the Radio Regulations</w:t>
            </w:r>
            <w:r w:rsidR="001E3EAA">
              <w:rPr>
                <w:b/>
                <w:bCs/>
                <w:sz w:val="24"/>
                <w:szCs w:val="24"/>
                <w:lang w:val="en-GB"/>
              </w:rPr>
              <w:t xml:space="preserve"> in the </w:t>
            </w:r>
            <w:r w:rsidR="001E3EAA" w:rsidRPr="00F4112C">
              <w:rPr>
                <w:b/>
                <w:bCs/>
                <w:sz w:val="24"/>
                <w:szCs w:val="24"/>
                <w:lang w:val="en-GB"/>
              </w:rPr>
              <w:t>bands 2 025</w:t>
            </w:r>
            <w:r w:rsidR="001E3EAA" w:rsidRPr="00F4112C">
              <w:rPr>
                <w:b/>
                <w:bCs/>
                <w:sz w:val="24"/>
                <w:szCs w:val="24"/>
                <w:lang w:val="en-GB"/>
              </w:rPr>
              <w:noBreakHyphen/>
              <w:t>2 110 MHz (Earth-to-space) and 2 200</w:t>
            </w:r>
            <w:r w:rsidR="001E3EAA" w:rsidRPr="00F4112C">
              <w:rPr>
                <w:b/>
                <w:bCs/>
                <w:sz w:val="24"/>
                <w:szCs w:val="24"/>
                <w:lang w:val="en-GB"/>
              </w:rPr>
              <w:noBreakHyphen/>
              <w:t>2 290 MHz (space-to-Earth)</w:t>
            </w:r>
          </w:p>
        </w:tc>
      </w:tr>
      <w:tr w:rsidR="009E6EBB" w:rsidRPr="000D79FA" w14:paraId="180814A3" w14:textId="77777777" w:rsidTr="009A21D8">
        <w:trPr>
          <w:jc w:val="center"/>
        </w:trPr>
        <w:tc>
          <w:tcPr>
            <w:tcW w:w="1526" w:type="dxa"/>
            <w:shd w:val="clear" w:color="auto" w:fill="auto"/>
          </w:tcPr>
          <w:p w14:paraId="1E5F107D" w14:textId="77777777" w:rsidR="009E6EBB" w:rsidRPr="000D79FA" w:rsidRDefault="009E6EBB" w:rsidP="00CA0113">
            <w:pPr>
              <w:spacing w:before="0"/>
              <w:jc w:val="left"/>
              <w:rPr>
                <w:b/>
                <w:bCs/>
                <w:sz w:val="24"/>
                <w:szCs w:val="24"/>
                <w:lang w:val="en-GB"/>
              </w:rPr>
            </w:pPr>
          </w:p>
        </w:tc>
        <w:tc>
          <w:tcPr>
            <w:tcW w:w="8363" w:type="dxa"/>
            <w:gridSpan w:val="2"/>
            <w:vMerge/>
            <w:shd w:val="clear" w:color="auto" w:fill="auto"/>
          </w:tcPr>
          <w:p w14:paraId="4008433B" w14:textId="77777777" w:rsidR="009E6EBB" w:rsidRPr="000D79FA" w:rsidRDefault="009E6EBB" w:rsidP="00CA0113">
            <w:pPr>
              <w:spacing w:before="0"/>
              <w:rPr>
                <w:b/>
                <w:bCs/>
                <w:sz w:val="24"/>
                <w:szCs w:val="24"/>
                <w:lang w:val="en-GB"/>
              </w:rPr>
            </w:pPr>
          </w:p>
        </w:tc>
      </w:tr>
      <w:tr w:rsidR="009E6EBB" w:rsidRPr="000D79FA" w14:paraId="4EADC66C" w14:textId="77777777" w:rsidTr="009A21D8">
        <w:trPr>
          <w:jc w:val="center"/>
        </w:trPr>
        <w:tc>
          <w:tcPr>
            <w:tcW w:w="1526" w:type="dxa"/>
            <w:shd w:val="clear" w:color="auto" w:fill="auto"/>
          </w:tcPr>
          <w:p w14:paraId="090C81C4" w14:textId="77777777" w:rsidR="009E6EBB" w:rsidRPr="000D79FA" w:rsidRDefault="009E6EBB" w:rsidP="00CA0113">
            <w:pPr>
              <w:spacing w:before="0"/>
              <w:jc w:val="left"/>
              <w:rPr>
                <w:b/>
                <w:bCs/>
                <w:sz w:val="24"/>
                <w:szCs w:val="24"/>
                <w:lang w:val="en-GB"/>
              </w:rPr>
            </w:pPr>
          </w:p>
        </w:tc>
        <w:tc>
          <w:tcPr>
            <w:tcW w:w="8363" w:type="dxa"/>
            <w:gridSpan w:val="2"/>
            <w:vMerge/>
            <w:shd w:val="clear" w:color="auto" w:fill="auto"/>
          </w:tcPr>
          <w:p w14:paraId="3FDAF9CB" w14:textId="77777777" w:rsidR="009E6EBB" w:rsidRPr="000D79FA" w:rsidRDefault="009E6EBB" w:rsidP="00CA0113">
            <w:pPr>
              <w:spacing w:before="0"/>
              <w:rPr>
                <w:b/>
                <w:bCs/>
                <w:sz w:val="24"/>
                <w:szCs w:val="24"/>
                <w:lang w:val="en-GB"/>
              </w:rPr>
            </w:pPr>
          </w:p>
        </w:tc>
      </w:tr>
      <w:tr w:rsidR="009E6EBB" w:rsidRPr="000D79FA" w14:paraId="125C2560" w14:textId="77777777" w:rsidTr="009A21D8">
        <w:trPr>
          <w:jc w:val="center"/>
        </w:trPr>
        <w:tc>
          <w:tcPr>
            <w:tcW w:w="9889" w:type="dxa"/>
            <w:gridSpan w:val="3"/>
            <w:shd w:val="clear" w:color="auto" w:fill="auto"/>
          </w:tcPr>
          <w:p w14:paraId="7BA209BA" w14:textId="77777777" w:rsidR="009E6EBB" w:rsidRPr="000D79FA" w:rsidRDefault="009E6EBB" w:rsidP="00CA0113">
            <w:pPr>
              <w:spacing w:before="0"/>
              <w:jc w:val="left"/>
              <w:rPr>
                <w:b/>
                <w:bCs/>
                <w:sz w:val="24"/>
                <w:szCs w:val="24"/>
                <w:lang w:val="en-GB"/>
              </w:rPr>
            </w:pPr>
          </w:p>
        </w:tc>
      </w:tr>
    </w:tbl>
    <w:p w14:paraId="741290A4" w14:textId="77777777" w:rsidR="002A3CCE" w:rsidRDefault="002A3CCE" w:rsidP="009E6EBB">
      <w:pPr>
        <w:spacing w:before="0" w:line="240" w:lineRule="auto"/>
        <w:jc w:val="left"/>
        <w:rPr>
          <w:rFonts w:asciiTheme="minorHAnsi" w:hAnsiTheme="minorHAnsi" w:cstheme="minorHAnsi"/>
          <w:sz w:val="24"/>
          <w:szCs w:val="24"/>
        </w:rPr>
      </w:pPr>
    </w:p>
    <w:p w14:paraId="0743C956" w14:textId="1BB44C8E" w:rsidR="00AF48DD" w:rsidRDefault="00AF48DD" w:rsidP="000B3571">
      <w:pPr>
        <w:rPr>
          <w:sz w:val="24"/>
          <w:szCs w:val="24"/>
        </w:rPr>
      </w:pPr>
      <w:r w:rsidRPr="009A21D8">
        <w:rPr>
          <w:sz w:val="24"/>
          <w:szCs w:val="24"/>
        </w:rPr>
        <w:t xml:space="preserve">The </w:t>
      </w:r>
      <w:r>
        <w:rPr>
          <w:sz w:val="24"/>
          <w:szCs w:val="24"/>
        </w:rPr>
        <w:t xml:space="preserve">Radiocommunication Bureau has </w:t>
      </w:r>
      <w:r w:rsidR="00C578CB">
        <w:rPr>
          <w:sz w:val="24"/>
          <w:szCs w:val="24"/>
        </w:rPr>
        <w:t>noticed</w:t>
      </w:r>
      <w:r>
        <w:rPr>
          <w:sz w:val="24"/>
          <w:szCs w:val="24"/>
        </w:rPr>
        <w:t xml:space="preserve"> </w:t>
      </w:r>
      <w:r w:rsidR="00FE7528">
        <w:rPr>
          <w:sz w:val="24"/>
          <w:szCs w:val="24"/>
        </w:rPr>
        <w:t xml:space="preserve">an increasing </w:t>
      </w:r>
      <w:r>
        <w:rPr>
          <w:sz w:val="24"/>
          <w:szCs w:val="24"/>
        </w:rPr>
        <w:t xml:space="preserve">number of submissions </w:t>
      </w:r>
      <w:r w:rsidR="00035D5B">
        <w:rPr>
          <w:sz w:val="24"/>
          <w:szCs w:val="24"/>
        </w:rPr>
        <w:t xml:space="preserve">for Advance Publication </w:t>
      </w:r>
      <w:r>
        <w:rPr>
          <w:sz w:val="24"/>
          <w:szCs w:val="24"/>
        </w:rPr>
        <w:t>under No.</w:t>
      </w:r>
      <w:r w:rsidR="000E1B95">
        <w:rPr>
          <w:sz w:val="24"/>
          <w:szCs w:val="24"/>
        </w:rPr>
        <w:t xml:space="preserve"> </w:t>
      </w:r>
      <w:r w:rsidRPr="00F4112C">
        <w:rPr>
          <w:b/>
          <w:bCs/>
          <w:sz w:val="24"/>
          <w:szCs w:val="24"/>
        </w:rPr>
        <w:t>9.1</w:t>
      </w:r>
      <w:r>
        <w:rPr>
          <w:sz w:val="24"/>
          <w:szCs w:val="24"/>
        </w:rPr>
        <w:t xml:space="preserve"> </w:t>
      </w:r>
      <w:r w:rsidR="00E51751">
        <w:rPr>
          <w:sz w:val="24"/>
          <w:szCs w:val="24"/>
        </w:rPr>
        <w:t xml:space="preserve">of the Radio Regulations </w:t>
      </w:r>
      <w:r w:rsidR="00035D5B">
        <w:rPr>
          <w:sz w:val="24"/>
          <w:szCs w:val="24"/>
        </w:rPr>
        <w:t>containing generic information</w:t>
      </w:r>
      <w:r w:rsidR="00DF58E9">
        <w:rPr>
          <w:sz w:val="24"/>
          <w:szCs w:val="24"/>
        </w:rPr>
        <w:t>. This Circular Letter addresses</w:t>
      </w:r>
      <w:r>
        <w:rPr>
          <w:sz w:val="24"/>
          <w:szCs w:val="24"/>
        </w:rPr>
        <w:t xml:space="preserve"> the difficult</w:t>
      </w:r>
      <w:r w:rsidR="00DF58E9">
        <w:rPr>
          <w:sz w:val="24"/>
          <w:szCs w:val="24"/>
        </w:rPr>
        <w:t>ies</w:t>
      </w:r>
      <w:r>
        <w:rPr>
          <w:sz w:val="24"/>
          <w:szCs w:val="24"/>
        </w:rPr>
        <w:t xml:space="preserve"> </w:t>
      </w:r>
      <w:r w:rsidR="00131779">
        <w:rPr>
          <w:sz w:val="24"/>
          <w:szCs w:val="24"/>
        </w:rPr>
        <w:t xml:space="preserve">arising from this evolution in </w:t>
      </w:r>
      <w:r>
        <w:rPr>
          <w:sz w:val="24"/>
          <w:szCs w:val="24"/>
        </w:rPr>
        <w:t xml:space="preserve">the consultation process under </w:t>
      </w:r>
      <w:r w:rsidR="000B3571">
        <w:rPr>
          <w:sz w:val="24"/>
          <w:szCs w:val="24"/>
        </w:rPr>
        <w:br/>
      </w:r>
      <w:bookmarkStart w:id="0" w:name="_GoBack"/>
      <w:bookmarkEnd w:id="0"/>
      <w:r>
        <w:rPr>
          <w:sz w:val="24"/>
          <w:szCs w:val="24"/>
        </w:rPr>
        <w:t>No</w:t>
      </w:r>
      <w:r w:rsidRPr="00F4112C">
        <w:rPr>
          <w:b/>
          <w:bCs/>
          <w:sz w:val="24"/>
          <w:szCs w:val="24"/>
        </w:rPr>
        <w:t>. 9.3</w:t>
      </w:r>
      <w:r>
        <w:rPr>
          <w:sz w:val="24"/>
          <w:szCs w:val="24"/>
        </w:rPr>
        <w:t>.</w:t>
      </w:r>
    </w:p>
    <w:p w14:paraId="4E8F8F21" w14:textId="77777777" w:rsidR="00AF48DD" w:rsidRDefault="00AF48DD" w:rsidP="00BF4856">
      <w:pPr>
        <w:tabs>
          <w:tab w:val="clear" w:pos="794"/>
          <w:tab w:val="clear" w:pos="1191"/>
          <w:tab w:val="clear" w:pos="1588"/>
          <w:tab w:val="clear" w:pos="1985"/>
        </w:tabs>
        <w:overflowPunct/>
        <w:spacing w:before="0" w:line="240" w:lineRule="auto"/>
        <w:jc w:val="left"/>
        <w:textAlignment w:val="auto"/>
        <w:rPr>
          <w:sz w:val="24"/>
          <w:szCs w:val="24"/>
        </w:rPr>
      </w:pPr>
    </w:p>
    <w:p w14:paraId="7472C93D" w14:textId="6FCCD4B8" w:rsidR="002A3CCE" w:rsidRPr="009A21D8" w:rsidRDefault="00131779" w:rsidP="007518B2">
      <w:pPr>
        <w:tabs>
          <w:tab w:val="clear" w:pos="794"/>
          <w:tab w:val="clear" w:pos="1191"/>
          <w:tab w:val="clear" w:pos="1588"/>
          <w:tab w:val="clear" w:pos="1985"/>
        </w:tabs>
        <w:overflowPunct/>
        <w:spacing w:before="0" w:line="240" w:lineRule="auto"/>
        <w:textAlignment w:val="auto"/>
        <w:rPr>
          <w:sz w:val="24"/>
          <w:szCs w:val="24"/>
        </w:rPr>
      </w:pPr>
      <w:r>
        <w:rPr>
          <w:sz w:val="24"/>
          <w:szCs w:val="24"/>
        </w:rPr>
        <w:t>T</w:t>
      </w:r>
      <w:r w:rsidR="00AF48DD">
        <w:rPr>
          <w:sz w:val="24"/>
          <w:szCs w:val="24"/>
        </w:rPr>
        <w:t xml:space="preserve">he Bureau would like to </w:t>
      </w:r>
      <w:r w:rsidR="0013188D">
        <w:rPr>
          <w:sz w:val="24"/>
          <w:szCs w:val="24"/>
        </w:rPr>
        <w:t xml:space="preserve">emphasize that </w:t>
      </w:r>
      <w:r w:rsidR="000F11E5">
        <w:rPr>
          <w:sz w:val="24"/>
          <w:szCs w:val="24"/>
        </w:rPr>
        <w:t xml:space="preserve">the </w:t>
      </w:r>
      <w:r w:rsidR="00CC12DA">
        <w:rPr>
          <w:sz w:val="24"/>
          <w:szCs w:val="24"/>
        </w:rPr>
        <w:t xml:space="preserve">goal of the </w:t>
      </w:r>
      <w:r w:rsidR="00B161BD">
        <w:rPr>
          <w:sz w:val="24"/>
          <w:szCs w:val="24"/>
        </w:rPr>
        <w:t xml:space="preserve">cooperation </w:t>
      </w:r>
      <w:r w:rsidR="0013188D">
        <w:rPr>
          <w:sz w:val="24"/>
          <w:szCs w:val="24"/>
        </w:rPr>
        <w:t>process under No.</w:t>
      </w:r>
      <w:r w:rsidR="0013188D" w:rsidRPr="00F4112C">
        <w:rPr>
          <w:b/>
          <w:bCs/>
          <w:sz w:val="24"/>
          <w:szCs w:val="24"/>
        </w:rPr>
        <w:t>9.3</w:t>
      </w:r>
      <w:r w:rsidR="0013188D">
        <w:rPr>
          <w:sz w:val="24"/>
          <w:szCs w:val="24"/>
        </w:rPr>
        <w:t xml:space="preserve"> </w:t>
      </w:r>
      <w:r w:rsidR="00B161BD">
        <w:rPr>
          <w:sz w:val="24"/>
          <w:szCs w:val="24"/>
        </w:rPr>
        <w:t xml:space="preserve">and </w:t>
      </w:r>
      <w:r w:rsidR="00B161BD">
        <w:rPr>
          <w:b/>
          <w:sz w:val="24"/>
          <w:szCs w:val="24"/>
        </w:rPr>
        <w:t xml:space="preserve">9.4 </w:t>
      </w:r>
      <w:r w:rsidR="0013188D">
        <w:rPr>
          <w:sz w:val="24"/>
          <w:szCs w:val="24"/>
        </w:rPr>
        <w:t xml:space="preserve">is to provide opportunities for administrations to adjust </w:t>
      </w:r>
      <w:r w:rsidR="000F11E5">
        <w:rPr>
          <w:sz w:val="24"/>
          <w:szCs w:val="24"/>
        </w:rPr>
        <w:t xml:space="preserve">the </w:t>
      </w:r>
      <w:r w:rsidR="007F2ED9">
        <w:rPr>
          <w:sz w:val="24"/>
          <w:szCs w:val="24"/>
        </w:rPr>
        <w:t xml:space="preserve">characteristics of </w:t>
      </w:r>
      <w:r w:rsidR="0013188D">
        <w:rPr>
          <w:sz w:val="24"/>
          <w:szCs w:val="24"/>
        </w:rPr>
        <w:t xml:space="preserve">their frequency </w:t>
      </w:r>
      <w:r w:rsidR="007F2ED9">
        <w:rPr>
          <w:sz w:val="24"/>
          <w:szCs w:val="24"/>
        </w:rPr>
        <w:t xml:space="preserve">assignments taking into account </w:t>
      </w:r>
      <w:r w:rsidR="00246097">
        <w:rPr>
          <w:sz w:val="24"/>
          <w:szCs w:val="24"/>
        </w:rPr>
        <w:t xml:space="preserve">the </w:t>
      </w:r>
      <w:r w:rsidR="007F2ED9">
        <w:rPr>
          <w:sz w:val="24"/>
          <w:szCs w:val="24"/>
        </w:rPr>
        <w:t xml:space="preserve">comments received from other administrations </w:t>
      </w:r>
      <w:r w:rsidR="0013188D">
        <w:rPr>
          <w:sz w:val="24"/>
          <w:szCs w:val="24"/>
        </w:rPr>
        <w:t>before notify</w:t>
      </w:r>
      <w:r w:rsidR="00246097">
        <w:rPr>
          <w:sz w:val="24"/>
          <w:szCs w:val="24"/>
        </w:rPr>
        <w:t>ing</w:t>
      </w:r>
      <w:r w:rsidR="0013188D">
        <w:rPr>
          <w:sz w:val="24"/>
          <w:szCs w:val="24"/>
        </w:rPr>
        <w:t xml:space="preserve"> them under Article 11 and bringing them into use</w:t>
      </w:r>
      <w:r w:rsidR="00246097">
        <w:rPr>
          <w:sz w:val="24"/>
          <w:szCs w:val="24"/>
        </w:rPr>
        <w:t xml:space="preserve">, with the purpose of </w:t>
      </w:r>
      <w:r w:rsidR="0013188D">
        <w:rPr>
          <w:sz w:val="24"/>
          <w:szCs w:val="24"/>
        </w:rPr>
        <w:t>avoid</w:t>
      </w:r>
      <w:r w:rsidR="00246097">
        <w:rPr>
          <w:sz w:val="24"/>
          <w:szCs w:val="24"/>
        </w:rPr>
        <w:t>ing</w:t>
      </w:r>
      <w:r w:rsidR="0013188D">
        <w:rPr>
          <w:sz w:val="24"/>
          <w:szCs w:val="24"/>
        </w:rPr>
        <w:t xml:space="preserve"> harmful interference</w:t>
      </w:r>
      <w:r w:rsidR="007F2ED9">
        <w:rPr>
          <w:sz w:val="24"/>
          <w:szCs w:val="24"/>
        </w:rPr>
        <w:t xml:space="preserve"> during their operation</w:t>
      </w:r>
      <w:r w:rsidR="00D95B7A">
        <w:rPr>
          <w:sz w:val="24"/>
          <w:szCs w:val="24"/>
        </w:rPr>
        <w:t xml:space="preserve">. </w:t>
      </w:r>
      <w:r w:rsidR="0013188D">
        <w:rPr>
          <w:sz w:val="24"/>
          <w:szCs w:val="24"/>
        </w:rPr>
        <w:t>T</w:t>
      </w:r>
      <w:r w:rsidR="002A3CCE" w:rsidRPr="009A21D8">
        <w:rPr>
          <w:sz w:val="24"/>
          <w:szCs w:val="24"/>
        </w:rPr>
        <w:t xml:space="preserve">he lack of </w:t>
      </w:r>
      <w:r w:rsidR="00C97A94">
        <w:rPr>
          <w:sz w:val="24"/>
          <w:szCs w:val="24"/>
        </w:rPr>
        <w:t>specific</w:t>
      </w:r>
      <w:r w:rsidR="008E7C36" w:rsidRPr="009A21D8">
        <w:rPr>
          <w:sz w:val="24"/>
          <w:szCs w:val="24"/>
        </w:rPr>
        <w:t xml:space="preserve"> </w:t>
      </w:r>
      <w:r w:rsidR="002A3CCE" w:rsidRPr="009A21D8">
        <w:rPr>
          <w:sz w:val="24"/>
          <w:szCs w:val="24"/>
        </w:rPr>
        <w:t>information</w:t>
      </w:r>
      <w:r w:rsidR="0013188D">
        <w:rPr>
          <w:sz w:val="24"/>
          <w:szCs w:val="24"/>
        </w:rPr>
        <w:t xml:space="preserve"> in the </w:t>
      </w:r>
      <w:r w:rsidR="00F7057E">
        <w:rPr>
          <w:sz w:val="24"/>
          <w:szCs w:val="24"/>
        </w:rPr>
        <w:t>Advance Publication</w:t>
      </w:r>
      <w:r w:rsidR="0013188D">
        <w:rPr>
          <w:sz w:val="24"/>
          <w:szCs w:val="24"/>
        </w:rPr>
        <w:t xml:space="preserve"> </w:t>
      </w:r>
      <w:r w:rsidR="00F7057E">
        <w:rPr>
          <w:sz w:val="24"/>
          <w:szCs w:val="24"/>
        </w:rPr>
        <w:t xml:space="preserve">Information (API) </w:t>
      </w:r>
      <w:r w:rsidR="00E51751">
        <w:rPr>
          <w:sz w:val="24"/>
          <w:szCs w:val="24"/>
        </w:rPr>
        <w:t xml:space="preserve">published </w:t>
      </w:r>
      <w:r w:rsidR="0013188D">
        <w:rPr>
          <w:sz w:val="24"/>
          <w:szCs w:val="24"/>
        </w:rPr>
        <w:t xml:space="preserve">under </w:t>
      </w:r>
      <w:r w:rsidR="0013188D" w:rsidRPr="007518B2">
        <w:rPr>
          <w:b/>
          <w:sz w:val="24"/>
          <w:szCs w:val="24"/>
        </w:rPr>
        <w:t>9.2B</w:t>
      </w:r>
      <w:r w:rsidR="002A3CCE" w:rsidRPr="009A21D8">
        <w:rPr>
          <w:sz w:val="24"/>
          <w:szCs w:val="24"/>
        </w:rPr>
        <w:t xml:space="preserve"> make</w:t>
      </w:r>
      <w:r w:rsidR="007F2ED9">
        <w:rPr>
          <w:sz w:val="24"/>
          <w:szCs w:val="24"/>
        </w:rPr>
        <w:t>s</w:t>
      </w:r>
      <w:r w:rsidR="002A3CCE" w:rsidRPr="009A21D8">
        <w:rPr>
          <w:sz w:val="24"/>
          <w:szCs w:val="24"/>
        </w:rPr>
        <w:t xml:space="preserve"> th</w:t>
      </w:r>
      <w:r w:rsidR="00B161BD">
        <w:rPr>
          <w:sz w:val="24"/>
          <w:szCs w:val="24"/>
        </w:rPr>
        <w:t>is</w:t>
      </w:r>
      <w:r w:rsidR="002A3CCE" w:rsidRPr="009A21D8">
        <w:rPr>
          <w:sz w:val="24"/>
          <w:szCs w:val="24"/>
        </w:rPr>
        <w:t xml:space="preserve"> </w:t>
      </w:r>
      <w:r w:rsidR="008E7C36">
        <w:rPr>
          <w:sz w:val="24"/>
          <w:szCs w:val="24"/>
        </w:rPr>
        <w:t>cooperation</w:t>
      </w:r>
      <w:r w:rsidR="008E7C36" w:rsidRPr="009A21D8">
        <w:rPr>
          <w:sz w:val="24"/>
          <w:szCs w:val="24"/>
        </w:rPr>
        <w:t xml:space="preserve"> </w:t>
      </w:r>
      <w:r w:rsidR="002A3CCE" w:rsidRPr="009A21D8">
        <w:rPr>
          <w:sz w:val="24"/>
          <w:szCs w:val="24"/>
        </w:rPr>
        <w:t xml:space="preserve">process longer and more difficult. </w:t>
      </w:r>
    </w:p>
    <w:p w14:paraId="729F2AB5" w14:textId="46F8DBA4" w:rsidR="002A3CCE" w:rsidRPr="00F4112C" w:rsidRDefault="007F2ED9" w:rsidP="007518B2">
      <w:pPr>
        <w:rPr>
          <w:rFonts w:asciiTheme="minorHAnsi" w:hAnsiTheme="minorHAnsi" w:cs="Times New Roman"/>
          <w:sz w:val="24"/>
          <w:szCs w:val="24"/>
          <w:lang w:eastAsia="zh-CN"/>
        </w:rPr>
      </w:pPr>
      <w:r w:rsidRPr="00F4112C">
        <w:rPr>
          <w:rFonts w:asciiTheme="minorHAnsi" w:hAnsiTheme="minorHAnsi" w:cs="Times New Roman"/>
          <w:sz w:val="24"/>
          <w:szCs w:val="24"/>
          <w:lang w:eastAsia="zh-CN"/>
        </w:rPr>
        <w:t>T</w:t>
      </w:r>
      <w:r w:rsidR="002A3CCE" w:rsidRPr="00F4112C">
        <w:rPr>
          <w:rFonts w:asciiTheme="minorHAnsi" w:hAnsiTheme="minorHAnsi" w:cs="Times New Roman"/>
          <w:sz w:val="24"/>
          <w:szCs w:val="24"/>
          <w:lang w:eastAsia="zh-CN"/>
        </w:rPr>
        <w:t xml:space="preserve">he </w:t>
      </w:r>
      <w:r w:rsidR="004951F8">
        <w:rPr>
          <w:rFonts w:asciiTheme="minorHAnsi" w:hAnsiTheme="minorHAnsi" w:cs="Times New Roman"/>
          <w:sz w:val="24"/>
          <w:szCs w:val="24"/>
          <w:lang w:eastAsia="zh-CN"/>
        </w:rPr>
        <w:t xml:space="preserve">frequency </w:t>
      </w:r>
      <w:r w:rsidR="002A3CCE" w:rsidRPr="00F4112C">
        <w:rPr>
          <w:rFonts w:asciiTheme="minorHAnsi" w:hAnsiTheme="minorHAnsi" w:cs="Times New Roman"/>
          <w:sz w:val="24"/>
          <w:szCs w:val="24"/>
          <w:lang w:eastAsia="zh-CN"/>
        </w:rPr>
        <w:t>bands 2 025</w:t>
      </w:r>
      <w:r w:rsidR="009A21D8" w:rsidRPr="00F4112C">
        <w:rPr>
          <w:rFonts w:asciiTheme="minorHAnsi" w:hAnsiTheme="minorHAnsi" w:cs="Times New Roman"/>
          <w:sz w:val="24"/>
          <w:szCs w:val="24"/>
          <w:lang w:eastAsia="zh-CN"/>
        </w:rPr>
        <w:noBreakHyphen/>
      </w:r>
      <w:r w:rsidR="002A3CCE" w:rsidRPr="00F4112C">
        <w:rPr>
          <w:rFonts w:asciiTheme="minorHAnsi" w:hAnsiTheme="minorHAnsi" w:cs="Times New Roman"/>
          <w:sz w:val="24"/>
          <w:szCs w:val="24"/>
          <w:lang w:eastAsia="zh-CN"/>
        </w:rPr>
        <w:t>2 110</w:t>
      </w:r>
      <w:r w:rsidR="009A21D8" w:rsidRPr="00F4112C">
        <w:rPr>
          <w:rFonts w:asciiTheme="minorHAnsi" w:hAnsiTheme="minorHAnsi" w:cs="Times New Roman"/>
          <w:sz w:val="24"/>
          <w:szCs w:val="24"/>
          <w:lang w:eastAsia="zh-CN"/>
        </w:rPr>
        <w:t> </w:t>
      </w:r>
      <w:r w:rsidR="002A3CCE" w:rsidRPr="00F4112C">
        <w:rPr>
          <w:rFonts w:asciiTheme="minorHAnsi" w:hAnsiTheme="minorHAnsi" w:cs="Times New Roman"/>
          <w:sz w:val="24"/>
          <w:szCs w:val="24"/>
          <w:lang w:eastAsia="zh-CN"/>
        </w:rPr>
        <w:t>MHz (E</w:t>
      </w:r>
      <w:r w:rsidR="000E1B95" w:rsidRPr="00F4112C">
        <w:rPr>
          <w:rFonts w:asciiTheme="minorHAnsi" w:hAnsiTheme="minorHAnsi" w:cs="Times New Roman"/>
          <w:sz w:val="24"/>
          <w:szCs w:val="24"/>
          <w:lang w:eastAsia="zh-CN"/>
        </w:rPr>
        <w:t>arth</w:t>
      </w:r>
      <w:r w:rsidR="002A3CCE" w:rsidRPr="00F4112C">
        <w:rPr>
          <w:rFonts w:asciiTheme="minorHAnsi" w:hAnsiTheme="minorHAnsi" w:cs="Times New Roman"/>
          <w:sz w:val="24"/>
          <w:szCs w:val="24"/>
          <w:lang w:eastAsia="zh-CN"/>
        </w:rPr>
        <w:t>-to-s</w:t>
      </w:r>
      <w:r w:rsidR="000E1B95" w:rsidRPr="00F4112C">
        <w:rPr>
          <w:rFonts w:asciiTheme="minorHAnsi" w:hAnsiTheme="minorHAnsi" w:cs="Times New Roman"/>
          <w:sz w:val="24"/>
          <w:szCs w:val="24"/>
          <w:lang w:eastAsia="zh-CN"/>
        </w:rPr>
        <w:t>pace</w:t>
      </w:r>
      <w:r w:rsidR="002A3CCE" w:rsidRPr="00F4112C">
        <w:rPr>
          <w:rFonts w:asciiTheme="minorHAnsi" w:hAnsiTheme="minorHAnsi" w:cs="Times New Roman"/>
          <w:sz w:val="24"/>
          <w:szCs w:val="24"/>
          <w:lang w:eastAsia="zh-CN"/>
        </w:rPr>
        <w:t>) and 2 200</w:t>
      </w:r>
      <w:r w:rsidR="002A3CCE" w:rsidRPr="00F4112C">
        <w:rPr>
          <w:rFonts w:asciiTheme="minorHAnsi" w:hAnsiTheme="minorHAnsi" w:cs="Times New Roman"/>
          <w:sz w:val="24"/>
          <w:szCs w:val="24"/>
          <w:lang w:eastAsia="zh-CN"/>
        </w:rPr>
        <w:noBreakHyphen/>
        <w:t>2 290 MHz (s</w:t>
      </w:r>
      <w:r w:rsidR="000E1B95" w:rsidRPr="00F4112C">
        <w:rPr>
          <w:rFonts w:asciiTheme="minorHAnsi" w:hAnsiTheme="minorHAnsi" w:cs="Times New Roman"/>
          <w:sz w:val="24"/>
          <w:szCs w:val="24"/>
          <w:lang w:eastAsia="zh-CN"/>
        </w:rPr>
        <w:t>pace</w:t>
      </w:r>
      <w:r w:rsidR="002A3CCE" w:rsidRPr="00F4112C">
        <w:rPr>
          <w:rFonts w:asciiTheme="minorHAnsi" w:hAnsiTheme="minorHAnsi" w:cs="Times New Roman"/>
          <w:sz w:val="24"/>
          <w:szCs w:val="24"/>
          <w:lang w:eastAsia="zh-CN"/>
        </w:rPr>
        <w:t>-to-E</w:t>
      </w:r>
      <w:r w:rsidR="000E1B95" w:rsidRPr="00F4112C">
        <w:rPr>
          <w:rFonts w:asciiTheme="minorHAnsi" w:hAnsiTheme="minorHAnsi" w:cs="Times New Roman"/>
          <w:sz w:val="24"/>
          <w:szCs w:val="24"/>
          <w:lang w:eastAsia="zh-CN"/>
        </w:rPr>
        <w:t>arth</w:t>
      </w:r>
      <w:r w:rsidR="002A3CCE" w:rsidRPr="00F4112C">
        <w:rPr>
          <w:rFonts w:asciiTheme="minorHAnsi" w:hAnsiTheme="minorHAnsi" w:cs="Times New Roman"/>
          <w:sz w:val="24"/>
          <w:szCs w:val="24"/>
          <w:lang w:eastAsia="zh-CN"/>
        </w:rPr>
        <w:t>)</w:t>
      </w:r>
      <w:r w:rsidR="00F7057E" w:rsidRPr="00F4112C">
        <w:rPr>
          <w:rFonts w:asciiTheme="minorHAnsi" w:hAnsiTheme="minorHAnsi" w:cs="Times New Roman"/>
          <w:sz w:val="24"/>
          <w:szCs w:val="24"/>
          <w:lang w:eastAsia="zh-CN"/>
        </w:rPr>
        <w:t xml:space="preserve"> are</w:t>
      </w:r>
      <w:r w:rsidR="00557EBF" w:rsidRPr="00F4112C">
        <w:rPr>
          <w:rFonts w:asciiTheme="minorHAnsi" w:hAnsiTheme="minorHAnsi" w:cs="Times New Roman"/>
          <w:sz w:val="24"/>
          <w:szCs w:val="24"/>
          <w:lang w:eastAsia="zh-CN"/>
        </w:rPr>
        <w:t xml:space="preserve"> not subject to </w:t>
      </w:r>
      <w:r w:rsidR="00246097">
        <w:rPr>
          <w:rFonts w:asciiTheme="minorHAnsi" w:hAnsiTheme="minorHAnsi" w:cs="Times New Roman"/>
          <w:sz w:val="24"/>
          <w:szCs w:val="24"/>
          <w:lang w:eastAsia="zh-CN"/>
        </w:rPr>
        <w:t xml:space="preserve">a </w:t>
      </w:r>
      <w:r w:rsidR="00557EBF" w:rsidRPr="00F4112C">
        <w:rPr>
          <w:rFonts w:asciiTheme="minorHAnsi" w:hAnsiTheme="minorHAnsi" w:cs="Times New Roman"/>
          <w:sz w:val="24"/>
          <w:szCs w:val="24"/>
          <w:lang w:eastAsia="zh-CN"/>
        </w:rPr>
        <w:t>coordination procedure under section II of Article 9</w:t>
      </w:r>
      <w:r w:rsidR="00F4112C" w:rsidRPr="00F4112C">
        <w:rPr>
          <w:rFonts w:asciiTheme="minorHAnsi" w:hAnsiTheme="minorHAnsi" w:cs="Times New Roman"/>
          <w:sz w:val="24"/>
          <w:szCs w:val="24"/>
          <w:lang w:eastAsia="zh-CN"/>
        </w:rPr>
        <w:t xml:space="preserve"> </w:t>
      </w:r>
      <w:r w:rsidR="00F4112C" w:rsidRPr="00F4112C">
        <w:rPr>
          <w:rFonts w:asciiTheme="minorHAnsi" w:hAnsiTheme="minorHAnsi" w:cs="Times New Roman"/>
          <w:sz w:val="24"/>
          <w:szCs w:val="24"/>
        </w:rPr>
        <w:t xml:space="preserve">when </w:t>
      </w:r>
      <w:r w:rsidR="00502EE5">
        <w:rPr>
          <w:rFonts w:asciiTheme="minorHAnsi" w:hAnsiTheme="minorHAnsi" w:cs="Times New Roman"/>
          <w:sz w:val="24"/>
          <w:szCs w:val="24"/>
        </w:rPr>
        <w:t xml:space="preserve">they are </w:t>
      </w:r>
      <w:r w:rsidR="00F4112C" w:rsidRPr="00F4112C">
        <w:rPr>
          <w:rFonts w:asciiTheme="minorHAnsi" w:hAnsiTheme="minorHAnsi" w:cs="Times New Roman"/>
          <w:sz w:val="24"/>
          <w:szCs w:val="24"/>
        </w:rPr>
        <w:t xml:space="preserve">used </w:t>
      </w:r>
      <w:r w:rsidR="004951F8">
        <w:rPr>
          <w:rFonts w:asciiTheme="minorHAnsi" w:hAnsiTheme="minorHAnsi" w:cs="Times New Roman"/>
          <w:sz w:val="24"/>
          <w:szCs w:val="24"/>
        </w:rPr>
        <w:t>by</w:t>
      </w:r>
      <w:r w:rsidR="00F4112C" w:rsidRPr="00F4112C">
        <w:rPr>
          <w:rFonts w:asciiTheme="minorHAnsi" w:hAnsiTheme="minorHAnsi" w:cs="Times New Roman"/>
          <w:sz w:val="24"/>
          <w:szCs w:val="24"/>
        </w:rPr>
        <w:t xml:space="preserve"> </w:t>
      </w:r>
      <w:r w:rsidR="00502EE5">
        <w:rPr>
          <w:rFonts w:asciiTheme="minorHAnsi" w:hAnsiTheme="minorHAnsi" w:cs="Times New Roman"/>
          <w:sz w:val="24"/>
          <w:szCs w:val="24"/>
        </w:rPr>
        <w:t>non-</w:t>
      </w:r>
      <w:r w:rsidR="00F4112C" w:rsidRPr="00F4112C">
        <w:rPr>
          <w:rFonts w:asciiTheme="minorHAnsi" w:hAnsiTheme="minorHAnsi" w:cs="Times New Roman"/>
          <w:sz w:val="24"/>
          <w:szCs w:val="24"/>
        </w:rPr>
        <w:t>GSO satellite</w:t>
      </w:r>
      <w:r w:rsidR="00763E18">
        <w:rPr>
          <w:rFonts w:asciiTheme="minorHAnsi" w:hAnsiTheme="minorHAnsi" w:cs="Times New Roman"/>
          <w:sz w:val="24"/>
          <w:szCs w:val="24"/>
        </w:rPr>
        <w:t>s</w:t>
      </w:r>
      <w:r w:rsidR="00F4112C" w:rsidRPr="00F4112C">
        <w:rPr>
          <w:rFonts w:asciiTheme="minorHAnsi" w:hAnsiTheme="minorHAnsi" w:cs="Times New Roman"/>
          <w:sz w:val="24"/>
          <w:szCs w:val="24"/>
          <w:lang w:eastAsia="zh-CN"/>
        </w:rPr>
        <w:t>.</w:t>
      </w:r>
      <w:r w:rsidR="00246097">
        <w:rPr>
          <w:rFonts w:asciiTheme="minorHAnsi" w:hAnsiTheme="minorHAnsi" w:cs="Times New Roman"/>
          <w:sz w:val="24"/>
          <w:szCs w:val="24"/>
          <w:lang w:eastAsia="zh-CN"/>
        </w:rPr>
        <w:t xml:space="preserve"> </w:t>
      </w:r>
      <w:r w:rsidR="00F4112C" w:rsidRPr="00F4112C">
        <w:rPr>
          <w:rFonts w:asciiTheme="minorHAnsi" w:hAnsiTheme="minorHAnsi" w:cs="Times New Roman"/>
          <w:sz w:val="24"/>
          <w:szCs w:val="24"/>
          <w:lang w:eastAsia="zh-CN"/>
        </w:rPr>
        <w:t>Th</w:t>
      </w:r>
      <w:r w:rsidR="00502EE5">
        <w:rPr>
          <w:rFonts w:asciiTheme="minorHAnsi" w:hAnsiTheme="minorHAnsi" w:cs="Times New Roman"/>
          <w:sz w:val="24"/>
          <w:szCs w:val="24"/>
          <w:lang w:eastAsia="zh-CN"/>
        </w:rPr>
        <w:t>ese bands</w:t>
      </w:r>
      <w:r w:rsidR="00F4112C" w:rsidRPr="00F4112C">
        <w:rPr>
          <w:rFonts w:asciiTheme="minorHAnsi" w:hAnsiTheme="minorHAnsi" w:cs="Times New Roman"/>
          <w:sz w:val="24"/>
          <w:szCs w:val="24"/>
          <w:lang w:eastAsia="zh-CN"/>
        </w:rPr>
        <w:t xml:space="preserve"> </w:t>
      </w:r>
      <w:r w:rsidR="00502EE5">
        <w:rPr>
          <w:rFonts w:asciiTheme="minorHAnsi" w:hAnsiTheme="minorHAnsi" w:cs="Times New Roman"/>
          <w:sz w:val="24"/>
          <w:szCs w:val="24"/>
          <w:lang w:eastAsia="zh-CN"/>
        </w:rPr>
        <w:t>are</w:t>
      </w:r>
      <w:r w:rsidR="00F4112C" w:rsidRPr="00F4112C">
        <w:rPr>
          <w:rFonts w:asciiTheme="minorHAnsi" w:hAnsiTheme="minorHAnsi" w:cs="Times New Roman"/>
          <w:sz w:val="24"/>
          <w:szCs w:val="24"/>
          <w:lang w:eastAsia="zh-CN"/>
        </w:rPr>
        <w:t xml:space="preserve"> in fact the most </w:t>
      </w:r>
      <w:r w:rsidR="000E1B95" w:rsidRPr="00F4112C">
        <w:rPr>
          <w:rFonts w:asciiTheme="minorHAnsi" w:hAnsiTheme="minorHAnsi" w:cs="Times New Roman"/>
          <w:sz w:val="24"/>
          <w:szCs w:val="24"/>
          <w:lang w:eastAsia="zh-CN"/>
        </w:rPr>
        <w:t xml:space="preserve">common </w:t>
      </w:r>
      <w:r w:rsidR="00763E18">
        <w:rPr>
          <w:rFonts w:asciiTheme="minorHAnsi" w:hAnsiTheme="minorHAnsi" w:cs="Times New Roman"/>
          <w:sz w:val="24"/>
          <w:szCs w:val="24"/>
          <w:lang w:eastAsia="zh-CN"/>
        </w:rPr>
        <w:t>bands</w:t>
      </w:r>
      <w:r w:rsidR="00763E18" w:rsidRPr="00F4112C">
        <w:rPr>
          <w:rFonts w:asciiTheme="minorHAnsi" w:hAnsiTheme="minorHAnsi" w:cs="Times New Roman"/>
          <w:sz w:val="24"/>
          <w:szCs w:val="24"/>
          <w:lang w:eastAsia="zh-CN"/>
        </w:rPr>
        <w:t xml:space="preserve"> </w:t>
      </w:r>
      <w:r w:rsidR="002A3CCE" w:rsidRPr="00F4112C">
        <w:rPr>
          <w:rFonts w:asciiTheme="minorHAnsi" w:hAnsiTheme="minorHAnsi" w:cs="Times New Roman"/>
          <w:sz w:val="24"/>
          <w:szCs w:val="24"/>
          <w:lang w:eastAsia="zh-CN"/>
        </w:rPr>
        <w:t>for space operation</w:t>
      </w:r>
      <w:r w:rsidRPr="00F4112C">
        <w:rPr>
          <w:rFonts w:asciiTheme="minorHAnsi" w:hAnsiTheme="minorHAnsi" w:cs="Times New Roman"/>
          <w:sz w:val="24"/>
          <w:szCs w:val="24"/>
          <w:lang w:eastAsia="zh-CN"/>
        </w:rPr>
        <w:t xml:space="preserve"> of non-GSO satellites</w:t>
      </w:r>
      <w:r w:rsidR="00B161BD">
        <w:rPr>
          <w:rFonts w:asciiTheme="minorHAnsi" w:hAnsiTheme="minorHAnsi" w:cs="Times New Roman"/>
          <w:sz w:val="24"/>
          <w:szCs w:val="24"/>
          <w:lang w:eastAsia="zh-CN"/>
        </w:rPr>
        <w:t xml:space="preserve"> netw</w:t>
      </w:r>
      <w:r w:rsidR="004951F8">
        <w:rPr>
          <w:rFonts w:asciiTheme="minorHAnsi" w:hAnsiTheme="minorHAnsi" w:cs="Times New Roman"/>
          <w:sz w:val="24"/>
          <w:szCs w:val="24"/>
          <w:lang w:eastAsia="zh-CN"/>
        </w:rPr>
        <w:t>orks</w:t>
      </w:r>
      <w:r w:rsidR="002A3CCE" w:rsidRPr="00F4112C">
        <w:rPr>
          <w:rFonts w:asciiTheme="minorHAnsi" w:hAnsiTheme="minorHAnsi" w:cs="Times New Roman"/>
          <w:sz w:val="24"/>
          <w:szCs w:val="24"/>
          <w:lang w:eastAsia="zh-CN"/>
        </w:rPr>
        <w:t xml:space="preserve">. Taking </w:t>
      </w:r>
      <w:r w:rsidR="00556B80" w:rsidRPr="00F4112C">
        <w:rPr>
          <w:rFonts w:asciiTheme="minorHAnsi" w:hAnsiTheme="minorHAnsi" w:cs="Times New Roman"/>
          <w:sz w:val="24"/>
          <w:szCs w:val="24"/>
          <w:lang w:eastAsia="zh-CN"/>
        </w:rPr>
        <w:t xml:space="preserve">into </w:t>
      </w:r>
      <w:r w:rsidR="002A3CCE" w:rsidRPr="00F4112C">
        <w:rPr>
          <w:rFonts w:asciiTheme="minorHAnsi" w:hAnsiTheme="minorHAnsi" w:cs="Times New Roman"/>
          <w:sz w:val="24"/>
          <w:szCs w:val="24"/>
          <w:lang w:eastAsia="zh-CN"/>
        </w:rPr>
        <w:t>account that such operation</w:t>
      </w:r>
      <w:r w:rsidR="00F7057E" w:rsidRPr="00F4112C">
        <w:rPr>
          <w:rFonts w:asciiTheme="minorHAnsi" w:hAnsiTheme="minorHAnsi" w:cs="Times New Roman"/>
          <w:sz w:val="24"/>
          <w:szCs w:val="24"/>
          <w:lang w:eastAsia="zh-CN"/>
        </w:rPr>
        <w:t xml:space="preserve"> is,</w:t>
      </w:r>
      <w:r w:rsidRPr="00F4112C">
        <w:rPr>
          <w:rFonts w:asciiTheme="minorHAnsi" w:hAnsiTheme="minorHAnsi" w:cs="Times New Roman"/>
          <w:sz w:val="24"/>
          <w:szCs w:val="24"/>
          <w:lang w:eastAsia="zh-CN"/>
        </w:rPr>
        <w:t xml:space="preserve"> in general,</w:t>
      </w:r>
      <w:r w:rsidR="004951F8">
        <w:rPr>
          <w:rFonts w:asciiTheme="minorHAnsi" w:hAnsiTheme="minorHAnsi" w:cs="Times New Roman"/>
          <w:sz w:val="24"/>
          <w:szCs w:val="24"/>
          <w:lang w:eastAsia="zh-CN"/>
        </w:rPr>
        <w:t xml:space="preserve"> </w:t>
      </w:r>
      <w:r w:rsidR="0013188D" w:rsidRPr="00F4112C">
        <w:rPr>
          <w:rFonts w:asciiTheme="minorHAnsi" w:hAnsiTheme="minorHAnsi" w:cs="Times New Roman"/>
          <w:sz w:val="24"/>
          <w:szCs w:val="24"/>
          <w:lang w:eastAsia="zh-CN"/>
        </w:rPr>
        <w:t xml:space="preserve">limited </w:t>
      </w:r>
      <w:r w:rsidR="00F7057E" w:rsidRPr="00F4112C">
        <w:rPr>
          <w:rFonts w:asciiTheme="minorHAnsi" w:hAnsiTheme="minorHAnsi" w:cs="Times New Roman"/>
          <w:sz w:val="24"/>
          <w:szCs w:val="24"/>
          <w:lang w:eastAsia="zh-CN"/>
        </w:rPr>
        <w:t xml:space="preserve">in </w:t>
      </w:r>
      <w:r w:rsidR="0013188D" w:rsidRPr="00F4112C">
        <w:rPr>
          <w:rFonts w:asciiTheme="minorHAnsi" w:hAnsiTheme="minorHAnsi" w:cs="Times New Roman"/>
          <w:sz w:val="24"/>
          <w:szCs w:val="24"/>
          <w:lang w:eastAsia="zh-CN"/>
        </w:rPr>
        <w:t xml:space="preserve">duration </w:t>
      </w:r>
      <w:r w:rsidR="00F7057E" w:rsidRPr="00F4112C">
        <w:rPr>
          <w:rFonts w:asciiTheme="minorHAnsi" w:hAnsiTheme="minorHAnsi" w:cs="Times New Roman"/>
          <w:sz w:val="24"/>
          <w:szCs w:val="24"/>
          <w:lang w:eastAsia="zh-CN"/>
        </w:rPr>
        <w:t>and require</w:t>
      </w:r>
      <w:r w:rsidR="004951F8">
        <w:rPr>
          <w:rFonts w:asciiTheme="minorHAnsi" w:hAnsiTheme="minorHAnsi" w:cs="Times New Roman"/>
          <w:sz w:val="24"/>
          <w:szCs w:val="24"/>
          <w:lang w:eastAsia="zh-CN"/>
        </w:rPr>
        <w:t>s</w:t>
      </w:r>
      <w:r w:rsidR="00F7057E" w:rsidRPr="00F4112C">
        <w:rPr>
          <w:rFonts w:asciiTheme="minorHAnsi" w:hAnsiTheme="minorHAnsi" w:cs="Times New Roman"/>
          <w:sz w:val="24"/>
          <w:szCs w:val="24"/>
          <w:lang w:eastAsia="zh-CN"/>
        </w:rPr>
        <w:t xml:space="preserve"> </w:t>
      </w:r>
      <w:r w:rsidR="002A3CCE" w:rsidRPr="00F4112C">
        <w:rPr>
          <w:rFonts w:asciiTheme="minorHAnsi" w:hAnsiTheme="minorHAnsi" w:cs="Times New Roman"/>
          <w:sz w:val="24"/>
          <w:szCs w:val="24"/>
          <w:lang w:eastAsia="zh-CN"/>
        </w:rPr>
        <w:t>a limited amount of bandwidth (</w:t>
      </w:r>
      <w:r w:rsidR="00E863ED">
        <w:rPr>
          <w:rFonts w:asciiTheme="minorHAnsi" w:hAnsiTheme="minorHAnsi" w:cs="Times New Roman"/>
          <w:sz w:val="24"/>
          <w:szCs w:val="24"/>
          <w:lang w:eastAsia="zh-CN"/>
        </w:rPr>
        <w:t xml:space="preserve">typically </w:t>
      </w:r>
      <w:r w:rsidR="002A3CCE" w:rsidRPr="00F4112C">
        <w:rPr>
          <w:rFonts w:asciiTheme="minorHAnsi" w:hAnsiTheme="minorHAnsi" w:cs="Times New Roman"/>
          <w:sz w:val="24"/>
          <w:szCs w:val="24"/>
          <w:lang w:eastAsia="zh-CN"/>
        </w:rPr>
        <w:t xml:space="preserve">a few </w:t>
      </w:r>
      <w:r w:rsidR="007518B2">
        <w:rPr>
          <w:rFonts w:asciiTheme="minorHAnsi" w:hAnsiTheme="minorHAnsi" w:cs="Times New Roman"/>
          <w:sz w:val="24"/>
          <w:szCs w:val="24"/>
          <w:lang w:eastAsia="zh-CN"/>
        </w:rPr>
        <w:t>m</w:t>
      </w:r>
      <w:r w:rsidR="00E863ED">
        <w:rPr>
          <w:rFonts w:asciiTheme="minorHAnsi" w:hAnsiTheme="minorHAnsi" w:cs="Times New Roman"/>
          <w:sz w:val="24"/>
          <w:szCs w:val="24"/>
          <w:lang w:eastAsia="zh-CN"/>
        </w:rPr>
        <w:t>ega</w:t>
      </w:r>
      <w:r w:rsidR="007518B2">
        <w:rPr>
          <w:rFonts w:asciiTheme="minorHAnsi" w:hAnsiTheme="minorHAnsi" w:cs="Times New Roman"/>
          <w:sz w:val="24"/>
          <w:szCs w:val="24"/>
          <w:lang w:eastAsia="zh-CN"/>
        </w:rPr>
        <w:t>hertz</w:t>
      </w:r>
      <w:r w:rsidR="002A3CCE" w:rsidRPr="00F4112C">
        <w:rPr>
          <w:rFonts w:asciiTheme="minorHAnsi" w:hAnsiTheme="minorHAnsi" w:cs="Times New Roman"/>
          <w:sz w:val="24"/>
          <w:szCs w:val="24"/>
          <w:lang w:eastAsia="zh-CN"/>
        </w:rPr>
        <w:t xml:space="preserve">) and a limited number of earth stations, </w:t>
      </w:r>
      <w:r w:rsidR="00C45521">
        <w:rPr>
          <w:rFonts w:asciiTheme="minorHAnsi" w:hAnsiTheme="minorHAnsi" w:cs="Times New Roman"/>
          <w:sz w:val="24"/>
          <w:szCs w:val="24"/>
          <w:lang w:eastAsia="zh-CN"/>
        </w:rPr>
        <w:t>the process</w:t>
      </w:r>
      <w:r w:rsidR="00C45521" w:rsidRPr="00F4112C">
        <w:rPr>
          <w:rFonts w:asciiTheme="minorHAnsi" w:hAnsiTheme="minorHAnsi" w:cs="Times New Roman"/>
          <w:sz w:val="24"/>
          <w:szCs w:val="24"/>
          <w:lang w:eastAsia="zh-CN"/>
        </w:rPr>
        <w:t xml:space="preserve"> </w:t>
      </w:r>
      <w:r w:rsidR="002A3CCE" w:rsidRPr="00F4112C">
        <w:rPr>
          <w:rFonts w:asciiTheme="minorHAnsi" w:hAnsiTheme="minorHAnsi" w:cs="Times New Roman"/>
          <w:sz w:val="24"/>
          <w:szCs w:val="24"/>
          <w:lang w:eastAsia="zh-CN"/>
        </w:rPr>
        <w:t>under Nos.</w:t>
      </w:r>
      <w:r w:rsidR="009A21D8" w:rsidRPr="00F4112C">
        <w:rPr>
          <w:rFonts w:asciiTheme="minorHAnsi" w:hAnsiTheme="minorHAnsi" w:cs="Times New Roman"/>
          <w:sz w:val="24"/>
          <w:szCs w:val="24"/>
          <w:lang w:eastAsia="zh-CN"/>
        </w:rPr>
        <w:t> </w:t>
      </w:r>
      <w:r w:rsidR="002A3CCE" w:rsidRPr="00F4112C">
        <w:rPr>
          <w:rFonts w:asciiTheme="minorHAnsi" w:hAnsiTheme="minorHAnsi" w:cs="Times New Roman"/>
          <w:b/>
          <w:bCs/>
          <w:sz w:val="24"/>
          <w:szCs w:val="24"/>
          <w:lang w:eastAsia="zh-CN"/>
        </w:rPr>
        <w:t>9.3</w:t>
      </w:r>
      <w:r w:rsidR="002A3CCE" w:rsidRPr="00F4112C">
        <w:rPr>
          <w:rFonts w:asciiTheme="minorHAnsi" w:hAnsiTheme="minorHAnsi" w:cs="Times New Roman"/>
          <w:sz w:val="24"/>
          <w:szCs w:val="24"/>
          <w:lang w:eastAsia="zh-CN"/>
        </w:rPr>
        <w:t xml:space="preserve"> and </w:t>
      </w:r>
      <w:r w:rsidR="002A3CCE" w:rsidRPr="00F4112C">
        <w:rPr>
          <w:rFonts w:asciiTheme="minorHAnsi" w:hAnsiTheme="minorHAnsi" w:cs="Times New Roman"/>
          <w:b/>
          <w:bCs/>
          <w:sz w:val="24"/>
          <w:szCs w:val="24"/>
          <w:lang w:eastAsia="zh-CN"/>
        </w:rPr>
        <w:t>9.4</w:t>
      </w:r>
      <w:r w:rsidR="002A3CCE" w:rsidRPr="00F4112C">
        <w:rPr>
          <w:rFonts w:asciiTheme="minorHAnsi" w:hAnsiTheme="minorHAnsi" w:cs="Times New Roman"/>
          <w:sz w:val="24"/>
          <w:szCs w:val="24"/>
          <w:lang w:eastAsia="zh-CN"/>
        </w:rPr>
        <w:t xml:space="preserve"> </w:t>
      </w:r>
      <w:r w:rsidR="00F7057E" w:rsidRPr="00F4112C">
        <w:rPr>
          <w:rFonts w:asciiTheme="minorHAnsi" w:hAnsiTheme="minorHAnsi" w:cs="Times New Roman"/>
          <w:sz w:val="24"/>
          <w:szCs w:val="24"/>
          <w:lang w:eastAsia="zh-CN"/>
        </w:rPr>
        <w:t xml:space="preserve">could </w:t>
      </w:r>
      <w:r w:rsidR="002A3CCE" w:rsidRPr="00F4112C">
        <w:rPr>
          <w:rFonts w:asciiTheme="minorHAnsi" w:hAnsiTheme="minorHAnsi" w:cs="Times New Roman"/>
          <w:sz w:val="24"/>
          <w:szCs w:val="24"/>
          <w:lang w:eastAsia="zh-CN"/>
        </w:rPr>
        <w:t xml:space="preserve">be facilitated if </w:t>
      </w:r>
      <w:r w:rsidR="00C97A94">
        <w:rPr>
          <w:rFonts w:asciiTheme="minorHAnsi" w:hAnsiTheme="minorHAnsi" w:cs="Times New Roman"/>
          <w:sz w:val="24"/>
          <w:szCs w:val="24"/>
          <w:lang w:eastAsia="zh-CN"/>
        </w:rPr>
        <w:t>specific</w:t>
      </w:r>
      <w:r w:rsidR="00C97A94" w:rsidRPr="00F4112C">
        <w:rPr>
          <w:rFonts w:asciiTheme="minorHAnsi" w:hAnsiTheme="minorHAnsi" w:cs="Times New Roman"/>
          <w:sz w:val="24"/>
          <w:szCs w:val="24"/>
          <w:lang w:eastAsia="zh-CN"/>
        </w:rPr>
        <w:t xml:space="preserve"> </w:t>
      </w:r>
      <w:r w:rsidR="002A3CCE" w:rsidRPr="00F4112C">
        <w:rPr>
          <w:rFonts w:asciiTheme="minorHAnsi" w:hAnsiTheme="minorHAnsi" w:cs="Times New Roman"/>
          <w:sz w:val="24"/>
          <w:szCs w:val="24"/>
          <w:lang w:eastAsia="zh-CN"/>
        </w:rPr>
        <w:t xml:space="preserve">information </w:t>
      </w:r>
      <w:r w:rsidR="00C97A94">
        <w:rPr>
          <w:rFonts w:asciiTheme="minorHAnsi" w:hAnsiTheme="minorHAnsi" w:cs="Times New Roman"/>
          <w:sz w:val="24"/>
          <w:szCs w:val="24"/>
          <w:lang w:eastAsia="zh-CN"/>
        </w:rPr>
        <w:t>was</w:t>
      </w:r>
      <w:r w:rsidR="002A3CCE" w:rsidRPr="00F4112C">
        <w:rPr>
          <w:rFonts w:asciiTheme="minorHAnsi" w:hAnsiTheme="minorHAnsi" w:cs="Times New Roman"/>
          <w:sz w:val="24"/>
          <w:szCs w:val="24"/>
          <w:lang w:eastAsia="zh-CN"/>
        </w:rPr>
        <w:t xml:space="preserve"> provided at the API stage. In that case, comments under No.</w:t>
      </w:r>
      <w:r w:rsidR="0096032F" w:rsidRPr="00F4112C">
        <w:rPr>
          <w:rFonts w:asciiTheme="minorHAnsi" w:hAnsiTheme="minorHAnsi" w:cs="Times New Roman"/>
          <w:sz w:val="24"/>
          <w:szCs w:val="24"/>
          <w:lang w:eastAsia="zh-CN"/>
        </w:rPr>
        <w:t> </w:t>
      </w:r>
      <w:r w:rsidR="002A3CCE" w:rsidRPr="00F4112C">
        <w:rPr>
          <w:rFonts w:asciiTheme="minorHAnsi" w:hAnsiTheme="minorHAnsi" w:cs="Times New Roman"/>
          <w:b/>
          <w:bCs/>
          <w:sz w:val="24"/>
          <w:szCs w:val="24"/>
          <w:lang w:eastAsia="zh-CN"/>
        </w:rPr>
        <w:t>9.3</w:t>
      </w:r>
      <w:r w:rsidR="002A3CCE" w:rsidRPr="00F4112C">
        <w:rPr>
          <w:rFonts w:asciiTheme="minorHAnsi" w:hAnsiTheme="minorHAnsi" w:cs="Times New Roman"/>
          <w:sz w:val="24"/>
          <w:szCs w:val="24"/>
          <w:lang w:eastAsia="zh-CN"/>
        </w:rPr>
        <w:t xml:space="preserve"> might not be </w:t>
      </w:r>
      <w:r w:rsidR="00E51751" w:rsidRPr="00F4112C">
        <w:rPr>
          <w:rFonts w:asciiTheme="minorHAnsi" w:hAnsiTheme="minorHAnsi" w:cs="Times New Roman"/>
          <w:sz w:val="24"/>
          <w:szCs w:val="24"/>
          <w:lang w:eastAsia="zh-CN"/>
        </w:rPr>
        <w:t xml:space="preserve">necessary </w:t>
      </w:r>
      <w:r w:rsidR="002A3CCE" w:rsidRPr="00F4112C">
        <w:rPr>
          <w:rFonts w:asciiTheme="minorHAnsi" w:hAnsiTheme="minorHAnsi" w:cs="Times New Roman"/>
          <w:sz w:val="24"/>
          <w:szCs w:val="24"/>
          <w:lang w:eastAsia="zh-CN"/>
        </w:rPr>
        <w:t xml:space="preserve">and even though the number of satellites operating in these bands is high, the </w:t>
      </w:r>
      <w:r w:rsidR="00556B80" w:rsidRPr="00F4112C">
        <w:rPr>
          <w:rFonts w:asciiTheme="minorHAnsi" w:hAnsiTheme="minorHAnsi" w:cs="Times New Roman"/>
          <w:sz w:val="24"/>
          <w:szCs w:val="24"/>
          <w:lang w:eastAsia="zh-CN"/>
        </w:rPr>
        <w:t xml:space="preserve">number of </w:t>
      </w:r>
      <w:r w:rsidR="002A3CCE" w:rsidRPr="00F4112C">
        <w:rPr>
          <w:rFonts w:asciiTheme="minorHAnsi" w:hAnsiTheme="minorHAnsi" w:cs="Times New Roman"/>
          <w:sz w:val="24"/>
          <w:szCs w:val="24"/>
          <w:lang w:eastAsia="zh-CN"/>
        </w:rPr>
        <w:t xml:space="preserve">comments sent by administrations </w:t>
      </w:r>
      <w:r w:rsidR="00556B80" w:rsidRPr="00F4112C">
        <w:rPr>
          <w:rFonts w:asciiTheme="minorHAnsi" w:hAnsiTheme="minorHAnsi" w:cs="Times New Roman"/>
          <w:sz w:val="24"/>
          <w:szCs w:val="24"/>
          <w:lang w:eastAsia="zh-CN"/>
        </w:rPr>
        <w:t xml:space="preserve">in relation </w:t>
      </w:r>
      <w:r w:rsidR="002A3CCE" w:rsidRPr="00F4112C">
        <w:rPr>
          <w:rFonts w:asciiTheme="minorHAnsi" w:hAnsiTheme="minorHAnsi" w:cs="Times New Roman"/>
          <w:sz w:val="24"/>
          <w:szCs w:val="24"/>
          <w:lang w:eastAsia="zh-CN"/>
        </w:rPr>
        <w:t xml:space="preserve">to new API’s </w:t>
      </w:r>
      <w:r w:rsidR="00F7057E" w:rsidRPr="00F4112C">
        <w:rPr>
          <w:rFonts w:asciiTheme="minorHAnsi" w:hAnsiTheme="minorHAnsi" w:cs="Times New Roman"/>
          <w:sz w:val="24"/>
          <w:szCs w:val="24"/>
          <w:lang w:eastAsia="zh-CN"/>
        </w:rPr>
        <w:t xml:space="preserve">could </w:t>
      </w:r>
      <w:r w:rsidR="002A3CCE" w:rsidRPr="00F4112C">
        <w:rPr>
          <w:rFonts w:asciiTheme="minorHAnsi" w:hAnsiTheme="minorHAnsi" w:cs="Times New Roman"/>
          <w:sz w:val="24"/>
          <w:szCs w:val="24"/>
          <w:lang w:eastAsia="zh-CN"/>
        </w:rPr>
        <w:t xml:space="preserve">be relatively limited </w:t>
      </w:r>
      <w:r w:rsidR="00556B80" w:rsidRPr="00F4112C">
        <w:rPr>
          <w:rFonts w:asciiTheme="minorHAnsi" w:hAnsiTheme="minorHAnsi" w:cs="Times New Roman"/>
          <w:sz w:val="24"/>
          <w:szCs w:val="24"/>
          <w:lang w:eastAsia="zh-CN"/>
        </w:rPr>
        <w:t xml:space="preserve">and </w:t>
      </w:r>
      <w:r w:rsidR="002A3CCE" w:rsidRPr="00F4112C">
        <w:rPr>
          <w:rFonts w:asciiTheme="minorHAnsi" w:hAnsiTheme="minorHAnsi" w:cs="Times New Roman"/>
          <w:sz w:val="24"/>
          <w:szCs w:val="24"/>
          <w:lang w:eastAsia="zh-CN"/>
        </w:rPr>
        <w:t>focus</w:t>
      </w:r>
      <w:r w:rsidR="00C45521">
        <w:rPr>
          <w:rFonts w:asciiTheme="minorHAnsi" w:hAnsiTheme="minorHAnsi" w:cs="Times New Roman"/>
          <w:sz w:val="24"/>
          <w:szCs w:val="24"/>
          <w:lang w:eastAsia="zh-CN"/>
        </w:rPr>
        <w:t>ed</w:t>
      </w:r>
      <w:r w:rsidR="002A3CCE" w:rsidRPr="00F4112C">
        <w:rPr>
          <w:rFonts w:asciiTheme="minorHAnsi" w:hAnsiTheme="minorHAnsi" w:cs="Times New Roman"/>
          <w:sz w:val="24"/>
          <w:szCs w:val="24"/>
          <w:lang w:eastAsia="zh-CN"/>
        </w:rPr>
        <w:t xml:space="preserve"> on critical cases.</w:t>
      </w:r>
    </w:p>
    <w:p w14:paraId="5F366434" w14:textId="77777777" w:rsidR="002A3CCE" w:rsidRPr="009A21D8" w:rsidRDefault="002A3CCE" w:rsidP="00E51751">
      <w:pPr>
        <w:rPr>
          <w:sz w:val="24"/>
          <w:szCs w:val="24"/>
          <w:lang w:eastAsia="zh-CN"/>
        </w:rPr>
      </w:pPr>
      <w:r w:rsidRPr="009A21D8">
        <w:rPr>
          <w:sz w:val="24"/>
          <w:szCs w:val="24"/>
          <w:lang w:eastAsia="zh-CN"/>
        </w:rPr>
        <w:t xml:space="preserve">This scenario is based on the assumption that an administration </w:t>
      </w:r>
      <w:r w:rsidR="00F7057E" w:rsidRPr="009A21D8">
        <w:rPr>
          <w:sz w:val="24"/>
          <w:szCs w:val="24"/>
          <w:lang w:eastAsia="zh-CN"/>
        </w:rPr>
        <w:t>analyzing</w:t>
      </w:r>
      <w:r w:rsidRPr="009A21D8">
        <w:rPr>
          <w:sz w:val="24"/>
          <w:szCs w:val="24"/>
          <w:lang w:eastAsia="zh-CN"/>
        </w:rPr>
        <w:t xml:space="preserve"> a new API may find enough specific and detailed information</w:t>
      </w:r>
      <w:r w:rsidR="00556B80">
        <w:rPr>
          <w:sz w:val="24"/>
          <w:szCs w:val="24"/>
          <w:lang w:eastAsia="zh-CN"/>
        </w:rPr>
        <w:t xml:space="preserve">. This would </w:t>
      </w:r>
      <w:r w:rsidRPr="009A21D8">
        <w:rPr>
          <w:sz w:val="24"/>
          <w:szCs w:val="24"/>
          <w:lang w:eastAsia="zh-CN"/>
        </w:rPr>
        <w:t xml:space="preserve">allow </w:t>
      </w:r>
      <w:r w:rsidR="00556B80">
        <w:rPr>
          <w:sz w:val="24"/>
          <w:szCs w:val="24"/>
          <w:lang w:eastAsia="zh-CN"/>
        </w:rPr>
        <w:t>in</w:t>
      </w:r>
      <w:r w:rsidRPr="009A21D8">
        <w:rPr>
          <w:sz w:val="24"/>
          <w:szCs w:val="24"/>
          <w:lang w:eastAsia="zh-CN"/>
        </w:rPr>
        <w:t xml:space="preserve"> most cases to directly discard any risk of interference and therefore the administrative burden of generating a comment to the API and interacting with the notifying administration</w:t>
      </w:r>
      <w:r w:rsidR="00E51751">
        <w:rPr>
          <w:sz w:val="24"/>
          <w:szCs w:val="24"/>
          <w:lang w:eastAsia="zh-CN"/>
        </w:rPr>
        <w:t xml:space="preserve"> would be reduced</w:t>
      </w:r>
      <w:r w:rsidRPr="009A21D8">
        <w:rPr>
          <w:sz w:val="24"/>
          <w:szCs w:val="24"/>
          <w:lang w:eastAsia="zh-CN"/>
        </w:rPr>
        <w:t>.</w:t>
      </w:r>
    </w:p>
    <w:p w14:paraId="44AF01DF" w14:textId="55C2CEB1" w:rsidR="00583ECD" w:rsidRDefault="002A3CCE">
      <w:pPr>
        <w:rPr>
          <w:sz w:val="24"/>
          <w:szCs w:val="24"/>
          <w:lang w:eastAsia="zh-CN"/>
        </w:rPr>
      </w:pPr>
      <w:r w:rsidRPr="009A21D8">
        <w:rPr>
          <w:sz w:val="24"/>
          <w:szCs w:val="24"/>
          <w:lang w:eastAsia="zh-CN"/>
        </w:rPr>
        <w:t xml:space="preserve">This simplification of the coordination activity </w:t>
      </w:r>
      <w:r w:rsidR="00A23C95">
        <w:rPr>
          <w:sz w:val="24"/>
          <w:szCs w:val="24"/>
          <w:lang w:eastAsia="zh-CN"/>
        </w:rPr>
        <w:t>does</w:t>
      </w:r>
      <w:r w:rsidR="00A23C95" w:rsidRPr="009A21D8">
        <w:rPr>
          <w:sz w:val="24"/>
          <w:szCs w:val="24"/>
          <w:lang w:eastAsia="zh-CN"/>
        </w:rPr>
        <w:t xml:space="preserve"> </w:t>
      </w:r>
      <w:r w:rsidRPr="009A21D8">
        <w:rPr>
          <w:sz w:val="24"/>
          <w:szCs w:val="24"/>
          <w:lang w:eastAsia="zh-CN"/>
        </w:rPr>
        <w:t>not work however</w:t>
      </w:r>
      <w:r w:rsidR="005B440D">
        <w:rPr>
          <w:sz w:val="24"/>
          <w:szCs w:val="24"/>
          <w:lang w:eastAsia="zh-CN"/>
        </w:rPr>
        <w:t>,</w:t>
      </w:r>
      <w:r w:rsidRPr="009A21D8">
        <w:rPr>
          <w:sz w:val="24"/>
          <w:szCs w:val="24"/>
          <w:lang w:eastAsia="zh-CN"/>
        </w:rPr>
        <w:t xml:space="preserve"> if the new API includes the whole allocated</w:t>
      </w:r>
      <w:r w:rsidRPr="009A21D8">
        <w:rPr>
          <w:sz w:val="24"/>
          <w:szCs w:val="24"/>
        </w:rPr>
        <w:t xml:space="preserve"> </w:t>
      </w:r>
      <w:r w:rsidRPr="009A21D8">
        <w:rPr>
          <w:sz w:val="24"/>
          <w:szCs w:val="24"/>
          <w:lang w:eastAsia="zh-CN"/>
        </w:rPr>
        <w:t>space operation band</w:t>
      </w:r>
      <w:r w:rsidR="00B22DC4">
        <w:rPr>
          <w:sz w:val="24"/>
          <w:szCs w:val="24"/>
          <w:lang w:eastAsia="zh-CN"/>
        </w:rPr>
        <w:t xml:space="preserve"> </w:t>
      </w:r>
      <w:r w:rsidR="00B22DC4" w:rsidRPr="009A21D8">
        <w:rPr>
          <w:sz w:val="24"/>
          <w:szCs w:val="24"/>
        </w:rPr>
        <w:t>(2 025-2 110 MHz and 2 200</w:t>
      </w:r>
      <w:r w:rsidR="00B22DC4" w:rsidRPr="009A21D8">
        <w:rPr>
          <w:sz w:val="24"/>
          <w:szCs w:val="24"/>
        </w:rPr>
        <w:noBreakHyphen/>
        <w:t>2 290 MHz)</w:t>
      </w:r>
      <w:r w:rsidRPr="009A21D8">
        <w:rPr>
          <w:sz w:val="24"/>
          <w:szCs w:val="24"/>
          <w:lang w:eastAsia="zh-CN"/>
        </w:rPr>
        <w:t>, a trend that the Bureau has noted with numerous recent API submissions</w:t>
      </w:r>
      <w:r w:rsidR="00583ECD">
        <w:rPr>
          <w:sz w:val="24"/>
          <w:szCs w:val="24"/>
          <w:lang w:eastAsia="zh-CN"/>
        </w:rPr>
        <w:t>.</w:t>
      </w:r>
    </w:p>
    <w:p w14:paraId="08E79FD5" w14:textId="77777777" w:rsidR="00583ECD" w:rsidRDefault="00583ECD" w:rsidP="00583ECD">
      <w:pPr>
        <w:rPr>
          <w:sz w:val="24"/>
          <w:szCs w:val="24"/>
        </w:rPr>
      </w:pPr>
      <w:r>
        <w:rPr>
          <w:sz w:val="24"/>
          <w:szCs w:val="24"/>
        </w:rPr>
        <w:lastRenderedPageBreak/>
        <w:t>Other trends of generic parameters received in recent API submissions include:</w:t>
      </w:r>
    </w:p>
    <w:p w14:paraId="38EB5D5C" w14:textId="5A544EFB" w:rsidR="002A3CCE" w:rsidRPr="009A21D8" w:rsidRDefault="000525B6" w:rsidP="00B22DC4">
      <w:pPr>
        <w:pStyle w:val="enumlev1"/>
        <w:numPr>
          <w:ilvl w:val="0"/>
          <w:numId w:val="2"/>
        </w:numPr>
        <w:tabs>
          <w:tab w:val="clear" w:pos="794"/>
          <w:tab w:val="clear" w:pos="1191"/>
          <w:tab w:val="clear" w:pos="1588"/>
          <w:tab w:val="clear" w:pos="1985"/>
          <w:tab w:val="left" w:pos="1871"/>
          <w:tab w:val="left" w:pos="2608"/>
          <w:tab w:val="left" w:pos="3345"/>
        </w:tabs>
        <w:spacing w:line="240" w:lineRule="auto"/>
        <w:rPr>
          <w:sz w:val="24"/>
          <w:szCs w:val="24"/>
        </w:rPr>
      </w:pPr>
      <w:r>
        <w:rPr>
          <w:sz w:val="24"/>
          <w:szCs w:val="24"/>
        </w:rPr>
        <w:t>The o</w:t>
      </w:r>
      <w:r w:rsidR="002A3CCE" w:rsidRPr="009A21D8">
        <w:rPr>
          <w:sz w:val="24"/>
          <w:szCs w:val="24"/>
        </w:rPr>
        <w:t>rbital parameters include a large range of orbits each one with large numbers of satellites;</w:t>
      </w:r>
    </w:p>
    <w:p w14:paraId="386967FE" w14:textId="6F66E72C" w:rsidR="002A3CCE" w:rsidRPr="009A21D8" w:rsidRDefault="000525B6" w:rsidP="00B22DC4">
      <w:pPr>
        <w:pStyle w:val="enumlev1"/>
        <w:numPr>
          <w:ilvl w:val="0"/>
          <w:numId w:val="2"/>
        </w:numPr>
        <w:tabs>
          <w:tab w:val="clear" w:pos="794"/>
          <w:tab w:val="clear" w:pos="1191"/>
          <w:tab w:val="clear" w:pos="1588"/>
          <w:tab w:val="clear" w:pos="1985"/>
          <w:tab w:val="left" w:pos="1134"/>
          <w:tab w:val="left" w:pos="1871"/>
          <w:tab w:val="left" w:pos="2608"/>
          <w:tab w:val="left" w:pos="3345"/>
        </w:tabs>
        <w:spacing w:line="240" w:lineRule="auto"/>
        <w:rPr>
          <w:sz w:val="24"/>
          <w:szCs w:val="24"/>
        </w:rPr>
      </w:pPr>
      <w:r>
        <w:rPr>
          <w:sz w:val="24"/>
          <w:szCs w:val="24"/>
        </w:rPr>
        <w:t>The s</w:t>
      </w:r>
      <w:r w:rsidR="002A3CCE" w:rsidRPr="009A21D8">
        <w:rPr>
          <w:sz w:val="24"/>
          <w:szCs w:val="24"/>
        </w:rPr>
        <w:t xml:space="preserve">ervice area is defined </w:t>
      </w:r>
      <w:r w:rsidR="00556B80">
        <w:rPr>
          <w:sz w:val="24"/>
          <w:szCs w:val="24"/>
        </w:rPr>
        <w:t xml:space="preserve">as </w:t>
      </w:r>
      <w:r w:rsidR="002A3CCE" w:rsidRPr="009A21D8">
        <w:rPr>
          <w:sz w:val="24"/>
          <w:szCs w:val="24"/>
        </w:rPr>
        <w:t>the whole Earth surface;</w:t>
      </w:r>
    </w:p>
    <w:p w14:paraId="3EC73F62" w14:textId="14E1B21D" w:rsidR="002A3CCE" w:rsidRPr="009A21D8" w:rsidRDefault="002A3CCE" w:rsidP="00B22DC4">
      <w:pPr>
        <w:pStyle w:val="enumlev1"/>
        <w:numPr>
          <w:ilvl w:val="0"/>
          <w:numId w:val="2"/>
        </w:numPr>
        <w:tabs>
          <w:tab w:val="clear" w:pos="794"/>
          <w:tab w:val="clear" w:pos="1191"/>
          <w:tab w:val="clear" w:pos="1588"/>
          <w:tab w:val="clear" w:pos="1985"/>
          <w:tab w:val="left" w:pos="1134"/>
          <w:tab w:val="left" w:pos="1871"/>
          <w:tab w:val="left" w:pos="2608"/>
          <w:tab w:val="left" w:pos="3345"/>
        </w:tabs>
        <w:spacing w:line="240" w:lineRule="auto"/>
        <w:rPr>
          <w:sz w:val="24"/>
          <w:szCs w:val="24"/>
        </w:rPr>
      </w:pPr>
      <w:r w:rsidRPr="009A21D8">
        <w:rPr>
          <w:sz w:val="24"/>
          <w:szCs w:val="24"/>
        </w:rPr>
        <w:t xml:space="preserve">No </w:t>
      </w:r>
      <w:r w:rsidR="000525B6">
        <w:rPr>
          <w:sz w:val="24"/>
          <w:szCs w:val="24"/>
        </w:rPr>
        <w:t>specific</w:t>
      </w:r>
      <w:r w:rsidRPr="009A21D8">
        <w:rPr>
          <w:sz w:val="24"/>
          <w:szCs w:val="24"/>
        </w:rPr>
        <w:t xml:space="preserve"> </w:t>
      </w:r>
      <w:r w:rsidR="00556B80">
        <w:rPr>
          <w:sz w:val="24"/>
          <w:szCs w:val="24"/>
        </w:rPr>
        <w:t>e</w:t>
      </w:r>
      <w:r w:rsidRPr="009A21D8">
        <w:rPr>
          <w:sz w:val="24"/>
          <w:szCs w:val="24"/>
        </w:rPr>
        <w:t>arth station</w:t>
      </w:r>
      <w:r w:rsidR="00090BCC">
        <w:rPr>
          <w:sz w:val="24"/>
          <w:szCs w:val="24"/>
        </w:rPr>
        <w:t>s</w:t>
      </w:r>
      <w:r w:rsidRPr="009A21D8">
        <w:rPr>
          <w:sz w:val="24"/>
          <w:szCs w:val="24"/>
        </w:rPr>
        <w:t xml:space="preserve"> </w:t>
      </w:r>
      <w:r w:rsidR="00090BCC">
        <w:rPr>
          <w:sz w:val="24"/>
          <w:szCs w:val="24"/>
        </w:rPr>
        <w:t>are</w:t>
      </w:r>
      <w:r w:rsidR="000525B6">
        <w:rPr>
          <w:sz w:val="24"/>
          <w:szCs w:val="24"/>
        </w:rPr>
        <w:t xml:space="preserve"> provided </w:t>
      </w:r>
      <w:r w:rsidRPr="009A21D8">
        <w:rPr>
          <w:sz w:val="24"/>
          <w:szCs w:val="24"/>
        </w:rPr>
        <w:t>(</w:t>
      </w:r>
      <w:r w:rsidR="00090BCC">
        <w:rPr>
          <w:sz w:val="24"/>
          <w:szCs w:val="24"/>
        </w:rPr>
        <w:t xml:space="preserve">only </w:t>
      </w:r>
      <w:r w:rsidRPr="009A21D8">
        <w:rPr>
          <w:sz w:val="24"/>
          <w:szCs w:val="24"/>
        </w:rPr>
        <w:t>typical stations); and,</w:t>
      </w:r>
    </w:p>
    <w:p w14:paraId="7CD770B5" w14:textId="317ABB1B" w:rsidR="002A3CCE" w:rsidRPr="009A21D8" w:rsidRDefault="00090BCC" w:rsidP="00B22DC4">
      <w:pPr>
        <w:pStyle w:val="enumlev1"/>
        <w:numPr>
          <w:ilvl w:val="0"/>
          <w:numId w:val="2"/>
        </w:numPr>
        <w:tabs>
          <w:tab w:val="clear" w:pos="794"/>
          <w:tab w:val="clear" w:pos="1191"/>
          <w:tab w:val="clear" w:pos="1588"/>
          <w:tab w:val="clear" w:pos="1985"/>
          <w:tab w:val="left" w:pos="1134"/>
          <w:tab w:val="left" w:pos="1871"/>
          <w:tab w:val="left" w:pos="2608"/>
          <w:tab w:val="left" w:pos="3345"/>
        </w:tabs>
        <w:spacing w:line="240" w:lineRule="auto"/>
        <w:rPr>
          <w:sz w:val="24"/>
          <w:szCs w:val="24"/>
        </w:rPr>
      </w:pPr>
      <w:r>
        <w:rPr>
          <w:sz w:val="24"/>
          <w:szCs w:val="24"/>
        </w:rPr>
        <w:t>T</w:t>
      </w:r>
      <w:r w:rsidR="000525B6">
        <w:rPr>
          <w:sz w:val="24"/>
          <w:szCs w:val="24"/>
        </w:rPr>
        <w:t xml:space="preserve">he </w:t>
      </w:r>
      <w:r w:rsidR="002A3CCE" w:rsidRPr="009A21D8">
        <w:rPr>
          <w:sz w:val="24"/>
          <w:szCs w:val="24"/>
        </w:rPr>
        <w:t>power/e.i.r.p. levels and signal bandwidths</w:t>
      </w:r>
      <w:r>
        <w:rPr>
          <w:sz w:val="24"/>
          <w:szCs w:val="24"/>
        </w:rPr>
        <w:t xml:space="preserve"> cover large ranges</w:t>
      </w:r>
      <w:r w:rsidR="002A3CCE" w:rsidRPr="009A21D8">
        <w:rPr>
          <w:sz w:val="24"/>
          <w:szCs w:val="24"/>
        </w:rPr>
        <w:t>.</w:t>
      </w:r>
    </w:p>
    <w:p w14:paraId="700BD559" w14:textId="58FF302F" w:rsidR="002A3CCE" w:rsidRDefault="002A3CCE" w:rsidP="002A3CCE">
      <w:pPr>
        <w:rPr>
          <w:sz w:val="24"/>
          <w:szCs w:val="24"/>
        </w:rPr>
      </w:pPr>
      <w:r w:rsidRPr="009A21D8">
        <w:rPr>
          <w:sz w:val="24"/>
          <w:szCs w:val="24"/>
        </w:rPr>
        <w:t xml:space="preserve">Faced with generic API’s, administrations/operators can either optionally, make equally generic comments stating that </w:t>
      </w:r>
      <w:r w:rsidR="00E36078">
        <w:rPr>
          <w:sz w:val="24"/>
          <w:szCs w:val="24"/>
        </w:rPr>
        <w:t xml:space="preserve">unacceptable </w:t>
      </w:r>
      <w:r w:rsidRPr="009A21D8">
        <w:rPr>
          <w:sz w:val="24"/>
          <w:szCs w:val="24"/>
        </w:rPr>
        <w:t>interference</w:t>
      </w:r>
      <w:r w:rsidR="00E36078">
        <w:rPr>
          <w:sz w:val="24"/>
          <w:szCs w:val="24"/>
        </w:rPr>
        <w:t xml:space="preserve"> </w:t>
      </w:r>
      <w:r w:rsidRPr="009A21D8">
        <w:rPr>
          <w:sz w:val="24"/>
          <w:szCs w:val="24"/>
        </w:rPr>
        <w:t>may be caused to all their existing or planned satellite networks operating in these bands or consider any comment useless in view of the lack of information in the API. In both cases the main objective of RR No</w:t>
      </w:r>
      <w:r w:rsidR="00A448CA">
        <w:rPr>
          <w:sz w:val="24"/>
          <w:szCs w:val="24"/>
        </w:rPr>
        <w:t>s</w:t>
      </w:r>
      <w:r w:rsidRPr="009A21D8">
        <w:rPr>
          <w:sz w:val="24"/>
          <w:szCs w:val="24"/>
        </w:rPr>
        <w:t xml:space="preserve">. </w:t>
      </w:r>
      <w:r w:rsidRPr="009A21D8">
        <w:rPr>
          <w:b/>
          <w:bCs/>
          <w:sz w:val="24"/>
          <w:szCs w:val="24"/>
        </w:rPr>
        <w:t>9.3</w:t>
      </w:r>
      <w:r w:rsidRPr="009A21D8">
        <w:rPr>
          <w:sz w:val="24"/>
          <w:szCs w:val="24"/>
        </w:rPr>
        <w:t xml:space="preserve"> </w:t>
      </w:r>
      <w:r w:rsidR="00A448CA" w:rsidRPr="00F4112C">
        <w:rPr>
          <w:rFonts w:asciiTheme="minorHAnsi" w:hAnsiTheme="minorHAnsi" w:cs="Times New Roman"/>
          <w:sz w:val="24"/>
          <w:szCs w:val="24"/>
          <w:lang w:eastAsia="zh-CN"/>
        </w:rPr>
        <w:t xml:space="preserve">and </w:t>
      </w:r>
      <w:r w:rsidR="00A448CA" w:rsidRPr="00F4112C">
        <w:rPr>
          <w:rFonts w:asciiTheme="minorHAnsi" w:hAnsiTheme="minorHAnsi" w:cs="Times New Roman"/>
          <w:b/>
          <w:bCs/>
          <w:sz w:val="24"/>
          <w:szCs w:val="24"/>
          <w:lang w:eastAsia="zh-CN"/>
        </w:rPr>
        <w:t>9.4</w:t>
      </w:r>
      <w:r w:rsidR="00A448CA">
        <w:rPr>
          <w:rFonts w:asciiTheme="minorHAnsi" w:hAnsiTheme="minorHAnsi" w:cs="Times New Roman"/>
          <w:b/>
          <w:bCs/>
          <w:sz w:val="24"/>
          <w:szCs w:val="24"/>
          <w:lang w:eastAsia="zh-CN"/>
        </w:rPr>
        <w:t xml:space="preserve"> </w:t>
      </w:r>
      <w:r w:rsidRPr="009A21D8">
        <w:rPr>
          <w:sz w:val="24"/>
          <w:szCs w:val="24"/>
        </w:rPr>
        <w:t xml:space="preserve">will not be achieved. </w:t>
      </w:r>
    </w:p>
    <w:p w14:paraId="1104B271" w14:textId="59C3490A" w:rsidR="000E1B95" w:rsidRDefault="00583ECD" w:rsidP="004277DC">
      <w:pPr>
        <w:rPr>
          <w:color w:val="1F497D"/>
        </w:rPr>
      </w:pPr>
      <w:r>
        <w:rPr>
          <w:sz w:val="24"/>
          <w:szCs w:val="24"/>
        </w:rPr>
        <w:t xml:space="preserve">The Bureau understands that, for some projects, it may be necessary to submit a wider frequency range in the API due to anticipated difficulties in arriving at final operating frequencies during the coordination phase. </w:t>
      </w:r>
      <w:r w:rsidR="000E1B95">
        <w:rPr>
          <w:sz w:val="24"/>
          <w:szCs w:val="24"/>
        </w:rPr>
        <w:t xml:space="preserve">However, </w:t>
      </w:r>
      <w:r w:rsidR="00164BE0">
        <w:rPr>
          <w:sz w:val="24"/>
          <w:szCs w:val="24"/>
        </w:rPr>
        <w:t xml:space="preserve">as mentioned above, </w:t>
      </w:r>
      <w:r w:rsidR="000E1B95">
        <w:rPr>
          <w:sz w:val="24"/>
          <w:szCs w:val="24"/>
        </w:rPr>
        <w:t xml:space="preserve">submitting a more realistic frequency band </w:t>
      </w:r>
      <w:r w:rsidR="00D95B7A">
        <w:rPr>
          <w:sz w:val="24"/>
          <w:szCs w:val="24"/>
        </w:rPr>
        <w:t>for</w:t>
      </w:r>
      <w:r w:rsidR="000E1B95">
        <w:rPr>
          <w:sz w:val="24"/>
          <w:szCs w:val="24"/>
        </w:rPr>
        <w:t xml:space="preserve"> the API will</w:t>
      </w:r>
      <w:r w:rsidR="00164BE0">
        <w:rPr>
          <w:sz w:val="24"/>
          <w:szCs w:val="24"/>
        </w:rPr>
        <w:t xml:space="preserve"> very much</w:t>
      </w:r>
      <w:r w:rsidR="000E1B95">
        <w:rPr>
          <w:sz w:val="24"/>
          <w:szCs w:val="24"/>
        </w:rPr>
        <w:t xml:space="preserve"> </w:t>
      </w:r>
      <w:r w:rsidR="00B22DC4" w:rsidRPr="00F4112C">
        <w:rPr>
          <w:sz w:val="24"/>
          <w:szCs w:val="24"/>
        </w:rPr>
        <w:t xml:space="preserve">facilitate </w:t>
      </w:r>
      <w:r w:rsidR="000E1B95" w:rsidRPr="00F4112C">
        <w:rPr>
          <w:sz w:val="24"/>
          <w:szCs w:val="24"/>
        </w:rPr>
        <w:t xml:space="preserve">the </w:t>
      </w:r>
      <w:r w:rsidR="00B22DC4" w:rsidRPr="00F4112C">
        <w:rPr>
          <w:sz w:val="24"/>
          <w:szCs w:val="24"/>
        </w:rPr>
        <w:t xml:space="preserve">process.  </w:t>
      </w:r>
    </w:p>
    <w:p w14:paraId="7C3E5D4F" w14:textId="424BC66C" w:rsidR="00B22DC4" w:rsidRPr="009A21D8" w:rsidRDefault="000E1B95" w:rsidP="004277DC">
      <w:pPr>
        <w:rPr>
          <w:sz w:val="24"/>
          <w:szCs w:val="24"/>
        </w:rPr>
      </w:pPr>
      <w:r>
        <w:rPr>
          <w:sz w:val="24"/>
          <w:szCs w:val="24"/>
        </w:rPr>
        <w:t xml:space="preserve">In addition, the Bureau suggests to the operators to submit realistic planned carrier frequencies in the API, with the possibility to modify them within the submitted frequency band during the </w:t>
      </w:r>
      <w:r w:rsidR="006C5713">
        <w:rPr>
          <w:sz w:val="24"/>
          <w:szCs w:val="24"/>
        </w:rPr>
        <w:t>cooperation</w:t>
      </w:r>
      <w:r w:rsidR="00F42B0B">
        <w:rPr>
          <w:sz w:val="24"/>
          <w:szCs w:val="24"/>
        </w:rPr>
        <w:t xml:space="preserve"> </w:t>
      </w:r>
      <w:r>
        <w:rPr>
          <w:sz w:val="24"/>
          <w:szCs w:val="24"/>
        </w:rPr>
        <w:t>process</w:t>
      </w:r>
      <w:r w:rsidR="00F42B0B">
        <w:rPr>
          <w:sz w:val="24"/>
          <w:szCs w:val="24"/>
        </w:rPr>
        <w:t xml:space="preserve"> under </w:t>
      </w:r>
      <w:r w:rsidR="00F42B0B" w:rsidRPr="00F42B0B">
        <w:rPr>
          <w:b/>
          <w:sz w:val="24"/>
          <w:szCs w:val="24"/>
        </w:rPr>
        <w:t>N</w:t>
      </w:r>
      <w:r w:rsidR="00F42B0B" w:rsidRPr="007518B2">
        <w:rPr>
          <w:b/>
          <w:sz w:val="24"/>
          <w:szCs w:val="24"/>
        </w:rPr>
        <w:t>o</w:t>
      </w:r>
      <w:r w:rsidR="00A448CA">
        <w:rPr>
          <w:b/>
          <w:sz w:val="24"/>
          <w:szCs w:val="24"/>
        </w:rPr>
        <w:t>s</w:t>
      </w:r>
      <w:r w:rsidR="00F42B0B" w:rsidRPr="007518B2">
        <w:rPr>
          <w:b/>
          <w:sz w:val="24"/>
          <w:szCs w:val="24"/>
        </w:rPr>
        <w:t>.</w:t>
      </w:r>
      <w:r w:rsidR="00A448CA">
        <w:rPr>
          <w:b/>
          <w:sz w:val="24"/>
          <w:szCs w:val="24"/>
        </w:rPr>
        <w:t xml:space="preserve"> </w:t>
      </w:r>
      <w:r w:rsidR="00F42B0B" w:rsidRPr="007518B2">
        <w:rPr>
          <w:b/>
          <w:sz w:val="24"/>
          <w:szCs w:val="24"/>
        </w:rPr>
        <w:t>9.3</w:t>
      </w:r>
      <w:r w:rsidR="00F42B0B">
        <w:rPr>
          <w:b/>
          <w:sz w:val="24"/>
          <w:szCs w:val="24"/>
        </w:rPr>
        <w:t xml:space="preserve"> </w:t>
      </w:r>
      <w:r w:rsidR="00F42B0B" w:rsidRPr="00F4112C">
        <w:rPr>
          <w:rFonts w:asciiTheme="minorHAnsi" w:hAnsiTheme="minorHAnsi" w:cs="Times New Roman"/>
          <w:sz w:val="24"/>
          <w:szCs w:val="24"/>
          <w:lang w:eastAsia="zh-CN"/>
        </w:rPr>
        <w:t xml:space="preserve">and </w:t>
      </w:r>
      <w:r w:rsidR="00F42B0B" w:rsidRPr="00F4112C">
        <w:rPr>
          <w:rFonts w:asciiTheme="minorHAnsi" w:hAnsiTheme="minorHAnsi" w:cs="Times New Roman"/>
          <w:b/>
          <w:bCs/>
          <w:sz w:val="24"/>
          <w:szCs w:val="24"/>
          <w:lang w:eastAsia="zh-CN"/>
        </w:rPr>
        <w:t>9.4</w:t>
      </w:r>
      <w:r>
        <w:rPr>
          <w:sz w:val="24"/>
          <w:szCs w:val="24"/>
        </w:rPr>
        <w:t xml:space="preserve">. The carrier frequencies resulting from the process can then be submitted as assigned frequencies with a corresponding assigned bandwidth at the time of notification for recording in the Master </w:t>
      </w:r>
      <w:r w:rsidR="004277DC">
        <w:rPr>
          <w:sz w:val="24"/>
          <w:szCs w:val="24"/>
        </w:rPr>
        <w:t xml:space="preserve">International Frequency </w:t>
      </w:r>
      <w:r>
        <w:rPr>
          <w:sz w:val="24"/>
          <w:szCs w:val="24"/>
        </w:rPr>
        <w:t xml:space="preserve">Register. </w:t>
      </w:r>
    </w:p>
    <w:p w14:paraId="7F8E8BBE" w14:textId="1C650039" w:rsidR="002A3CCE" w:rsidRPr="009A21D8" w:rsidRDefault="002A3CCE" w:rsidP="005B440D">
      <w:pPr>
        <w:rPr>
          <w:sz w:val="24"/>
          <w:szCs w:val="24"/>
        </w:rPr>
      </w:pPr>
      <w:r w:rsidRPr="009A21D8">
        <w:rPr>
          <w:sz w:val="24"/>
          <w:szCs w:val="24"/>
        </w:rPr>
        <w:t>Given that the above</w:t>
      </w:r>
      <w:r w:rsidR="009F7156">
        <w:rPr>
          <w:sz w:val="24"/>
          <w:szCs w:val="24"/>
        </w:rPr>
        <w:t>-</w:t>
      </w:r>
      <w:r w:rsidRPr="009A21D8">
        <w:rPr>
          <w:sz w:val="24"/>
          <w:szCs w:val="24"/>
        </w:rPr>
        <w:t>mentioned situation may rais</w:t>
      </w:r>
      <w:r w:rsidR="00556B80">
        <w:rPr>
          <w:sz w:val="24"/>
          <w:szCs w:val="24"/>
        </w:rPr>
        <w:t>e</w:t>
      </w:r>
      <w:r w:rsidRPr="009A21D8">
        <w:rPr>
          <w:sz w:val="24"/>
          <w:szCs w:val="24"/>
        </w:rPr>
        <w:t xml:space="preserve"> </w:t>
      </w:r>
      <w:r w:rsidR="00234DB9">
        <w:rPr>
          <w:sz w:val="24"/>
          <w:szCs w:val="24"/>
        </w:rPr>
        <w:t>conce</w:t>
      </w:r>
      <w:r w:rsidR="00556B80">
        <w:rPr>
          <w:sz w:val="24"/>
          <w:szCs w:val="24"/>
        </w:rPr>
        <w:t xml:space="preserve">rns regarding </w:t>
      </w:r>
      <w:r w:rsidRPr="009A21D8">
        <w:rPr>
          <w:sz w:val="24"/>
          <w:szCs w:val="24"/>
        </w:rPr>
        <w:t xml:space="preserve">the viability of </w:t>
      </w:r>
      <w:r w:rsidR="00F42B0B">
        <w:rPr>
          <w:sz w:val="24"/>
          <w:szCs w:val="24"/>
        </w:rPr>
        <w:t xml:space="preserve">the </w:t>
      </w:r>
      <w:r w:rsidRPr="009A21D8">
        <w:rPr>
          <w:sz w:val="24"/>
          <w:szCs w:val="24"/>
        </w:rPr>
        <w:t xml:space="preserve">space operation </w:t>
      </w:r>
      <w:r w:rsidR="004277DC" w:rsidRPr="009A21D8">
        <w:rPr>
          <w:sz w:val="24"/>
          <w:szCs w:val="24"/>
        </w:rPr>
        <w:t xml:space="preserve">service </w:t>
      </w:r>
      <w:r w:rsidRPr="009A21D8">
        <w:rPr>
          <w:sz w:val="24"/>
          <w:szCs w:val="24"/>
        </w:rPr>
        <w:t xml:space="preserve">in the </w:t>
      </w:r>
      <w:r w:rsidRPr="009A21D8">
        <w:rPr>
          <w:sz w:val="24"/>
          <w:szCs w:val="24"/>
          <w:lang w:eastAsia="zh-CN"/>
        </w:rPr>
        <w:t>bands 2 025-2 110 MHz (</w:t>
      </w:r>
      <w:r w:rsidR="005B440D" w:rsidRPr="00F4112C">
        <w:rPr>
          <w:rFonts w:asciiTheme="minorHAnsi" w:hAnsiTheme="minorHAnsi" w:cs="Times New Roman"/>
          <w:sz w:val="24"/>
          <w:szCs w:val="24"/>
          <w:lang w:eastAsia="zh-CN"/>
        </w:rPr>
        <w:t>Earth-to-space</w:t>
      </w:r>
      <w:r w:rsidRPr="009A21D8">
        <w:rPr>
          <w:sz w:val="24"/>
          <w:szCs w:val="24"/>
          <w:lang w:eastAsia="zh-CN"/>
        </w:rPr>
        <w:t>) and 2 200</w:t>
      </w:r>
      <w:r w:rsidRPr="009A21D8">
        <w:rPr>
          <w:sz w:val="24"/>
          <w:szCs w:val="24"/>
          <w:lang w:eastAsia="zh-CN"/>
        </w:rPr>
        <w:noBreakHyphen/>
        <w:t>2 290 MHz (s</w:t>
      </w:r>
      <w:r w:rsidR="005B440D">
        <w:rPr>
          <w:sz w:val="24"/>
          <w:szCs w:val="24"/>
          <w:lang w:eastAsia="zh-CN"/>
        </w:rPr>
        <w:t>pace</w:t>
      </w:r>
      <w:r w:rsidRPr="009A21D8">
        <w:rPr>
          <w:sz w:val="24"/>
          <w:szCs w:val="24"/>
          <w:lang w:eastAsia="zh-CN"/>
        </w:rPr>
        <w:t>-to-E</w:t>
      </w:r>
      <w:r w:rsidR="005B440D">
        <w:rPr>
          <w:sz w:val="24"/>
          <w:szCs w:val="24"/>
          <w:lang w:eastAsia="zh-CN"/>
        </w:rPr>
        <w:t>arth</w:t>
      </w:r>
      <w:r w:rsidRPr="009A21D8">
        <w:rPr>
          <w:sz w:val="24"/>
          <w:szCs w:val="24"/>
          <w:lang w:eastAsia="zh-CN"/>
        </w:rPr>
        <w:t>)</w:t>
      </w:r>
      <w:r w:rsidRPr="009A21D8">
        <w:rPr>
          <w:sz w:val="24"/>
          <w:szCs w:val="24"/>
        </w:rPr>
        <w:t xml:space="preserve">, I would </w:t>
      </w:r>
      <w:r w:rsidR="00F42B0B">
        <w:rPr>
          <w:sz w:val="24"/>
          <w:szCs w:val="24"/>
        </w:rPr>
        <w:t xml:space="preserve">like to </w:t>
      </w:r>
      <w:r w:rsidRPr="009A21D8">
        <w:rPr>
          <w:sz w:val="24"/>
          <w:szCs w:val="24"/>
        </w:rPr>
        <w:t>invite administrations to pay more attention to the information provided at the API stage for such operation and</w:t>
      </w:r>
      <w:r w:rsidR="009F7156">
        <w:rPr>
          <w:sz w:val="24"/>
          <w:szCs w:val="24"/>
        </w:rPr>
        <w:t xml:space="preserve"> refrain, whenever possible, to use generic parameters in this context</w:t>
      </w:r>
      <w:r w:rsidRPr="009A21D8">
        <w:rPr>
          <w:sz w:val="24"/>
          <w:szCs w:val="24"/>
        </w:rPr>
        <w:t>.</w:t>
      </w:r>
    </w:p>
    <w:p w14:paraId="1A93F588" w14:textId="77777777" w:rsidR="009E6EBB" w:rsidRPr="0074244F" w:rsidRDefault="009E6EBB" w:rsidP="002A3CCE">
      <w:pPr>
        <w:spacing w:before="1418" w:line="240" w:lineRule="auto"/>
        <w:jc w:val="left"/>
        <w:rPr>
          <w:rFonts w:asciiTheme="minorHAnsi" w:hAnsiTheme="minorHAnsi" w:cstheme="minorHAnsi"/>
          <w:sz w:val="24"/>
          <w:szCs w:val="24"/>
        </w:rPr>
      </w:pPr>
      <w:r w:rsidRPr="0074244F">
        <w:rPr>
          <w:rFonts w:asciiTheme="minorHAnsi" w:hAnsiTheme="minorHAnsi" w:cstheme="minorHAnsi"/>
          <w:sz w:val="24"/>
          <w:szCs w:val="24"/>
        </w:rPr>
        <w:t>François Rancy</w:t>
      </w:r>
    </w:p>
    <w:p w14:paraId="393F1F79" w14:textId="3CFE8197"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14:paraId="45A74038" w14:textId="77777777" w:rsidR="009E6EBB" w:rsidRPr="00453D0C" w:rsidRDefault="009E6EBB" w:rsidP="00A62B79">
      <w:pPr>
        <w:spacing w:before="2400" w:line="240" w:lineRule="auto"/>
        <w:jc w:val="left"/>
        <w:rPr>
          <w:rFonts w:asciiTheme="minorHAnsi" w:hAnsiTheme="minorHAnsi" w:cstheme="minorHAnsi"/>
          <w:b/>
          <w:bCs/>
          <w:sz w:val="18"/>
          <w:szCs w:val="18"/>
        </w:rPr>
      </w:pPr>
      <w:r w:rsidRPr="00453D0C">
        <w:rPr>
          <w:rFonts w:asciiTheme="minorHAnsi" w:hAnsiTheme="minorHAnsi" w:cstheme="minorHAnsi"/>
          <w:b/>
          <w:bCs/>
          <w:sz w:val="18"/>
          <w:szCs w:val="18"/>
        </w:rPr>
        <w:t>Distribution:</w:t>
      </w:r>
    </w:p>
    <w:p w14:paraId="6C4EC96F" w14:textId="5EABF277" w:rsidR="009A21D8" w:rsidRPr="00453D0C" w:rsidRDefault="009E6EBB" w:rsidP="00A62B79">
      <w:pPr>
        <w:tabs>
          <w:tab w:val="clear" w:pos="794"/>
          <w:tab w:val="left" w:pos="426"/>
        </w:tabs>
        <w:spacing w:before="0" w:line="240" w:lineRule="auto"/>
        <w:jc w:val="left"/>
        <w:rPr>
          <w:sz w:val="18"/>
          <w:szCs w:val="18"/>
          <w:lang w:val="en-GB"/>
        </w:rPr>
      </w:pPr>
      <w:r w:rsidRPr="00453D0C">
        <w:rPr>
          <w:sz w:val="18"/>
          <w:szCs w:val="18"/>
          <w:lang w:val="en-GB"/>
        </w:rPr>
        <w:t>–</w:t>
      </w:r>
      <w:r w:rsidRPr="00453D0C">
        <w:rPr>
          <w:sz w:val="18"/>
          <w:szCs w:val="18"/>
          <w:lang w:val="en-GB"/>
        </w:rPr>
        <w:tab/>
        <w:t>Administrations of Member States of ITU</w:t>
      </w:r>
      <w:r w:rsidRPr="00453D0C">
        <w:rPr>
          <w:sz w:val="18"/>
          <w:szCs w:val="18"/>
          <w:lang w:val="en-GB"/>
        </w:rPr>
        <w:br/>
        <w:t>–</w:t>
      </w:r>
      <w:r w:rsidRPr="00453D0C">
        <w:rPr>
          <w:sz w:val="18"/>
          <w:szCs w:val="18"/>
          <w:lang w:val="en-GB"/>
        </w:rPr>
        <w:tab/>
        <w:t>Members of the Radio Regulations Board</w:t>
      </w:r>
    </w:p>
    <w:p w14:paraId="2592A342" w14:textId="668E2F21" w:rsidR="009A21D8" w:rsidRDefault="009A21D8" w:rsidP="00A448CA">
      <w:pPr>
        <w:jc w:val="center"/>
      </w:pPr>
    </w:p>
    <w:sectPr w:rsidR="009A21D8" w:rsidSect="00655C3A">
      <w:headerReference w:type="even" r:id="rId8"/>
      <w:headerReference w:type="default" r:id="rId9"/>
      <w:headerReference w:type="first" r:id="rId10"/>
      <w:footerReference w:type="first" r:id="rId11"/>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BAFC5" w14:textId="77777777" w:rsidR="00021E8F" w:rsidRDefault="00021E8F">
      <w:r>
        <w:separator/>
      </w:r>
    </w:p>
  </w:endnote>
  <w:endnote w:type="continuationSeparator" w:id="0">
    <w:p w14:paraId="6181F84E" w14:textId="77777777" w:rsidR="00021E8F" w:rsidRDefault="000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2BF3" w14:textId="77777777" w:rsidR="001C39B7" w:rsidRPr="005224A1" w:rsidRDefault="001C39B7" w:rsidP="00406D71">
    <w:pPr>
      <w:pStyle w:val="FirstFooter"/>
      <w:spacing w:before="0" w:line="240" w:lineRule="auto"/>
      <w:ind w:left="-397" w:right="-397"/>
      <w:rPr>
        <w:sz w:val="20"/>
        <w:szCs w:val="18"/>
      </w:rPr>
    </w:pPr>
  </w:p>
  <w:p w14:paraId="5514C30C" w14:textId="77777777" w:rsidR="00085769" w:rsidRPr="005C4582" w:rsidRDefault="00085769"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14:paraId="188B8A6D" w14:textId="77777777" w:rsidR="009E6EBB" w:rsidRDefault="00085769" w:rsidP="00085769">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p w14:paraId="3C4A3856" w14:textId="77777777" w:rsidR="001C39B7" w:rsidRPr="005E5EB3" w:rsidRDefault="001C39B7" w:rsidP="00ED174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92161" w14:textId="77777777" w:rsidR="00021E8F" w:rsidRDefault="00021E8F">
      <w:r>
        <w:t>____________________</w:t>
      </w:r>
    </w:p>
  </w:footnote>
  <w:footnote w:type="continuationSeparator" w:id="0">
    <w:p w14:paraId="5846F759" w14:textId="77777777" w:rsidR="00021E8F" w:rsidRDefault="00021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8E38" w14:textId="77777777" w:rsidR="001C39B7" w:rsidRPr="000D79FA" w:rsidRDefault="001C39B7" w:rsidP="0096032F">
    <w:pPr>
      <w:pStyle w:val="Header"/>
      <w:jc w:val="center"/>
      <w:rPr>
        <w:sz w:val="18"/>
        <w:szCs w:val="18"/>
      </w:rPr>
    </w:pP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0B3571">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B300" w14:textId="77777777" w:rsidR="001C39B7" w:rsidRPr="000D79FA" w:rsidRDefault="001C39B7">
    <w:pPr>
      <w:pStyle w:val="Header"/>
      <w:rPr>
        <w:sz w:val="18"/>
        <w:szCs w:val="18"/>
      </w:rPr>
    </w:pPr>
    <w:r>
      <w:tab/>
    </w:r>
    <w:r>
      <w:tab/>
    </w:r>
    <w:r w:rsidR="00165B3D"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7518B2">
      <w:rPr>
        <w:noProof/>
        <w:sz w:val="18"/>
        <w:szCs w:val="18"/>
      </w:rPr>
      <w:t>3</w:t>
    </w:r>
    <w:r w:rsidRPr="000D79FA">
      <w:rPr>
        <w:sz w:val="18"/>
        <w:szCs w:val="18"/>
      </w:rPr>
      <w:fldChar w:fldCharType="end"/>
    </w:r>
    <w:r w:rsidR="00165B3D"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85769" w14:paraId="5C1AC704" w14:textId="77777777" w:rsidTr="009A21D8">
      <w:trPr>
        <w:jc w:val="center"/>
      </w:trPr>
      <w:tc>
        <w:tcPr>
          <w:tcW w:w="4889" w:type="dxa"/>
        </w:tcPr>
        <w:p w14:paraId="023FD790" w14:textId="77777777" w:rsidR="00085769" w:rsidRDefault="00085769" w:rsidP="00085769">
          <w:pPr>
            <w:pStyle w:val="Header"/>
            <w:tabs>
              <w:tab w:val="clear" w:pos="794"/>
              <w:tab w:val="clear" w:pos="4820"/>
            </w:tabs>
            <w:spacing w:before="120" w:line="360" w:lineRule="auto"/>
          </w:pPr>
          <w:r>
            <w:rPr>
              <w:b/>
              <w:bCs/>
              <w:noProof/>
              <w:lang w:eastAsia="zh-CN"/>
            </w:rPr>
            <w:drawing>
              <wp:inline distT="0" distB="0" distL="0" distR="0" wp14:anchorId="21B35EDD" wp14:editId="794B0685">
                <wp:extent cx="579396"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14:paraId="663D6363" w14:textId="77777777" w:rsidR="00085769" w:rsidRDefault="00085769" w:rsidP="00085769">
          <w:pPr>
            <w:pStyle w:val="Header"/>
            <w:tabs>
              <w:tab w:val="clear" w:pos="794"/>
              <w:tab w:val="clear" w:pos="4820"/>
            </w:tabs>
            <w:spacing w:line="360" w:lineRule="auto"/>
            <w:jc w:val="right"/>
          </w:pPr>
          <w:r w:rsidRPr="00A03501">
            <w:rPr>
              <w:noProof/>
              <w:lang w:eastAsia="zh-CN"/>
            </w:rPr>
            <w:drawing>
              <wp:inline distT="0" distB="0" distL="0" distR="0" wp14:anchorId="4E460C09" wp14:editId="704888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14:paraId="0A51D8E5" w14:textId="77777777" w:rsidR="001C39B7" w:rsidRPr="00EA15B3" w:rsidRDefault="001C39B7" w:rsidP="00B82BAA">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6C3A36"/>
    <w:multiLevelType w:val="hybridMultilevel"/>
    <w:tmpl w:val="C37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24196"/>
    <w:multiLevelType w:val="hybridMultilevel"/>
    <w:tmpl w:val="2ABE06A0"/>
    <w:lvl w:ilvl="0" w:tplc="908CB416">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764B"/>
    <w:rsid w:val="00021E8F"/>
    <w:rsid w:val="00026CF8"/>
    <w:rsid w:val="00031E64"/>
    <w:rsid w:val="000333D2"/>
    <w:rsid w:val="00035D5B"/>
    <w:rsid w:val="0004025B"/>
    <w:rsid w:val="00047C98"/>
    <w:rsid w:val="00051709"/>
    <w:rsid w:val="000525B6"/>
    <w:rsid w:val="00054E5D"/>
    <w:rsid w:val="00070258"/>
    <w:rsid w:val="0007323C"/>
    <w:rsid w:val="000846CD"/>
    <w:rsid w:val="00085769"/>
    <w:rsid w:val="00086D03"/>
    <w:rsid w:val="00090BCC"/>
    <w:rsid w:val="000A7051"/>
    <w:rsid w:val="000B0032"/>
    <w:rsid w:val="000B0AF6"/>
    <w:rsid w:val="000B0E9B"/>
    <w:rsid w:val="000B3571"/>
    <w:rsid w:val="000B6635"/>
    <w:rsid w:val="000C03C7"/>
    <w:rsid w:val="000C10EF"/>
    <w:rsid w:val="000D79FA"/>
    <w:rsid w:val="000E1B95"/>
    <w:rsid w:val="000E2420"/>
    <w:rsid w:val="000E3DEE"/>
    <w:rsid w:val="000F11E5"/>
    <w:rsid w:val="00100B72"/>
    <w:rsid w:val="00101F7D"/>
    <w:rsid w:val="00103C76"/>
    <w:rsid w:val="0011265F"/>
    <w:rsid w:val="0011553E"/>
    <w:rsid w:val="00117282"/>
    <w:rsid w:val="00126AE4"/>
    <w:rsid w:val="00131779"/>
    <w:rsid w:val="0013188D"/>
    <w:rsid w:val="00132E06"/>
    <w:rsid w:val="00134404"/>
    <w:rsid w:val="00144DFB"/>
    <w:rsid w:val="00151DDC"/>
    <w:rsid w:val="00154BF4"/>
    <w:rsid w:val="00164BE0"/>
    <w:rsid w:val="00165B3D"/>
    <w:rsid w:val="00184F53"/>
    <w:rsid w:val="00187CA3"/>
    <w:rsid w:val="00196710"/>
    <w:rsid w:val="00197324"/>
    <w:rsid w:val="001B351B"/>
    <w:rsid w:val="001C06DB"/>
    <w:rsid w:val="001C39B7"/>
    <w:rsid w:val="001D4E1D"/>
    <w:rsid w:val="001D7070"/>
    <w:rsid w:val="001E07B8"/>
    <w:rsid w:val="001E3EAA"/>
    <w:rsid w:val="001F3F48"/>
    <w:rsid w:val="001F5A49"/>
    <w:rsid w:val="002004E7"/>
    <w:rsid w:val="00201097"/>
    <w:rsid w:val="00201B6E"/>
    <w:rsid w:val="002302B3"/>
    <w:rsid w:val="00230C66"/>
    <w:rsid w:val="00234DB9"/>
    <w:rsid w:val="00235A29"/>
    <w:rsid w:val="002443A2"/>
    <w:rsid w:val="00245E80"/>
    <w:rsid w:val="00246097"/>
    <w:rsid w:val="00257A19"/>
    <w:rsid w:val="00261D5F"/>
    <w:rsid w:val="00273699"/>
    <w:rsid w:val="00274AEA"/>
    <w:rsid w:val="002861E6"/>
    <w:rsid w:val="00287D18"/>
    <w:rsid w:val="00295CF8"/>
    <w:rsid w:val="002A17C1"/>
    <w:rsid w:val="002A2618"/>
    <w:rsid w:val="002A3CCE"/>
    <w:rsid w:val="002A6FCE"/>
    <w:rsid w:val="002D01C2"/>
    <w:rsid w:val="002D585E"/>
    <w:rsid w:val="002D5A15"/>
    <w:rsid w:val="002D5BDD"/>
    <w:rsid w:val="002E3D27"/>
    <w:rsid w:val="002E5BED"/>
    <w:rsid w:val="002F0890"/>
    <w:rsid w:val="002F0A0D"/>
    <w:rsid w:val="002F2531"/>
    <w:rsid w:val="002F4967"/>
    <w:rsid w:val="00300DB9"/>
    <w:rsid w:val="00316935"/>
    <w:rsid w:val="00327A42"/>
    <w:rsid w:val="003370B8"/>
    <w:rsid w:val="00337C74"/>
    <w:rsid w:val="00345D38"/>
    <w:rsid w:val="00362140"/>
    <w:rsid w:val="003666FF"/>
    <w:rsid w:val="003A1F49"/>
    <w:rsid w:val="003B02DF"/>
    <w:rsid w:val="003B2BDA"/>
    <w:rsid w:val="003B55EC"/>
    <w:rsid w:val="003C4471"/>
    <w:rsid w:val="003E41DB"/>
    <w:rsid w:val="003E504F"/>
    <w:rsid w:val="003E78D6"/>
    <w:rsid w:val="003F6A1B"/>
    <w:rsid w:val="00406D71"/>
    <w:rsid w:val="004277DC"/>
    <w:rsid w:val="00432465"/>
    <w:rsid w:val="004326DB"/>
    <w:rsid w:val="0043682E"/>
    <w:rsid w:val="00447ECB"/>
    <w:rsid w:val="00453D0C"/>
    <w:rsid w:val="004575EB"/>
    <w:rsid w:val="004623F7"/>
    <w:rsid w:val="00463512"/>
    <w:rsid w:val="00463CE7"/>
    <w:rsid w:val="0047245B"/>
    <w:rsid w:val="00480F51"/>
    <w:rsid w:val="00480FE5"/>
    <w:rsid w:val="00481124"/>
    <w:rsid w:val="004815EB"/>
    <w:rsid w:val="004853AD"/>
    <w:rsid w:val="00487569"/>
    <w:rsid w:val="004951F8"/>
    <w:rsid w:val="00496864"/>
    <w:rsid w:val="00496920"/>
    <w:rsid w:val="004A4496"/>
    <w:rsid w:val="004B11AB"/>
    <w:rsid w:val="004B7C9A"/>
    <w:rsid w:val="004C13E7"/>
    <w:rsid w:val="004C6779"/>
    <w:rsid w:val="004D4ED0"/>
    <w:rsid w:val="004E0DC4"/>
    <w:rsid w:val="004E0FB5"/>
    <w:rsid w:val="004E3E8F"/>
    <w:rsid w:val="004E43BB"/>
    <w:rsid w:val="004F1016"/>
    <w:rsid w:val="004F178E"/>
    <w:rsid w:val="00502EE5"/>
    <w:rsid w:val="00505309"/>
    <w:rsid w:val="0050789B"/>
    <w:rsid w:val="00512C49"/>
    <w:rsid w:val="00520189"/>
    <w:rsid w:val="005224A1"/>
    <w:rsid w:val="00525FF8"/>
    <w:rsid w:val="00534372"/>
    <w:rsid w:val="0053796C"/>
    <w:rsid w:val="00541C5B"/>
    <w:rsid w:val="00543DF8"/>
    <w:rsid w:val="0054475A"/>
    <w:rsid w:val="00546101"/>
    <w:rsid w:val="005530B1"/>
    <w:rsid w:val="00553DD7"/>
    <w:rsid w:val="00556B80"/>
    <w:rsid w:val="00557EBF"/>
    <w:rsid w:val="005603E2"/>
    <w:rsid w:val="005638CF"/>
    <w:rsid w:val="0056741E"/>
    <w:rsid w:val="0057325A"/>
    <w:rsid w:val="0057469A"/>
    <w:rsid w:val="00580814"/>
    <w:rsid w:val="00583ECD"/>
    <w:rsid w:val="00586DD6"/>
    <w:rsid w:val="005A03A3"/>
    <w:rsid w:val="005A2AAA"/>
    <w:rsid w:val="005A2B92"/>
    <w:rsid w:val="005A6F41"/>
    <w:rsid w:val="005A79E9"/>
    <w:rsid w:val="005B214C"/>
    <w:rsid w:val="005B440D"/>
    <w:rsid w:val="005C3112"/>
    <w:rsid w:val="005D3669"/>
    <w:rsid w:val="005E5EB3"/>
    <w:rsid w:val="005F3CB6"/>
    <w:rsid w:val="005F588D"/>
    <w:rsid w:val="005F657C"/>
    <w:rsid w:val="00602D53"/>
    <w:rsid w:val="006047E5"/>
    <w:rsid w:val="00637CAB"/>
    <w:rsid w:val="006402E9"/>
    <w:rsid w:val="00642299"/>
    <w:rsid w:val="0064371D"/>
    <w:rsid w:val="00650B2A"/>
    <w:rsid w:val="00651777"/>
    <w:rsid w:val="006550F8"/>
    <w:rsid w:val="00655A02"/>
    <w:rsid w:val="00655C3A"/>
    <w:rsid w:val="00657F12"/>
    <w:rsid w:val="00684EE0"/>
    <w:rsid w:val="00690A1B"/>
    <w:rsid w:val="006961E4"/>
    <w:rsid w:val="006A115B"/>
    <w:rsid w:val="006A49DC"/>
    <w:rsid w:val="006A518B"/>
    <w:rsid w:val="006A6A97"/>
    <w:rsid w:val="006B0590"/>
    <w:rsid w:val="006B49DA"/>
    <w:rsid w:val="006C5713"/>
    <w:rsid w:val="006C7CDE"/>
    <w:rsid w:val="006F1A35"/>
    <w:rsid w:val="006F72B3"/>
    <w:rsid w:val="00702BBE"/>
    <w:rsid w:val="007234B1"/>
    <w:rsid w:val="00727816"/>
    <w:rsid w:val="00730B9A"/>
    <w:rsid w:val="0074244F"/>
    <w:rsid w:val="00742E77"/>
    <w:rsid w:val="00750CFA"/>
    <w:rsid w:val="00751217"/>
    <w:rsid w:val="007518B2"/>
    <w:rsid w:val="00754007"/>
    <w:rsid w:val="007553DA"/>
    <w:rsid w:val="00763E18"/>
    <w:rsid w:val="0077544F"/>
    <w:rsid w:val="00782354"/>
    <w:rsid w:val="007921A7"/>
    <w:rsid w:val="007A7AB6"/>
    <w:rsid w:val="007B26FA"/>
    <w:rsid w:val="007B3DB1"/>
    <w:rsid w:val="007B7498"/>
    <w:rsid w:val="007D183E"/>
    <w:rsid w:val="007D55ED"/>
    <w:rsid w:val="007D6846"/>
    <w:rsid w:val="007E1833"/>
    <w:rsid w:val="007E3F13"/>
    <w:rsid w:val="007E54D8"/>
    <w:rsid w:val="007F2ED9"/>
    <w:rsid w:val="007F4C50"/>
    <w:rsid w:val="007F751A"/>
    <w:rsid w:val="00800012"/>
    <w:rsid w:val="00803594"/>
    <w:rsid w:val="008143A4"/>
    <w:rsid w:val="0081513E"/>
    <w:rsid w:val="00827FDD"/>
    <w:rsid w:val="008366B5"/>
    <w:rsid w:val="00852EC3"/>
    <w:rsid w:val="00854131"/>
    <w:rsid w:val="0085652D"/>
    <w:rsid w:val="00861A14"/>
    <w:rsid w:val="0087694B"/>
    <w:rsid w:val="008871A4"/>
    <w:rsid w:val="0089578B"/>
    <w:rsid w:val="008B7BE5"/>
    <w:rsid w:val="008C0966"/>
    <w:rsid w:val="008C2E74"/>
    <w:rsid w:val="008D5409"/>
    <w:rsid w:val="008E006D"/>
    <w:rsid w:val="008E7C36"/>
    <w:rsid w:val="008F4F21"/>
    <w:rsid w:val="00904D4A"/>
    <w:rsid w:val="00913693"/>
    <w:rsid w:val="009151BA"/>
    <w:rsid w:val="00925023"/>
    <w:rsid w:val="009277BC"/>
    <w:rsid w:val="00927D57"/>
    <w:rsid w:val="00931A51"/>
    <w:rsid w:val="009323DA"/>
    <w:rsid w:val="00947185"/>
    <w:rsid w:val="0095172E"/>
    <w:rsid w:val="0096032F"/>
    <w:rsid w:val="00963D9D"/>
    <w:rsid w:val="00975D6F"/>
    <w:rsid w:val="0098013E"/>
    <w:rsid w:val="00981B54"/>
    <w:rsid w:val="00982041"/>
    <w:rsid w:val="009842C3"/>
    <w:rsid w:val="009A009A"/>
    <w:rsid w:val="009A21D8"/>
    <w:rsid w:val="009A2B0B"/>
    <w:rsid w:val="009A59CA"/>
    <w:rsid w:val="009A6BB6"/>
    <w:rsid w:val="009B3F43"/>
    <w:rsid w:val="009B5CFA"/>
    <w:rsid w:val="009C161F"/>
    <w:rsid w:val="009C3038"/>
    <w:rsid w:val="009C56B4"/>
    <w:rsid w:val="009D15A0"/>
    <w:rsid w:val="009D51A2"/>
    <w:rsid w:val="009E04A8"/>
    <w:rsid w:val="009E4AEC"/>
    <w:rsid w:val="009E5BD8"/>
    <w:rsid w:val="009E681E"/>
    <w:rsid w:val="009E6EBB"/>
    <w:rsid w:val="009F70E5"/>
    <w:rsid w:val="009F7156"/>
    <w:rsid w:val="00A02280"/>
    <w:rsid w:val="00A10269"/>
    <w:rsid w:val="00A119E6"/>
    <w:rsid w:val="00A23C95"/>
    <w:rsid w:val="00A24A6F"/>
    <w:rsid w:val="00A31370"/>
    <w:rsid w:val="00A340D6"/>
    <w:rsid w:val="00A34963"/>
    <w:rsid w:val="00A34D6F"/>
    <w:rsid w:val="00A35635"/>
    <w:rsid w:val="00A41F91"/>
    <w:rsid w:val="00A442A8"/>
    <w:rsid w:val="00A448CA"/>
    <w:rsid w:val="00A600CA"/>
    <w:rsid w:val="00A62B79"/>
    <w:rsid w:val="00A700B7"/>
    <w:rsid w:val="00A75CA2"/>
    <w:rsid w:val="00A82972"/>
    <w:rsid w:val="00A963DF"/>
    <w:rsid w:val="00AB10BE"/>
    <w:rsid w:val="00AC3896"/>
    <w:rsid w:val="00AD7647"/>
    <w:rsid w:val="00AE2D88"/>
    <w:rsid w:val="00AE6F6F"/>
    <w:rsid w:val="00AF3325"/>
    <w:rsid w:val="00AF34D9"/>
    <w:rsid w:val="00AF48DD"/>
    <w:rsid w:val="00AF70DA"/>
    <w:rsid w:val="00B019D3"/>
    <w:rsid w:val="00B161BD"/>
    <w:rsid w:val="00B22DC4"/>
    <w:rsid w:val="00B34CF9"/>
    <w:rsid w:val="00B37559"/>
    <w:rsid w:val="00B50A49"/>
    <w:rsid w:val="00B579B0"/>
    <w:rsid w:val="00B7724A"/>
    <w:rsid w:val="00B82BAA"/>
    <w:rsid w:val="00B84B68"/>
    <w:rsid w:val="00B90C45"/>
    <w:rsid w:val="00B90E12"/>
    <w:rsid w:val="00B933BE"/>
    <w:rsid w:val="00BA5BB2"/>
    <w:rsid w:val="00BA6B29"/>
    <w:rsid w:val="00BB6557"/>
    <w:rsid w:val="00BD4FB4"/>
    <w:rsid w:val="00BD64F8"/>
    <w:rsid w:val="00BD6738"/>
    <w:rsid w:val="00BD7E5E"/>
    <w:rsid w:val="00BE197D"/>
    <w:rsid w:val="00BE6574"/>
    <w:rsid w:val="00BF4856"/>
    <w:rsid w:val="00C126C5"/>
    <w:rsid w:val="00C16FD2"/>
    <w:rsid w:val="00C22F0D"/>
    <w:rsid w:val="00C22F61"/>
    <w:rsid w:val="00C24730"/>
    <w:rsid w:val="00C45521"/>
    <w:rsid w:val="00C47CF9"/>
    <w:rsid w:val="00C47FFD"/>
    <w:rsid w:val="00C578CB"/>
    <w:rsid w:val="00C57E2C"/>
    <w:rsid w:val="00C608B7"/>
    <w:rsid w:val="00C66F24"/>
    <w:rsid w:val="00C80B37"/>
    <w:rsid w:val="00C813AA"/>
    <w:rsid w:val="00C826DF"/>
    <w:rsid w:val="00C9291E"/>
    <w:rsid w:val="00C97A94"/>
    <w:rsid w:val="00CA3F44"/>
    <w:rsid w:val="00CA4E58"/>
    <w:rsid w:val="00CB3771"/>
    <w:rsid w:val="00CB44BF"/>
    <w:rsid w:val="00CB5153"/>
    <w:rsid w:val="00CB6925"/>
    <w:rsid w:val="00CC12DA"/>
    <w:rsid w:val="00CE076A"/>
    <w:rsid w:val="00CE463D"/>
    <w:rsid w:val="00CF2A15"/>
    <w:rsid w:val="00D05B3E"/>
    <w:rsid w:val="00D06CD0"/>
    <w:rsid w:val="00D10BA0"/>
    <w:rsid w:val="00D21132"/>
    <w:rsid w:val="00D24782"/>
    <w:rsid w:val="00D24EB5"/>
    <w:rsid w:val="00D30D33"/>
    <w:rsid w:val="00D35AB9"/>
    <w:rsid w:val="00D41571"/>
    <w:rsid w:val="00D416A0"/>
    <w:rsid w:val="00D42488"/>
    <w:rsid w:val="00D47672"/>
    <w:rsid w:val="00D5123C"/>
    <w:rsid w:val="00D55560"/>
    <w:rsid w:val="00D61C5A"/>
    <w:rsid w:val="00D733F5"/>
    <w:rsid w:val="00D82221"/>
    <w:rsid w:val="00D843D3"/>
    <w:rsid w:val="00D87E20"/>
    <w:rsid w:val="00D95B7A"/>
    <w:rsid w:val="00D97139"/>
    <w:rsid w:val="00DA31C1"/>
    <w:rsid w:val="00DC284D"/>
    <w:rsid w:val="00DD0EF9"/>
    <w:rsid w:val="00DE31F9"/>
    <w:rsid w:val="00DE66A5"/>
    <w:rsid w:val="00DF2B50"/>
    <w:rsid w:val="00DF4325"/>
    <w:rsid w:val="00DF4B44"/>
    <w:rsid w:val="00DF58E9"/>
    <w:rsid w:val="00E01280"/>
    <w:rsid w:val="00E03D73"/>
    <w:rsid w:val="00E04C86"/>
    <w:rsid w:val="00E20F30"/>
    <w:rsid w:val="00E2189C"/>
    <w:rsid w:val="00E2337D"/>
    <w:rsid w:val="00E25BB1"/>
    <w:rsid w:val="00E27BBA"/>
    <w:rsid w:val="00E35279"/>
    <w:rsid w:val="00E35E8F"/>
    <w:rsid w:val="00E36078"/>
    <w:rsid w:val="00E414C6"/>
    <w:rsid w:val="00E41CDA"/>
    <w:rsid w:val="00E428AB"/>
    <w:rsid w:val="00E438E8"/>
    <w:rsid w:val="00E453A3"/>
    <w:rsid w:val="00E51751"/>
    <w:rsid w:val="00E520E2"/>
    <w:rsid w:val="00E64254"/>
    <w:rsid w:val="00E77BED"/>
    <w:rsid w:val="00E80D04"/>
    <w:rsid w:val="00E863ED"/>
    <w:rsid w:val="00E915AF"/>
    <w:rsid w:val="00E9622B"/>
    <w:rsid w:val="00E96415"/>
    <w:rsid w:val="00EA15B3"/>
    <w:rsid w:val="00EA2DF7"/>
    <w:rsid w:val="00EB2358"/>
    <w:rsid w:val="00EB3EB8"/>
    <w:rsid w:val="00EC02FE"/>
    <w:rsid w:val="00EC0880"/>
    <w:rsid w:val="00ED1745"/>
    <w:rsid w:val="00F07E51"/>
    <w:rsid w:val="00F339C1"/>
    <w:rsid w:val="00F37853"/>
    <w:rsid w:val="00F4112C"/>
    <w:rsid w:val="00F424BF"/>
    <w:rsid w:val="00F42B0B"/>
    <w:rsid w:val="00F46107"/>
    <w:rsid w:val="00F468C5"/>
    <w:rsid w:val="00F52F39"/>
    <w:rsid w:val="00F53DA0"/>
    <w:rsid w:val="00F7057E"/>
    <w:rsid w:val="00F84A3B"/>
    <w:rsid w:val="00F914DD"/>
    <w:rsid w:val="00F93E4F"/>
    <w:rsid w:val="00FA2358"/>
    <w:rsid w:val="00FA7867"/>
    <w:rsid w:val="00FB2592"/>
    <w:rsid w:val="00FB2810"/>
    <w:rsid w:val="00FC2947"/>
    <w:rsid w:val="00FC3BFE"/>
    <w:rsid w:val="00FE0818"/>
    <w:rsid w:val="00FE593A"/>
    <w:rsid w:val="00FE75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A242FA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customStyle="1" w:styleId="Reasons">
    <w:name w:val="Reasons"/>
    <w:basedOn w:val="Normal"/>
    <w:qFormat/>
    <w:rsid w:val="009A2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Revision">
    <w:name w:val="Revision"/>
    <w:hidden/>
    <w:uiPriority w:val="99"/>
    <w:semiHidden/>
    <w:rsid w:val="00C578C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3281">
      <w:bodyDiv w:val="1"/>
      <w:marLeft w:val="0"/>
      <w:marRight w:val="0"/>
      <w:marTop w:val="0"/>
      <w:marBottom w:val="0"/>
      <w:divBdr>
        <w:top w:val="none" w:sz="0" w:space="0" w:color="auto"/>
        <w:left w:val="none" w:sz="0" w:space="0" w:color="auto"/>
        <w:bottom w:val="none" w:sz="0" w:space="0" w:color="auto"/>
        <w:right w:val="none" w:sz="0" w:space="0" w:color="auto"/>
      </w:divBdr>
    </w:div>
    <w:div w:id="624775863">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E733-1054-4148-8F10-FB2BDF3A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17</TotalTime>
  <Pages>2</Pages>
  <Words>723</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4709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Capdessus, Isabelle</cp:lastModifiedBy>
  <cp:revision>8</cp:revision>
  <cp:lastPrinted>2017-08-23T08:40:00Z</cp:lastPrinted>
  <dcterms:created xsi:type="dcterms:W3CDTF">2017-08-23T09:00:00Z</dcterms:created>
  <dcterms:modified xsi:type="dcterms:W3CDTF">2017-08-30T13:52:00Z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