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jc w:val="center"/>
        <w:tblLayout w:type="fixed"/>
        <w:tblLook w:val="04A0" w:firstRow="1" w:lastRow="0" w:firstColumn="1" w:lastColumn="0" w:noHBand="0" w:noVBand="1"/>
      </w:tblPr>
      <w:tblGrid>
        <w:gridCol w:w="1418"/>
        <w:gridCol w:w="5494"/>
        <w:gridCol w:w="2835"/>
      </w:tblGrid>
      <w:tr w:rsidR="00E53DCE" w:rsidRPr="007B3DB1" w:rsidTr="00C95935">
        <w:trPr>
          <w:jc w:val="center"/>
        </w:trPr>
        <w:tc>
          <w:tcPr>
            <w:tcW w:w="9747" w:type="dxa"/>
            <w:gridSpan w:val="3"/>
            <w:shd w:val="clear" w:color="auto" w:fill="auto"/>
          </w:tcPr>
          <w:p w:rsidR="007C5400" w:rsidRPr="00FE356D" w:rsidRDefault="007C5400" w:rsidP="00FE356D">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rsidTr="00C95935">
        <w:trPr>
          <w:jc w:val="center"/>
        </w:trPr>
        <w:tc>
          <w:tcPr>
            <w:tcW w:w="6912" w:type="dxa"/>
            <w:gridSpan w:val="2"/>
            <w:shd w:val="clear" w:color="auto" w:fill="auto"/>
          </w:tcPr>
          <w:p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rsidR="00E53DCE" w:rsidRPr="00334544" w:rsidRDefault="00930641" w:rsidP="00AD17A2">
            <w:pPr>
              <w:spacing w:before="0"/>
              <w:jc w:val="left"/>
              <w:rPr>
                <w:b/>
                <w:bCs/>
                <w:szCs w:val="24"/>
                <w:lang w:val="fr-CH"/>
              </w:rPr>
            </w:pPr>
            <w:r>
              <w:rPr>
                <w:rFonts w:cstheme="majorBidi"/>
                <w:b/>
                <w:bCs/>
                <w:szCs w:val="24"/>
                <w:lang w:val="fr-CH"/>
              </w:rPr>
              <w:t>CR/</w:t>
            </w:r>
            <w:r w:rsidR="00A46693">
              <w:rPr>
                <w:rFonts w:cstheme="majorBidi"/>
                <w:b/>
                <w:bCs/>
                <w:szCs w:val="24"/>
                <w:lang w:val="fr-CH"/>
              </w:rPr>
              <w:t>438</w:t>
            </w:r>
          </w:p>
        </w:tc>
        <w:tc>
          <w:tcPr>
            <w:tcW w:w="2835" w:type="dxa"/>
            <w:shd w:val="clear" w:color="auto" w:fill="auto"/>
          </w:tcPr>
          <w:p w:rsidR="00E53DCE" w:rsidRPr="00334544" w:rsidRDefault="009C6A12" w:rsidP="006D540E">
            <w:pPr>
              <w:tabs>
                <w:tab w:val="clear" w:pos="1985"/>
              </w:tabs>
              <w:spacing w:before="0"/>
              <w:ind w:left="-216" w:right="-142" w:firstLine="142"/>
              <w:jc w:val="right"/>
              <w:rPr>
                <w:szCs w:val="24"/>
                <w:lang w:val="en-GB"/>
              </w:rPr>
            </w:pPr>
            <w:r w:rsidRPr="00334544">
              <w:rPr>
                <w:szCs w:val="24"/>
                <w:lang w:eastAsia="zh-CN"/>
              </w:rPr>
              <w:t>20</w:t>
            </w:r>
            <w:r w:rsidRPr="00334544">
              <w:rPr>
                <w:rFonts w:hint="eastAsia"/>
                <w:szCs w:val="24"/>
                <w:lang w:eastAsia="zh-CN"/>
              </w:rPr>
              <w:t>1</w:t>
            </w:r>
            <w:r w:rsidR="00146E74">
              <w:rPr>
                <w:szCs w:val="24"/>
                <w:lang w:eastAsia="zh-CN"/>
              </w:rPr>
              <w:t>8</w:t>
            </w:r>
            <w:r w:rsidRPr="00334544">
              <w:rPr>
                <w:rFonts w:ascii="SimSun" w:hAnsi="SimSun" w:hint="eastAsia"/>
                <w:szCs w:val="24"/>
                <w:lang w:eastAsia="zh-CN"/>
              </w:rPr>
              <w:t>年</w:t>
            </w:r>
            <w:r w:rsidR="00146E74">
              <w:rPr>
                <w:szCs w:val="24"/>
                <w:lang w:eastAsia="zh-CN"/>
              </w:rPr>
              <w:t>1</w:t>
            </w:r>
            <w:r w:rsidR="009F4640">
              <w:rPr>
                <w:szCs w:val="24"/>
                <w:lang w:eastAsia="zh-CN"/>
              </w:rPr>
              <w:t>2</w:t>
            </w:r>
            <w:r w:rsidRPr="00334544">
              <w:rPr>
                <w:rFonts w:ascii="SimSun" w:hAnsi="SimSun" w:hint="eastAsia"/>
                <w:szCs w:val="24"/>
                <w:lang w:eastAsia="zh-CN"/>
              </w:rPr>
              <w:t>月</w:t>
            </w:r>
            <w:r w:rsidR="00280F1B">
              <w:rPr>
                <w:szCs w:val="24"/>
                <w:lang w:eastAsia="zh-CN"/>
              </w:rPr>
              <w:t>10</w:t>
            </w:r>
            <w:bookmarkStart w:id="0" w:name="_GoBack"/>
            <w:bookmarkEnd w:id="0"/>
            <w:r w:rsidRPr="00334544">
              <w:rPr>
                <w:rFonts w:hint="eastAsia"/>
                <w:szCs w:val="24"/>
                <w:lang w:eastAsia="zh-CN"/>
              </w:rPr>
              <w:t>日</w:t>
            </w:r>
            <w:r w:rsidR="00685A87">
              <w:rPr>
                <w:rFonts w:hint="eastAsia"/>
                <w:szCs w:val="24"/>
                <w:lang w:eastAsia="zh-CN"/>
              </w:rPr>
              <w:t>，日内瓦</w:t>
            </w:r>
          </w:p>
        </w:tc>
      </w:tr>
      <w:tr w:rsidR="00E53DCE" w:rsidRPr="00334544" w:rsidTr="00C95935">
        <w:trPr>
          <w:jc w:val="center"/>
        </w:trPr>
        <w:tc>
          <w:tcPr>
            <w:tcW w:w="9747" w:type="dxa"/>
            <w:gridSpan w:val="3"/>
            <w:shd w:val="clear" w:color="auto" w:fill="auto"/>
          </w:tcPr>
          <w:p w:rsidR="00E53DCE" w:rsidRPr="00334544" w:rsidRDefault="00E53DCE" w:rsidP="00B774CC">
            <w:pPr>
              <w:spacing w:before="0"/>
              <w:jc w:val="left"/>
              <w:rPr>
                <w:rFonts w:cs="Arial"/>
                <w:szCs w:val="24"/>
                <w:lang w:val="en-GB"/>
              </w:rPr>
            </w:pPr>
          </w:p>
        </w:tc>
      </w:tr>
      <w:tr w:rsidR="00E53DCE" w:rsidRPr="00334544" w:rsidTr="00C95935">
        <w:trPr>
          <w:jc w:val="center"/>
        </w:trPr>
        <w:tc>
          <w:tcPr>
            <w:tcW w:w="9747" w:type="dxa"/>
            <w:gridSpan w:val="3"/>
            <w:shd w:val="clear" w:color="auto" w:fill="auto"/>
          </w:tcPr>
          <w:p w:rsidR="00E53DCE" w:rsidRPr="00334544" w:rsidRDefault="00E53DCE" w:rsidP="00B774CC">
            <w:pPr>
              <w:spacing w:before="0"/>
              <w:jc w:val="left"/>
              <w:rPr>
                <w:szCs w:val="24"/>
              </w:rPr>
            </w:pPr>
          </w:p>
        </w:tc>
      </w:tr>
      <w:tr w:rsidR="00E53DCE" w:rsidRPr="00334544" w:rsidTr="00C95935">
        <w:trPr>
          <w:jc w:val="center"/>
        </w:trPr>
        <w:tc>
          <w:tcPr>
            <w:tcW w:w="9747" w:type="dxa"/>
            <w:gridSpan w:val="3"/>
            <w:shd w:val="clear" w:color="auto" w:fill="auto"/>
          </w:tcPr>
          <w:p w:rsidR="00E53DCE" w:rsidRDefault="00D631CE" w:rsidP="00B774CC">
            <w:pPr>
              <w:spacing w:before="0"/>
              <w:jc w:val="left"/>
              <w:rPr>
                <w:rFonts w:ascii="SimSun" w:eastAsia="SimSun" w:hAnsi="SimSun"/>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3F3241" w:rsidRPr="00334544" w:rsidRDefault="003F3241" w:rsidP="00B774CC">
            <w:pPr>
              <w:spacing w:before="0"/>
              <w:jc w:val="left"/>
              <w:rPr>
                <w:b/>
                <w:bCs/>
                <w:szCs w:val="24"/>
                <w:lang w:eastAsia="zh-CN"/>
              </w:rPr>
            </w:pPr>
          </w:p>
          <w:p w:rsidR="00E53DCE" w:rsidRPr="00334544" w:rsidRDefault="00E53DCE" w:rsidP="00B774CC">
            <w:pPr>
              <w:spacing w:before="0"/>
              <w:jc w:val="left"/>
              <w:rPr>
                <w:b/>
                <w:bCs/>
                <w:szCs w:val="24"/>
                <w:lang w:eastAsia="zh-CN"/>
              </w:rPr>
            </w:pPr>
          </w:p>
        </w:tc>
      </w:tr>
      <w:tr w:rsidR="00E53DCE" w:rsidRPr="00334544" w:rsidTr="00C95935">
        <w:trPr>
          <w:jc w:val="center"/>
        </w:trPr>
        <w:tc>
          <w:tcPr>
            <w:tcW w:w="9747"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C95935">
        <w:trPr>
          <w:jc w:val="center"/>
        </w:trPr>
        <w:tc>
          <w:tcPr>
            <w:tcW w:w="9747" w:type="dxa"/>
            <w:gridSpan w:val="3"/>
            <w:shd w:val="clear" w:color="auto" w:fill="auto"/>
          </w:tcPr>
          <w:p w:rsidR="00E53DCE" w:rsidRPr="00334544" w:rsidRDefault="00E53DCE" w:rsidP="00B774CC">
            <w:pPr>
              <w:spacing w:before="0"/>
              <w:jc w:val="left"/>
              <w:rPr>
                <w:szCs w:val="24"/>
                <w:lang w:eastAsia="zh-CN"/>
              </w:rPr>
            </w:pPr>
          </w:p>
        </w:tc>
      </w:tr>
      <w:tr w:rsidR="00A46693" w:rsidRPr="00334544" w:rsidTr="00FE356D">
        <w:trPr>
          <w:jc w:val="center"/>
        </w:trPr>
        <w:tc>
          <w:tcPr>
            <w:tcW w:w="1418" w:type="dxa"/>
            <w:shd w:val="clear" w:color="auto" w:fill="auto"/>
          </w:tcPr>
          <w:p w:rsidR="00A46693" w:rsidRPr="000D79FA" w:rsidRDefault="00A46693" w:rsidP="00A46693">
            <w:pPr>
              <w:spacing w:before="0" w:line="240" w:lineRule="auto"/>
              <w:jc w:val="left"/>
              <w:rPr>
                <w:szCs w:val="24"/>
                <w:lang w:val="en-GB"/>
              </w:rPr>
            </w:pPr>
            <w:r>
              <w:rPr>
                <w:rFonts w:hint="eastAsia"/>
                <w:szCs w:val="24"/>
                <w:lang w:val="en-GB" w:eastAsia="zh-CN"/>
              </w:rPr>
              <w:t>事由</w:t>
            </w:r>
            <w:r>
              <w:rPr>
                <w:szCs w:val="24"/>
                <w:lang w:val="en-GB" w:eastAsia="zh-CN"/>
              </w:rPr>
              <w:t>：</w:t>
            </w:r>
          </w:p>
        </w:tc>
        <w:tc>
          <w:tcPr>
            <w:tcW w:w="8329" w:type="dxa"/>
            <w:gridSpan w:val="2"/>
            <w:vMerge w:val="restart"/>
            <w:shd w:val="clear" w:color="auto" w:fill="auto"/>
            <w:tcMar>
              <w:right w:w="0" w:type="dxa"/>
            </w:tcMar>
          </w:tcPr>
          <w:p w:rsidR="00A46693" w:rsidRPr="00EE1264" w:rsidRDefault="002077CC" w:rsidP="007210F3">
            <w:pPr>
              <w:spacing w:before="0" w:line="240" w:lineRule="auto"/>
              <w:rPr>
                <w:b/>
                <w:bCs/>
                <w:szCs w:val="24"/>
                <w:lang w:val="en-GB" w:eastAsia="zh-CN"/>
              </w:rPr>
            </w:pPr>
            <w:bookmarkStart w:id="1" w:name="lt_pId020"/>
            <w:r>
              <w:rPr>
                <w:b/>
                <w:bCs/>
                <w:szCs w:val="24"/>
                <w:lang w:val="en-GB" w:eastAsia="zh-CN"/>
              </w:rPr>
              <w:t>组织</w:t>
            </w:r>
            <w:r>
              <w:rPr>
                <w:b/>
                <w:bCs/>
                <w:szCs w:val="24"/>
                <w:lang w:val="en-GB" w:eastAsia="zh-CN"/>
              </w:rPr>
              <w:t>405.9-406 MHz</w:t>
            </w:r>
            <w:r>
              <w:rPr>
                <w:b/>
                <w:bCs/>
                <w:szCs w:val="24"/>
                <w:lang w:val="en-GB" w:eastAsia="zh-CN"/>
              </w:rPr>
              <w:t>和</w:t>
            </w:r>
            <w:r>
              <w:rPr>
                <w:b/>
                <w:bCs/>
                <w:szCs w:val="24"/>
                <w:lang w:val="en-GB" w:eastAsia="zh-CN"/>
              </w:rPr>
              <w:t>406.1-406.2 MHz</w:t>
            </w:r>
            <w:r>
              <w:rPr>
                <w:b/>
                <w:bCs/>
                <w:szCs w:val="24"/>
                <w:lang w:val="en-GB" w:eastAsia="zh-CN"/>
              </w:rPr>
              <w:t>频段内的监测</w:t>
            </w:r>
            <w:r w:rsidR="007210F3">
              <w:rPr>
                <w:b/>
                <w:bCs/>
                <w:szCs w:val="24"/>
                <w:lang w:val="en-GB" w:eastAsia="zh-CN"/>
              </w:rPr>
              <w:t>项目</w:t>
            </w:r>
            <w:bookmarkEnd w:id="1"/>
          </w:p>
        </w:tc>
      </w:tr>
      <w:tr w:rsidR="00A46693" w:rsidRPr="00334544" w:rsidTr="00FE356D">
        <w:trPr>
          <w:jc w:val="center"/>
        </w:trPr>
        <w:tc>
          <w:tcPr>
            <w:tcW w:w="1418" w:type="dxa"/>
            <w:shd w:val="clear" w:color="auto" w:fill="auto"/>
          </w:tcPr>
          <w:p w:rsidR="00A46693" w:rsidRPr="00334544" w:rsidRDefault="00A46693" w:rsidP="00A46693">
            <w:pPr>
              <w:tabs>
                <w:tab w:val="clear" w:pos="1588"/>
                <w:tab w:val="left" w:pos="1560"/>
              </w:tabs>
              <w:spacing w:before="0"/>
              <w:jc w:val="left"/>
              <w:rPr>
                <w:b/>
                <w:bCs/>
                <w:szCs w:val="24"/>
                <w:lang w:val="en-GB" w:eastAsia="zh-CN"/>
              </w:rPr>
            </w:pPr>
          </w:p>
        </w:tc>
        <w:tc>
          <w:tcPr>
            <w:tcW w:w="8329" w:type="dxa"/>
            <w:gridSpan w:val="2"/>
            <w:vMerge/>
            <w:shd w:val="clear" w:color="auto" w:fill="auto"/>
          </w:tcPr>
          <w:p w:rsidR="00A46693" w:rsidRPr="00334544" w:rsidRDefault="00A46693" w:rsidP="00A46693">
            <w:pPr>
              <w:tabs>
                <w:tab w:val="clear" w:pos="1588"/>
                <w:tab w:val="left" w:pos="1560"/>
              </w:tabs>
              <w:spacing w:before="0"/>
              <w:rPr>
                <w:b/>
                <w:bCs/>
                <w:szCs w:val="24"/>
                <w:lang w:val="en-GB" w:eastAsia="zh-CN"/>
              </w:rPr>
            </w:pPr>
          </w:p>
        </w:tc>
      </w:tr>
      <w:tr w:rsidR="00A46693" w:rsidRPr="00334544" w:rsidTr="00FE356D">
        <w:trPr>
          <w:jc w:val="center"/>
        </w:trPr>
        <w:tc>
          <w:tcPr>
            <w:tcW w:w="1418" w:type="dxa"/>
            <w:shd w:val="clear" w:color="auto" w:fill="auto"/>
          </w:tcPr>
          <w:p w:rsidR="00A46693" w:rsidRPr="00334544" w:rsidRDefault="00A46693" w:rsidP="00A46693">
            <w:pPr>
              <w:tabs>
                <w:tab w:val="clear" w:pos="1588"/>
                <w:tab w:val="left" w:pos="1560"/>
              </w:tabs>
              <w:spacing w:before="0"/>
              <w:jc w:val="left"/>
              <w:rPr>
                <w:b/>
                <w:bCs/>
                <w:szCs w:val="24"/>
                <w:lang w:val="en-GB" w:eastAsia="zh-CN"/>
              </w:rPr>
            </w:pPr>
          </w:p>
        </w:tc>
        <w:tc>
          <w:tcPr>
            <w:tcW w:w="8329" w:type="dxa"/>
            <w:gridSpan w:val="2"/>
            <w:vMerge/>
            <w:shd w:val="clear" w:color="auto" w:fill="auto"/>
          </w:tcPr>
          <w:p w:rsidR="00A46693" w:rsidRPr="00334544" w:rsidRDefault="00A46693" w:rsidP="00A46693">
            <w:pPr>
              <w:tabs>
                <w:tab w:val="clear" w:pos="1588"/>
                <w:tab w:val="left" w:pos="1560"/>
              </w:tabs>
              <w:spacing w:before="0"/>
              <w:rPr>
                <w:b/>
                <w:bCs/>
                <w:szCs w:val="24"/>
                <w:lang w:val="en-GB" w:eastAsia="zh-CN"/>
              </w:rPr>
            </w:pPr>
          </w:p>
        </w:tc>
      </w:tr>
      <w:tr w:rsidR="00A46693" w:rsidRPr="00AC2B42" w:rsidTr="00FE356D">
        <w:trPr>
          <w:jc w:val="center"/>
        </w:trPr>
        <w:tc>
          <w:tcPr>
            <w:tcW w:w="1418" w:type="dxa"/>
            <w:shd w:val="clear" w:color="auto" w:fill="auto"/>
          </w:tcPr>
          <w:p w:rsidR="00A46693" w:rsidRPr="00AC2B42" w:rsidRDefault="00A46693" w:rsidP="00A46693">
            <w:pPr>
              <w:spacing w:before="0" w:line="240" w:lineRule="auto"/>
              <w:jc w:val="left"/>
              <w:rPr>
                <w:b/>
                <w:bCs/>
                <w:szCs w:val="24"/>
                <w:lang w:val="en-GB" w:eastAsia="zh-CN"/>
              </w:rPr>
            </w:pPr>
            <w:r w:rsidRPr="00AC2B42">
              <w:rPr>
                <w:rFonts w:hint="eastAsia"/>
                <w:szCs w:val="24"/>
                <w:lang w:val="en-GB" w:eastAsia="zh-CN"/>
              </w:rPr>
              <w:t>参考文件：</w:t>
            </w:r>
          </w:p>
        </w:tc>
        <w:tc>
          <w:tcPr>
            <w:tcW w:w="8329" w:type="dxa"/>
            <w:gridSpan w:val="2"/>
            <w:shd w:val="clear" w:color="auto" w:fill="auto"/>
          </w:tcPr>
          <w:p w:rsidR="00A46693" w:rsidRPr="00AC2B42" w:rsidRDefault="002077CC" w:rsidP="002077CC">
            <w:pPr>
              <w:spacing w:before="0" w:line="240" w:lineRule="auto"/>
              <w:jc w:val="left"/>
              <w:rPr>
                <w:b/>
                <w:bCs/>
                <w:szCs w:val="24"/>
                <w:lang w:val="en-GB" w:eastAsia="zh-CN"/>
              </w:rPr>
            </w:pPr>
            <w:bookmarkStart w:id="2" w:name="lt_pId022"/>
            <w:r w:rsidRPr="00AC2B42">
              <w:rPr>
                <w:rFonts w:hint="eastAsia"/>
                <w:b/>
                <w:bCs/>
                <w:szCs w:val="24"/>
                <w:lang w:val="en-GB" w:eastAsia="zh-CN"/>
              </w:rPr>
              <w:t>有关</w:t>
            </w:r>
            <w:r w:rsidR="0054782E" w:rsidRPr="00AC2B42">
              <w:rPr>
                <w:rFonts w:hint="eastAsia"/>
                <w:b/>
                <w:bCs/>
                <w:szCs w:val="24"/>
                <w:lang w:val="en-GB" w:eastAsia="zh-CN"/>
              </w:rPr>
              <w:t>保护</w:t>
            </w:r>
            <w:r w:rsidR="0054782E" w:rsidRPr="00AC2B42">
              <w:rPr>
                <w:b/>
                <w:bCs/>
                <w:szCs w:val="24"/>
                <w:lang w:val="en-GB" w:eastAsia="zh-CN"/>
              </w:rPr>
              <w:t>在</w:t>
            </w:r>
            <w:r w:rsidR="00A46693" w:rsidRPr="00AC2B42">
              <w:rPr>
                <w:b/>
                <w:bCs/>
                <w:szCs w:val="24"/>
                <w:lang w:val="en-GB" w:eastAsia="zh-CN"/>
              </w:rPr>
              <w:t>406-406.1 MHz</w:t>
            </w:r>
            <w:bookmarkEnd w:id="2"/>
            <w:r w:rsidR="0054782E" w:rsidRPr="00AC2B42">
              <w:rPr>
                <w:rFonts w:hint="eastAsia"/>
                <w:b/>
                <w:bCs/>
                <w:szCs w:val="24"/>
                <w:lang w:val="en-GB" w:eastAsia="zh-CN"/>
              </w:rPr>
              <w:t>频段</w:t>
            </w:r>
            <w:r w:rsidR="0054782E" w:rsidRPr="00AC2B42">
              <w:rPr>
                <w:b/>
                <w:bCs/>
                <w:szCs w:val="24"/>
                <w:lang w:val="en-GB" w:eastAsia="zh-CN"/>
              </w:rPr>
              <w:t>操作的卫星移动业务系统</w:t>
            </w:r>
            <w:r w:rsidRPr="00AC2B42">
              <w:rPr>
                <w:b/>
                <w:bCs/>
                <w:szCs w:val="24"/>
                <w:lang w:val="en-GB" w:eastAsia="zh-CN"/>
              </w:rPr>
              <w:t>的</w:t>
            </w:r>
            <w:r w:rsidRPr="00AC2B42">
              <w:rPr>
                <w:rFonts w:hint="eastAsia"/>
                <w:b/>
                <w:bCs/>
                <w:szCs w:val="24"/>
                <w:lang w:val="en-GB" w:eastAsia="zh-CN"/>
              </w:rPr>
              <w:t>第</w:t>
            </w:r>
            <w:r w:rsidRPr="00AC2B42">
              <w:rPr>
                <w:rFonts w:hint="eastAsia"/>
                <w:b/>
                <w:bCs/>
                <w:szCs w:val="24"/>
                <w:lang w:val="en-GB" w:eastAsia="zh-CN"/>
              </w:rPr>
              <w:t>205</w:t>
            </w:r>
            <w:r w:rsidRPr="00AC2B42">
              <w:rPr>
                <w:rFonts w:hint="eastAsia"/>
                <w:b/>
                <w:bCs/>
                <w:szCs w:val="24"/>
                <w:lang w:val="en-GB" w:eastAsia="zh-CN"/>
              </w:rPr>
              <w:t>号</w:t>
            </w:r>
            <w:r w:rsidRPr="00AC2B42">
              <w:rPr>
                <w:b/>
                <w:bCs/>
                <w:szCs w:val="24"/>
                <w:lang w:val="en-GB" w:eastAsia="zh-CN"/>
              </w:rPr>
              <w:t>决议（</w:t>
            </w:r>
            <w:r w:rsidRPr="00AC2B42">
              <w:rPr>
                <w:b/>
                <w:bCs/>
                <w:szCs w:val="24"/>
                <w:lang w:val="en-GB" w:eastAsia="zh-CN"/>
              </w:rPr>
              <w:t>WRC-15</w:t>
            </w:r>
            <w:r w:rsidRPr="00AC2B42">
              <w:rPr>
                <w:rFonts w:hint="eastAsia"/>
                <w:b/>
                <w:bCs/>
                <w:szCs w:val="24"/>
                <w:lang w:val="en-GB" w:eastAsia="zh-CN"/>
              </w:rPr>
              <w:t>，</w:t>
            </w:r>
            <w:r w:rsidRPr="00AC2B42">
              <w:rPr>
                <w:b/>
                <w:bCs/>
                <w:szCs w:val="24"/>
                <w:lang w:val="en-GB" w:eastAsia="zh-CN"/>
              </w:rPr>
              <w:t>修订版）</w:t>
            </w:r>
          </w:p>
        </w:tc>
      </w:tr>
    </w:tbl>
    <w:p w:rsidR="00A46693" w:rsidRPr="00C95935" w:rsidRDefault="00AC2B42" w:rsidP="00FE356D">
      <w:pPr>
        <w:tabs>
          <w:tab w:val="clear" w:pos="794"/>
          <w:tab w:val="clear" w:pos="1191"/>
          <w:tab w:val="clear" w:pos="1588"/>
          <w:tab w:val="clear" w:pos="1985"/>
        </w:tabs>
        <w:overflowPunct/>
        <w:spacing w:before="240" w:line="240" w:lineRule="auto"/>
        <w:ind w:firstLineChars="200" w:firstLine="480"/>
        <w:textAlignment w:val="auto"/>
        <w:rPr>
          <w:rFonts w:eastAsia="SimSun" w:cstheme="majorBidi"/>
          <w:szCs w:val="24"/>
          <w:lang w:val="en-GB" w:eastAsia="zh-CN"/>
        </w:rPr>
      </w:pPr>
      <w:bookmarkStart w:id="3" w:name="lt_pId023"/>
      <w:r w:rsidRPr="00C95935">
        <w:rPr>
          <w:rFonts w:eastAsia="SimSun"/>
          <w:szCs w:val="24"/>
          <w:lang w:val="en-GB" w:eastAsia="zh-CN"/>
        </w:rPr>
        <w:t>2015</w:t>
      </w:r>
      <w:r w:rsidRPr="00C95935">
        <w:rPr>
          <w:rFonts w:eastAsia="SimSun"/>
          <w:szCs w:val="24"/>
          <w:lang w:val="en-GB" w:eastAsia="zh-CN"/>
        </w:rPr>
        <w:t>年世界无线电通信大会（</w:t>
      </w:r>
      <w:r w:rsidR="00A46693" w:rsidRPr="00C95935">
        <w:rPr>
          <w:rFonts w:eastAsia="SimSun"/>
          <w:szCs w:val="24"/>
          <w:lang w:val="en-GB" w:eastAsia="zh-CN"/>
        </w:rPr>
        <w:t>WRC-15</w:t>
      </w:r>
      <w:r w:rsidRPr="00C95935">
        <w:rPr>
          <w:rFonts w:eastAsia="SimSun"/>
          <w:szCs w:val="24"/>
          <w:lang w:val="en-GB" w:eastAsia="zh-CN"/>
        </w:rPr>
        <w:t>）修订了涉及保护</w:t>
      </w:r>
      <w:r w:rsidRPr="00C95935">
        <w:rPr>
          <w:rFonts w:eastAsia="SimSun"/>
          <w:szCs w:val="24"/>
          <w:lang w:val="en-GB" w:eastAsia="zh-CN"/>
        </w:rPr>
        <w:t>406-406.1 MHz</w:t>
      </w:r>
      <w:r w:rsidRPr="00C95935">
        <w:rPr>
          <w:rFonts w:eastAsia="SimSun"/>
          <w:szCs w:val="24"/>
          <w:lang w:val="en-GB" w:eastAsia="zh-CN"/>
        </w:rPr>
        <w:t>频段内、专用于</w:t>
      </w:r>
      <w:proofErr w:type="spellStart"/>
      <w:r w:rsidRPr="00C95935">
        <w:rPr>
          <w:rFonts w:eastAsia="SimSun" w:cstheme="majorBidi"/>
          <w:szCs w:val="24"/>
          <w:lang w:eastAsia="zh-CN"/>
        </w:rPr>
        <w:t>Cospas-Sarsat</w:t>
      </w:r>
      <w:proofErr w:type="spellEnd"/>
      <w:r w:rsidRPr="00C95935">
        <w:rPr>
          <w:rFonts w:eastAsia="SimSun" w:cstheme="majorBidi"/>
          <w:szCs w:val="24"/>
          <w:lang w:eastAsia="zh-CN"/>
        </w:rPr>
        <w:t>系统</w:t>
      </w:r>
      <w:r w:rsidRPr="00C95935">
        <w:rPr>
          <w:rFonts w:eastAsia="SimSun"/>
          <w:color w:val="000000"/>
          <w:lang w:eastAsia="zh-CN"/>
        </w:rPr>
        <w:t>卫星应急示位无线电信标（</w:t>
      </w:r>
      <w:r w:rsidRPr="00C95935">
        <w:rPr>
          <w:rFonts w:eastAsia="SimSun"/>
          <w:color w:val="000000"/>
          <w:lang w:eastAsia="zh-CN"/>
        </w:rPr>
        <w:t>EPIRB</w:t>
      </w:r>
      <w:r w:rsidRPr="00C95935">
        <w:rPr>
          <w:rFonts w:eastAsia="SimSun"/>
          <w:color w:val="000000"/>
          <w:lang w:eastAsia="zh-CN"/>
        </w:rPr>
        <w:t>）</w:t>
      </w:r>
      <w:r w:rsidRPr="00C95935">
        <w:rPr>
          <w:rFonts w:eastAsia="SimSun"/>
          <w:szCs w:val="24"/>
          <w:lang w:val="en-GB" w:eastAsia="zh-CN"/>
        </w:rPr>
        <w:t>的卫星移动业务（</w:t>
      </w:r>
      <w:r w:rsidRPr="00C95935">
        <w:rPr>
          <w:rFonts w:eastAsia="SimSun" w:hint="eastAsia"/>
          <w:szCs w:val="24"/>
          <w:lang w:val="en-GB" w:eastAsia="zh-CN"/>
        </w:rPr>
        <w:t>MS</w:t>
      </w:r>
      <w:r w:rsidRPr="00C95935">
        <w:rPr>
          <w:rFonts w:eastAsia="SimSun"/>
          <w:szCs w:val="24"/>
          <w:lang w:val="en-GB" w:eastAsia="zh-CN"/>
        </w:rPr>
        <w:t>S</w:t>
      </w:r>
      <w:r w:rsidRPr="00C95935">
        <w:rPr>
          <w:rFonts w:eastAsia="SimSun"/>
          <w:szCs w:val="24"/>
          <w:lang w:val="en-GB" w:eastAsia="zh-CN"/>
        </w:rPr>
        <w:t>）的</w:t>
      </w:r>
      <w:r w:rsidRPr="00C95935">
        <w:rPr>
          <w:rFonts w:eastAsia="SimSun" w:hint="eastAsia"/>
          <w:szCs w:val="24"/>
          <w:lang w:val="en-GB" w:eastAsia="zh-CN"/>
        </w:rPr>
        <w:t>第</w:t>
      </w:r>
      <w:r w:rsidRPr="00C95935">
        <w:rPr>
          <w:rFonts w:eastAsia="SimSun" w:hint="eastAsia"/>
          <w:b/>
          <w:bCs/>
          <w:szCs w:val="24"/>
          <w:lang w:val="en-GB" w:eastAsia="zh-CN"/>
        </w:rPr>
        <w:t>205</w:t>
      </w:r>
      <w:r w:rsidRPr="00C95935">
        <w:rPr>
          <w:rFonts w:eastAsia="SimSun" w:hint="eastAsia"/>
          <w:szCs w:val="24"/>
          <w:lang w:val="en-GB" w:eastAsia="zh-CN"/>
        </w:rPr>
        <w:t>号</w:t>
      </w:r>
      <w:r w:rsidRPr="00C95935">
        <w:rPr>
          <w:rFonts w:eastAsia="SimSun"/>
          <w:szCs w:val="24"/>
          <w:lang w:val="en-GB" w:eastAsia="zh-CN"/>
        </w:rPr>
        <w:t>决议。</w:t>
      </w:r>
      <w:bookmarkEnd w:id="3"/>
    </w:p>
    <w:p w:rsidR="0054782E" w:rsidRPr="00C95935" w:rsidRDefault="00AC2B42" w:rsidP="00BA6CB4">
      <w:pPr>
        <w:tabs>
          <w:tab w:val="clear" w:pos="794"/>
          <w:tab w:val="clear" w:pos="1191"/>
          <w:tab w:val="clear" w:pos="1588"/>
          <w:tab w:val="clear" w:pos="1985"/>
        </w:tabs>
        <w:overflowPunct/>
        <w:spacing w:before="120" w:line="240" w:lineRule="auto"/>
        <w:ind w:firstLineChars="200" w:firstLine="480"/>
        <w:textAlignment w:val="auto"/>
        <w:rPr>
          <w:rFonts w:eastAsia="SimSun"/>
          <w:szCs w:val="24"/>
          <w:lang w:val="en-GB" w:eastAsia="zh-CN"/>
        </w:rPr>
      </w:pPr>
      <w:bookmarkStart w:id="4" w:name="lt_pId024"/>
      <w:r w:rsidRPr="00C95935">
        <w:rPr>
          <w:rFonts w:eastAsia="SimSun" w:cs="Times New Roman"/>
          <w:szCs w:val="24"/>
          <w:lang w:val="en-GB" w:eastAsia="zh-CN"/>
        </w:rPr>
        <w:t>如第</w:t>
      </w:r>
      <w:r w:rsidRPr="00C95935">
        <w:rPr>
          <w:rFonts w:eastAsia="SimSun" w:cs="Times New Roman"/>
          <w:b/>
          <w:bCs/>
          <w:szCs w:val="24"/>
          <w:lang w:eastAsia="zh-CN"/>
        </w:rPr>
        <w:t>5.267</w:t>
      </w:r>
      <w:r w:rsidRPr="00C95935">
        <w:rPr>
          <w:rFonts w:eastAsia="SimSun" w:cs="Times New Roman"/>
          <w:szCs w:val="24"/>
          <w:lang w:val="en-GB" w:eastAsia="zh-CN"/>
        </w:rPr>
        <w:t>款和附录</w:t>
      </w:r>
      <w:r w:rsidRPr="00C95935">
        <w:rPr>
          <w:rFonts w:eastAsia="SimSun" w:cs="Times New Roman" w:hint="eastAsia"/>
          <w:b/>
          <w:bCs/>
          <w:szCs w:val="24"/>
          <w:lang w:val="en-GB" w:eastAsia="zh-CN"/>
        </w:rPr>
        <w:t>1</w:t>
      </w:r>
      <w:r w:rsidRPr="00C95935">
        <w:rPr>
          <w:rFonts w:eastAsia="SimSun" w:cs="Times New Roman"/>
          <w:b/>
          <w:bCs/>
          <w:szCs w:val="24"/>
          <w:lang w:val="en-GB" w:eastAsia="zh-CN"/>
        </w:rPr>
        <w:t>5</w:t>
      </w:r>
      <w:r w:rsidRPr="00C95935">
        <w:rPr>
          <w:rFonts w:eastAsia="SimSun" w:cs="Times New Roman"/>
          <w:szCs w:val="24"/>
          <w:lang w:val="en-GB" w:eastAsia="zh-CN"/>
        </w:rPr>
        <w:t>所述，《无线电规则》给予了该频段不受有害干扰影响的绝对保护。</w:t>
      </w:r>
      <w:bookmarkStart w:id="5" w:name="lt_pId025"/>
      <w:bookmarkEnd w:id="4"/>
      <w:r w:rsidRPr="00C95935">
        <w:rPr>
          <w:rFonts w:eastAsia="SimSun" w:cs="Times New Roman"/>
          <w:szCs w:val="24"/>
          <w:lang w:val="en-GB" w:eastAsia="zh-CN"/>
        </w:rPr>
        <w:t>无线电通信局在</w:t>
      </w:r>
      <w:proofErr w:type="gramStart"/>
      <w:r w:rsidRPr="00C95935">
        <w:rPr>
          <w:rFonts w:eastAsia="SimSun" w:cs="Times New Roman"/>
          <w:szCs w:val="24"/>
          <w:lang w:eastAsia="zh-CN"/>
        </w:rPr>
        <w:t>406-406.1</w:t>
      </w:r>
      <w:proofErr w:type="gramEnd"/>
      <w:r w:rsidRPr="00C95935">
        <w:rPr>
          <w:rFonts w:eastAsia="SimSun" w:cs="Times New Roman"/>
          <w:szCs w:val="24"/>
          <w:lang w:eastAsia="zh-CN"/>
        </w:rPr>
        <w:t xml:space="preserve"> MHz</w:t>
      </w:r>
      <w:r w:rsidR="00560578">
        <w:rPr>
          <w:rFonts w:eastAsia="SimSun" w:cs="Times New Roman"/>
          <w:szCs w:val="24"/>
          <w:lang w:val="en-GB" w:eastAsia="zh-CN"/>
        </w:rPr>
        <w:t>频段开展</w:t>
      </w:r>
      <w:r w:rsidRPr="00C95935">
        <w:rPr>
          <w:rFonts w:eastAsia="SimSun" w:cs="Times New Roman"/>
          <w:szCs w:val="24"/>
          <w:lang w:val="en-GB" w:eastAsia="zh-CN"/>
        </w:rPr>
        <w:t>监测</w:t>
      </w:r>
      <w:r w:rsidR="007210F3" w:rsidRPr="00C95935">
        <w:rPr>
          <w:rFonts w:eastAsia="SimSun" w:cs="Times New Roman"/>
          <w:szCs w:val="24"/>
          <w:lang w:val="en-GB" w:eastAsia="zh-CN"/>
        </w:rPr>
        <w:t>项目</w:t>
      </w:r>
      <w:r w:rsidRPr="00C95935">
        <w:rPr>
          <w:rFonts w:eastAsia="SimSun" w:cs="Times New Roman"/>
          <w:szCs w:val="24"/>
          <w:lang w:val="en-GB" w:eastAsia="zh-CN"/>
        </w:rPr>
        <w:t>，</w:t>
      </w:r>
      <w:r w:rsidR="00984412" w:rsidRPr="00C95935">
        <w:rPr>
          <w:rFonts w:eastAsia="SimSun" w:cs="Times New Roman" w:hint="eastAsia"/>
          <w:szCs w:val="24"/>
          <w:lang w:val="en-GB" w:eastAsia="zh-CN"/>
        </w:rPr>
        <w:t>以查找任何未经授权发射的源头。</w:t>
      </w:r>
      <w:bookmarkStart w:id="6" w:name="lt_pId026"/>
      <w:bookmarkEnd w:id="5"/>
      <w:r w:rsidR="00984412" w:rsidRPr="00C95935">
        <w:rPr>
          <w:rFonts w:eastAsia="SimSun" w:cs="Times New Roman" w:hint="eastAsia"/>
          <w:szCs w:val="24"/>
          <w:lang w:val="en-GB" w:eastAsia="zh-CN"/>
        </w:rPr>
        <w:t>根据监测的结果，无线电通信局向</w:t>
      </w:r>
      <w:r w:rsidR="00EC32B8" w:rsidRPr="00C95935">
        <w:rPr>
          <w:rFonts w:eastAsia="SimSun" w:cs="Times New Roman" w:hint="eastAsia"/>
          <w:szCs w:val="24"/>
          <w:lang w:val="en-GB" w:eastAsia="zh-CN"/>
        </w:rPr>
        <w:t>负责管理在该频段发射的、非</w:t>
      </w:r>
      <w:r w:rsidR="00EC32B8" w:rsidRPr="00C95935">
        <w:rPr>
          <w:rFonts w:eastAsia="SimSun" w:cs="Times New Roman" w:hint="eastAsia"/>
          <w:szCs w:val="24"/>
          <w:lang w:val="en-GB" w:eastAsia="zh-CN"/>
        </w:rPr>
        <w:t>MSS</w:t>
      </w:r>
      <w:r w:rsidR="00560578">
        <w:rPr>
          <w:rFonts w:eastAsia="SimSun" w:cs="Times New Roman" w:hint="eastAsia"/>
          <w:szCs w:val="24"/>
          <w:lang w:val="en-GB" w:eastAsia="zh-CN"/>
        </w:rPr>
        <w:t>业务台站的主管部门发出</w:t>
      </w:r>
      <w:r w:rsidR="00EC32B8" w:rsidRPr="00C95935">
        <w:rPr>
          <w:rFonts w:eastAsia="SimSun" w:cs="Times New Roman" w:hint="eastAsia"/>
          <w:szCs w:val="24"/>
          <w:lang w:val="en-GB" w:eastAsia="zh-CN"/>
        </w:rPr>
        <w:t>信函，要求他们采取必要行动，消除此类未经授权的发射。</w:t>
      </w:r>
      <w:bookmarkStart w:id="7" w:name="lt_pId027"/>
      <w:bookmarkEnd w:id="6"/>
    </w:p>
    <w:p w:rsidR="00C95935" w:rsidRDefault="007210F3" w:rsidP="00BA6CB4">
      <w:pPr>
        <w:tabs>
          <w:tab w:val="clear" w:pos="794"/>
          <w:tab w:val="clear" w:pos="1191"/>
          <w:tab w:val="clear" w:pos="1588"/>
          <w:tab w:val="clear" w:pos="1985"/>
        </w:tabs>
        <w:overflowPunct/>
        <w:spacing w:before="120" w:line="240" w:lineRule="auto"/>
        <w:ind w:firstLineChars="200" w:firstLine="480"/>
        <w:textAlignment w:val="auto"/>
        <w:rPr>
          <w:rFonts w:eastAsia="SimSun"/>
          <w:lang w:eastAsia="zh-CN"/>
        </w:rPr>
      </w:pPr>
      <w:r w:rsidRPr="00C95935">
        <w:rPr>
          <w:rFonts w:eastAsia="SimSun"/>
          <w:szCs w:val="24"/>
          <w:lang w:val="en-GB" w:eastAsia="zh-CN"/>
        </w:rPr>
        <w:t>WRC-15</w:t>
      </w:r>
      <w:r w:rsidRPr="00C95935">
        <w:rPr>
          <w:rFonts w:eastAsia="SimSun"/>
          <w:szCs w:val="24"/>
          <w:lang w:val="en-GB" w:eastAsia="zh-CN"/>
        </w:rPr>
        <w:t>认识到，</w:t>
      </w:r>
      <w:r w:rsidR="0020511F" w:rsidRPr="00C95935">
        <w:rPr>
          <w:rFonts w:eastAsia="SimSun"/>
          <w:lang w:eastAsia="zh-CN"/>
        </w:rPr>
        <w:t>406-406.1 MHz</w:t>
      </w:r>
      <w:r w:rsidR="0020511F" w:rsidRPr="00C95935">
        <w:rPr>
          <w:rFonts w:eastAsia="SimSun" w:hint="eastAsia"/>
          <w:lang w:eastAsia="zh-CN"/>
        </w:rPr>
        <w:t>频段以外业务的无用发射可能会对</w:t>
      </w:r>
      <w:r w:rsidR="0020511F" w:rsidRPr="00C95935">
        <w:rPr>
          <w:rFonts w:eastAsia="SimSun"/>
          <w:lang w:eastAsia="zh-CN"/>
        </w:rPr>
        <w:t>406-406.1 MHz</w:t>
      </w:r>
      <w:r w:rsidR="0020511F" w:rsidRPr="00C95935">
        <w:rPr>
          <w:rFonts w:eastAsia="SimSun" w:hint="eastAsia"/>
          <w:lang w:eastAsia="zh-CN"/>
        </w:rPr>
        <w:t>频段内</w:t>
      </w:r>
      <w:r w:rsidR="0020511F" w:rsidRPr="00C95935">
        <w:rPr>
          <w:rFonts w:eastAsia="SimSun"/>
          <w:lang w:eastAsia="zh-CN"/>
        </w:rPr>
        <w:t>MSS</w:t>
      </w:r>
      <w:r w:rsidR="0020511F" w:rsidRPr="00C95935">
        <w:rPr>
          <w:rFonts w:eastAsia="SimSun" w:hint="eastAsia"/>
          <w:lang w:eastAsia="zh-CN"/>
        </w:rPr>
        <w:t>接收机造成干扰</w:t>
      </w:r>
      <w:r w:rsidRPr="00C95935">
        <w:rPr>
          <w:rFonts w:eastAsia="SimSun" w:hint="eastAsia"/>
          <w:lang w:eastAsia="zh-CN"/>
        </w:rPr>
        <w:t>。</w:t>
      </w:r>
      <w:bookmarkStart w:id="8" w:name="lt_pId028"/>
      <w:bookmarkEnd w:id="7"/>
      <w:r w:rsidRPr="00C95935">
        <w:rPr>
          <w:rFonts w:eastAsia="SimSun" w:hint="eastAsia"/>
          <w:lang w:eastAsia="zh-CN"/>
        </w:rPr>
        <w:t>铭记此点，大会决定在相邻的</w:t>
      </w:r>
      <w:r w:rsidRPr="00C95935">
        <w:rPr>
          <w:rFonts w:eastAsia="SimSun"/>
          <w:szCs w:val="24"/>
          <w:lang w:val="en-GB" w:eastAsia="zh-CN"/>
        </w:rPr>
        <w:t>405.9-406.0 MHz</w:t>
      </w:r>
      <w:r w:rsidRPr="00C95935">
        <w:rPr>
          <w:rFonts w:eastAsia="SimSun" w:hint="eastAsia"/>
          <w:lang w:eastAsia="zh-CN"/>
        </w:rPr>
        <w:t>和</w:t>
      </w:r>
      <w:r w:rsidRPr="00C95935">
        <w:rPr>
          <w:rFonts w:eastAsia="SimSun"/>
          <w:szCs w:val="24"/>
          <w:lang w:val="en-GB" w:eastAsia="zh-CN"/>
        </w:rPr>
        <w:t>406.1-406.2 MHz</w:t>
      </w:r>
      <w:r w:rsidRPr="00C95935">
        <w:rPr>
          <w:rFonts w:eastAsia="SimSun" w:hint="eastAsia"/>
          <w:lang w:eastAsia="zh-CN"/>
        </w:rPr>
        <w:t>频段引入额外的保护措施。大会特别做出决议：</w:t>
      </w:r>
      <w:bookmarkStart w:id="9" w:name="lt_pId030"/>
      <w:bookmarkEnd w:id="8"/>
    </w:p>
    <w:p w:rsidR="00C95935" w:rsidRDefault="00C95935" w:rsidP="00BA6CB4">
      <w:pPr>
        <w:pStyle w:val="enumlev1"/>
        <w:spacing w:line="240" w:lineRule="auto"/>
        <w:rPr>
          <w:lang w:eastAsia="zh-CN"/>
        </w:rPr>
      </w:pPr>
      <w:r>
        <w:rPr>
          <w:lang w:eastAsia="zh-CN"/>
        </w:rPr>
        <w:tab/>
      </w:r>
      <w:r w:rsidR="0054782E" w:rsidRPr="00C95935">
        <w:rPr>
          <w:rFonts w:hint="eastAsia"/>
          <w:lang w:eastAsia="zh-CN"/>
        </w:rPr>
        <w:t>要求各主管部门不在用于移动和固定业务的</w:t>
      </w:r>
      <w:r w:rsidR="0054782E" w:rsidRPr="00C95935">
        <w:rPr>
          <w:lang w:eastAsia="zh-CN"/>
        </w:rPr>
        <w:t>405.9-406.0 MHz</w:t>
      </w:r>
      <w:r w:rsidR="0054782E" w:rsidRPr="00C95935">
        <w:rPr>
          <w:rFonts w:hint="eastAsia"/>
          <w:lang w:eastAsia="zh-CN"/>
        </w:rPr>
        <w:t>和</w:t>
      </w:r>
      <w:r w:rsidR="0054782E" w:rsidRPr="00C95935">
        <w:rPr>
          <w:lang w:eastAsia="zh-CN"/>
        </w:rPr>
        <w:t>406.1-406.2 MHz</w:t>
      </w:r>
      <w:r w:rsidR="0054782E" w:rsidRPr="00C95935">
        <w:rPr>
          <w:rFonts w:hint="eastAsia"/>
          <w:lang w:eastAsia="zh-CN"/>
        </w:rPr>
        <w:t>频段内进行新的频率指配；</w:t>
      </w:r>
      <w:bookmarkStart w:id="10" w:name="lt_pId031"/>
      <w:bookmarkEnd w:id="9"/>
    </w:p>
    <w:p w:rsidR="00A46693" w:rsidRPr="00C95935" w:rsidRDefault="00C95935" w:rsidP="00BA6CB4">
      <w:pPr>
        <w:pStyle w:val="enumlev1"/>
        <w:spacing w:line="240" w:lineRule="auto"/>
        <w:rPr>
          <w:rFonts w:cs="Times New Roman"/>
          <w:szCs w:val="24"/>
          <w:lang w:eastAsia="zh-CN"/>
        </w:rPr>
      </w:pPr>
      <w:r>
        <w:rPr>
          <w:lang w:eastAsia="zh-CN"/>
        </w:rPr>
        <w:tab/>
      </w:r>
      <w:r w:rsidR="0054782E" w:rsidRPr="00C95935">
        <w:rPr>
          <w:rFonts w:hint="eastAsia"/>
          <w:lang w:eastAsia="zh-CN"/>
        </w:rPr>
        <w:t>各主管部门在选择</w:t>
      </w:r>
      <w:r w:rsidR="0054782E" w:rsidRPr="00C95935">
        <w:rPr>
          <w:lang w:eastAsia="zh-CN"/>
        </w:rPr>
        <w:t>405 MHz</w:t>
      </w:r>
      <w:r w:rsidR="0054782E" w:rsidRPr="00C95935">
        <w:rPr>
          <w:rFonts w:hint="eastAsia"/>
          <w:lang w:eastAsia="zh-CN"/>
        </w:rPr>
        <w:t>以上频段无线电探空仪工作频率时顾及频移特性，避免在</w:t>
      </w:r>
      <w:r w:rsidR="0054782E" w:rsidRPr="00C95935">
        <w:rPr>
          <w:lang w:eastAsia="zh-CN"/>
        </w:rPr>
        <w:t>406</w:t>
      </w:r>
      <w:r w:rsidR="0054782E" w:rsidRPr="00C95935">
        <w:rPr>
          <w:lang w:eastAsia="zh-CN"/>
        </w:rPr>
        <w:noBreakHyphen/>
        <w:t>406.1 MHz</w:t>
      </w:r>
      <w:r w:rsidR="0054782E" w:rsidRPr="00C95935">
        <w:rPr>
          <w:rFonts w:hint="eastAsia"/>
          <w:lang w:eastAsia="zh-CN"/>
        </w:rPr>
        <w:t>频段内发射信号，同时采取一切可行措施避免频移靠近</w:t>
      </w:r>
      <w:r w:rsidR="0054782E" w:rsidRPr="00C95935">
        <w:rPr>
          <w:lang w:eastAsia="zh-CN"/>
        </w:rPr>
        <w:t>406 MHz</w:t>
      </w:r>
      <w:bookmarkEnd w:id="10"/>
      <w:r w:rsidR="0054782E" w:rsidRPr="00C95935">
        <w:rPr>
          <w:rFonts w:hint="eastAsia"/>
          <w:lang w:eastAsia="zh-CN"/>
        </w:rPr>
        <w:t>。</w:t>
      </w:r>
    </w:p>
    <w:p w:rsidR="00A46693" w:rsidRPr="00C95935" w:rsidRDefault="007210F3" w:rsidP="00BA6CB4">
      <w:pPr>
        <w:tabs>
          <w:tab w:val="clear" w:pos="794"/>
          <w:tab w:val="clear" w:pos="1191"/>
          <w:tab w:val="clear" w:pos="1588"/>
          <w:tab w:val="clear" w:pos="1985"/>
        </w:tabs>
        <w:overflowPunct/>
        <w:spacing w:before="120" w:line="240" w:lineRule="auto"/>
        <w:ind w:firstLineChars="200" w:firstLine="480"/>
        <w:textAlignment w:val="auto"/>
        <w:rPr>
          <w:rFonts w:eastAsia="SimSun"/>
          <w:szCs w:val="24"/>
          <w:lang w:eastAsia="zh-CN"/>
        </w:rPr>
      </w:pPr>
      <w:bookmarkStart w:id="11" w:name="lt_pId032"/>
      <w:r w:rsidRPr="00C95935">
        <w:rPr>
          <w:rFonts w:eastAsia="SimSun" w:hint="eastAsia"/>
          <w:lang w:eastAsia="zh-CN"/>
        </w:rPr>
        <w:t>此外，</w:t>
      </w:r>
      <w:r w:rsidRPr="00C95935">
        <w:rPr>
          <w:rFonts w:eastAsia="SimSun"/>
          <w:szCs w:val="24"/>
          <w:lang w:val="en-GB" w:eastAsia="zh-CN"/>
        </w:rPr>
        <w:t>WRC-15</w:t>
      </w:r>
      <w:r w:rsidRPr="00C95935">
        <w:rPr>
          <w:rFonts w:eastAsia="SimSun"/>
          <w:szCs w:val="24"/>
          <w:lang w:val="en-GB" w:eastAsia="zh-CN"/>
        </w:rPr>
        <w:t>还责成无线电通信局主任</w:t>
      </w:r>
      <w:r w:rsidRPr="00C95935">
        <w:rPr>
          <w:rFonts w:eastAsia="SimSun" w:hint="eastAsia"/>
          <w:lang w:eastAsia="zh-CN"/>
        </w:rPr>
        <w:t>组织监测项目，研究在</w:t>
      </w:r>
      <w:r w:rsidRPr="00C95935">
        <w:rPr>
          <w:rFonts w:eastAsia="SimSun"/>
          <w:lang w:eastAsia="zh-CN"/>
        </w:rPr>
        <w:t>405.9-406 MHz</w:t>
      </w:r>
      <w:r w:rsidRPr="00C95935">
        <w:rPr>
          <w:rFonts w:eastAsia="SimSun" w:hint="eastAsia"/>
          <w:lang w:eastAsia="zh-CN"/>
        </w:rPr>
        <w:t>和</w:t>
      </w:r>
      <w:r w:rsidR="00C95935">
        <w:rPr>
          <w:rFonts w:eastAsia="SimSun"/>
          <w:lang w:eastAsia="zh-CN"/>
        </w:rPr>
        <w:t>406.1-406.2 MHz</w:t>
      </w:r>
      <w:r w:rsidRPr="00C95935">
        <w:rPr>
          <w:rFonts w:eastAsia="SimSun" w:hint="eastAsia"/>
          <w:lang w:eastAsia="zh-CN"/>
        </w:rPr>
        <w:t>频段运行的系统的无用发射对</w:t>
      </w:r>
      <w:r w:rsidRPr="00C95935">
        <w:rPr>
          <w:rFonts w:eastAsia="SimSun"/>
          <w:lang w:eastAsia="zh-CN"/>
        </w:rPr>
        <w:t>406</w:t>
      </w:r>
      <w:r w:rsidRPr="00C95935">
        <w:rPr>
          <w:rFonts w:eastAsia="SimSun"/>
          <w:lang w:eastAsia="zh-CN"/>
        </w:rPr>
        <w:noBreakHyphen/>
        <w:t>406.1 MHz</w:t>
      </w:r>
      <w:r w:rsidRPr="00C95935">
        <w:rPr>
          <w:rFonts w:eastAsia="SimSun" w:hint="eastAsia"/>
          <w:lang w:eastAsia="zh-CN"/>
        </w:rPr>
        <w:t>频段内</w:t>
      </w:r>
      <w:r w:rsidRPr="00C95935">
        <w:rPr>
          <w:rFonts w:eastAsia="SimSun"/>
          <w:lang w:eastAsia="zh-CN"/>
        </w:rPr>
        <w:t>MSS</w:t>
      </w:r>
      <w:r w:rsidRPr="00C95935">
        <w:rPr>
          <w:rFonts w:eastAsia="SimSun" w:hint="eastAsia"/>
          <w:lang w:eastAsia="zh-CN"/>
        </w:rPr>
        <w:t>接收的影响，以评估本决议的有效性。</w:t>
      </w:r>
      <w:bookmarkEnd w:id="11"/>
    </w:p>
    <w:p w:rsidR="00A46693" w:rsidRPr="00C95935" w:rsidRDefault="00F96A57" w:rsidP="00BA6CB4">
      <w:pPr>
        <w:tabs>
          <w:tab w:val="clear" w:pos="794"/>
          <w:tab w:val="clear" w:pos="1191"/>
          <w:tab w:val="clear" w:pos="1588"/>
          <w:tab w:val="clear" w:pos="1985"/>
        </w:tabs>
        <w:overflowPunct/>
        <w:spacing w:before="120" w:line="240" w:lineRule="auto"/>
        <w:ind w:firstLineChars="200" w:firstLine="480"/>
        <w:textAlignment w:val="auto"/>
        <w:rPr>
          <w:rFonts w:eastAsia="SimSun"/>
          <w:szCs w:val="24"/>
          <w:lang w:val="en-GB" w:eastAsia="zh-CN"/>
        </w:rPr>
      </w:pPr>
      <w:bookmarkStart w:id="12" w:name="lt_pId033"/>
      <w:r w:rsidRPr="00C95935">
        <w:rPr>
          <w:rFonts w:eastAsia="SimSun"/>
          <w:szCs w:val="24"/>
          <w:lang w:val="en-GB" w:eastAsia="zh-CN"/>
        </w:rPr>
        <w:t>为响应</w:t>
      </w:r>
      <w:r w:rsidRPr="00C95935">
        <w:rPr>
          <w:rFonts w:eastAsia="SimSun"/>
          <w:szCs w:val="24"/>
          <w:lang w:val="en-GB" w:eastAsia="zh-CN"/>
        </w:rPr>
        <w:t>WRC-15</w:t>
      </w:r>
      <w:r w:rsidRPr="00C95935">
        <w:rPr>
          <w:rFonts w:eastAsia="SimSun"/>
          <w:szCs w:val="24"/>
          <w:lang w:val="en-GB" w:eastAsia="zh-CN"/>
        </w:rPr>
        <w:t>做出的这项决定，</w:t>
      </w:r>
      <w:r w:rsidRPr="00C95935">
        <w:rPr>
          <w:rFonts w:eastAsia="SimSun"/>
          <w:szCs w:val="24"/>
          <w:lang w:val="en-GB" w:eastAsia="zh-CN"/>
        </w:rPr>
        <w:t>ITU-R 1C</w:t>
      </w:r>
      <w:r w:rsidRPr="00C95935">
        <w:rPr>
          <w:rFonts w:eastAsia="SimSun"/>
          <w:szCs w:val="24"/>
          <w:lang w:val="en-GB" w:eastAsia="zh-CN"/>
        </w:rPr>
        <w:t>工作组与</w:t>
      </w:r>
      <w:proofErr w:type="spellStart"/>
      <w:r w:rsidRPr="00C95935">
        <w:rPr>
          <w:rFonts w:eastAsia="SimSun"/>
          <w:szCs w:val="24"/>
          <w:lang w:val="en-GB" w:eastAsia="zh-CN"/>
        </w:rPr>
        <w:t>Cospas-Sarsat</w:t>
      </w:r>
      <w:proofErr w:type="spellEnd"/>
      <w:r w:rsidR="00560578">
        <w:rPr>
          <w:rFonts w:eastAsia="SimSun"/>
          <w:szCs w:val="24"/>
          <w:lang w:val="en-GB" w:eastAsia="zh-CN"/>
        </w:rPr>
        <w:t>联合委员会</w:t>
      </w:r>
      <w:r w:rsidR="00560578">
        <w:rPr>
          <w:rFonts w:eastAsia="SimSun" w:hint="eastAsia"/>
          <w:szCs w:val="24"/>
          <w:lang w:val="en-GB" w:eastAsia="zh-CN"/>
        </w:rPr>
        <w:t>及</w:t>
      </w:r>
      <w:r w:rsidRPr="00C95935">
        <w:rPr>
          <w:rFonts w:eastAsia="SimSun"/>
          <w:szCs w:val="24"/>
          <w:lang w:val="en-GB" w:eastAsia="zh-CN"/>
        </w:rPr>
        <w:t>无线电通信局协作，确定了对</w:t>
      </w:r>
      <w:r w:rsidRPr="00C95935">
        <w:rPr>
          <w:rFonts w:eastAsia="SimSun"/>
          <w:szCs w:val="24"/>
          <w:lang w:val="en-GB" w:eastAsia="zh-CN"/>
        </w:rPr>
        <w:t>405.9-406.0 MHz</w:t>
      </w:r>
      <w:r w:rsidRPr="00C95935">
        <w:rPr>
          <w:rFonts w:eastAsia="SimSun" w:hint="eastAsia"/>
          <w:lang w:eastAsia="zh-CN"/>
        </w:rPr>
        <w:t>和</w:t>
      </w:r>
      <w:r w:rsidRPr="00C95935">
        <w:rPr>
          <w:rFonts w:eastAsia="SimSun"/>
          <w:szCs w:val="24"/>
          <w:lang w:val="en-GB" w:eastAsia="zh-CN"/>
        </w:rPr>
        <w:t>406.1-406.2 MHz</w:t>
      </w:r>
      <w:r w:rsidRPr="00C95935">
        <w:rPr>
          <w:rFonts w:eastAsia="SimSun" w:hint="eastAsia"/>
          <w:lang w:eastAsia="zh-CN"/>
        </w:rPr>
        <w:t>频段开展</w:t>
      </w:r>
      <w:r w:rsidRPr="00C95935">
        <w:rPr>
          <w:rFonts w:eastAsia="SimSun"/>
          <w:szCs w:val="24"/>
          <w:lang w:val="en-GB" w:eastAsia="zh-CN"/>
        </w:rPr>
        <w:t>监测的可能方法并完成了需测量的参数清单。</w:t>
      </w:r>
      <w:bookmarkStart w:id="13" w:name="lt_pId034"/>
      <w:bookmarkEnd w:id="12"/>
      <w:r w:rsidRPr="00C95935">
        <w:rPr>
          <w:rFonts w:eastAsia="SimSun"/>
          <w:szCs w:val="24"/>
          <w:lang w:val="en-GB" w:eastAsia="zh-CN"/>
        </w:rPr>
        <w:t>该清单包含在第</w:t>
      </w:r>
      <w:r w:rsidRPr="00C95935">
        <w:rPr>
          <w:rFonts w:eastAsia="SimSun" w:hint="eastAsia"/>
          <w:szCs w:val="24"/>
          <w:lang w:val="en-GB" w:eastAsia="zh-CN"/>
        </w:rPr>
        <w:t>1</w:t>
      </w:r>
      <w:r w:rsidRPr="00C95935">
        <w:rPr>
          <w:rFonts w:eastAsia="SimSun" w:hint="eastAsia"/>
          <w:szCs w:val="24"/>
          <w:lang w:val="en-GB" w:eastAsia="zh-CN"/>
        </w:rPr>
        <w:t>研究组于</w:t>
      </w:r>
      <w:r w:rsidRPr="00C95935">
        <w:rPr>
          <w:rFonts w:eastAsia="SimSun" w:hint="eastAsia"/>
          <w:szCs w:val="24"/>
          <w:lang w:val="en-GB" w:eastAsia="zh-CN"/>
        </w:rPr>
        <w:t>20</w:t>
      </w:r>
      <w:r w:rsidRPr="00C95935">
        <w:rPr>
          <w:rFonts w:eastAsia="SimSun"/>
          <w:szCs w:val="24"/>
          <w:lang w:val="en-GB" w:eastAsia="zh-CN"/>
        </w:rPr>
        <w:t>18</w:t>
      </w:r>
      <w:r w:rsidRPr="00C95935">
        <w:rPr>
          <w:rFonts w:eastAsia="SimSun"/>
          <w:szCs w:val="24"/>
          <w:lang w:val="en-GB" w:eastAsia="zh-CN"/>
        </w:rPr>
        <w:t>年</w:t>
      </w:r>
      <w:r w:rsidRPr="00C95935">
        <w:rPr>
          <w:rFonts w:eastAsia="SimSun" w:hint="eastAsia"/>
          <w:szCs w:val="24"/>
          <w:lang w:val="en-GB" w:eastAsia="zh-CN"/>
        </w:rPr>
        <w:t>6</w:t>
      </w:r>
      <w:r w:rsidRPr="00C95935">
        <w:rPr>
          <w:rFonts w:eastAsia="SimSun" w:hint="eastAsia"/>
          <w:szCs w:val="24"/>
          <w:lang w:val="en-GB" w:eastAsia="zh-CN"/>
        </w:rPr>
        <w:t>月会议上批准的</w:t>
      </w:r>
      <w:r w:rsidR="00C95935">
        <w:rPr>
          <w:rFonts w:eastAsia="SimSun"/>
          <w:szCs w:val="24"/>
          <w:lang w:val="en-GB" w:eastAsia="zh-CN"/>
        </w:rPr>
        <w:t>ITU-R SM.1051-4</w:t>
      </w:r>
      <w:r w:rsidRPr="00C95935">
        <w:rPr>
          <w:rFonts w:eastAsia="SimSun"/>
          <w:szCs w:val="24"/>
          <w:lang w:val="en-GB" w:eastAsia="zh-CN"/>
        </w:rPr>
        <w:t>建议书</w:t>
      </w:r>
      <w:r w:rsidRPr="00C95935">
        <w:rPr>
          <w:rFonts w:eastAsia="SimSun" w:hint="eastAsia"/>
          <w:szCs w:val="24"/>
          <w:lang w:eastAsia="zh-CN"/>
        </w:rPr>
        <w:t>“</w:t>
      </w:r>
      <w:r w:rsidRPr="00C95935">
        <w:rPr>
          <w:rFonts w:eastAsia="SimSun"/>
          <w:color w:val="000000"/>
          <w:lang w:eastAsia="zh-CN"/>
        </w:rPr>
        <w:t>优先确定并消除</w:t>
      </w:r>
      <w:r w:rsidRPr="00C95935">
        <w:rPr>
          <w:rFonts w:eastAsia="SimSun"/>
          <w:color w:val="000000"/>
          <w:lang w:eastAsia="zh-CN"/>
        </w:rPr>
        <w:t>406-406.1 MHz</w:t>
      </w:r>
      <w:r w:rsidRPr="00C95935">
        <w:rPr>
          <w:rFonts w:eastAsia="SimSun"/>
          <w:color w:val="000000"/>
          <w:lang w:eastAsia="zh-CN"/>
        </w:rPr>
        <w:t>频段的有害干</w:t>
      </w:r>
      <w:r w:rsidRPr="00C95935">
        <w:rPr>
          <w:rFonts w:eastAsia="SimSun" w:cs="SimSun" w:hint="eastAsia"/>
          <w:color w:val="000000"/>
          <w:lang w:eastAsia="zh-CN"/>
        </w:rPr>
        <w:t>扰</w:t>
      </w:r>
      <w:r w:rsidRPr="00C95935">
        <w:rPr>
          <w:rFonts w:eastAsia="SimSun" w:hint="eastAsia"/>
          <w:szCs w:val="24"/>
          <w:lang w:eastAsia="zh-CN"/>
        </w:rPr>
        <w:t>”中。</w:t>
      </w:r>
      <w:bookmarkEnd w:id="13"/>
    </w:p>
    <w:p w:rsidR="00A46693" w:rsidRPr="00C95935" w:rsidRDefault="006D2B13" w:rsidP="00BA6CB4">
      <w:pPr>
        <w:tabs>
          <w:tab w:val="clear" w:pos="794"/>
          <w:tab w:val="clear" w:pos="1191"/>
          <w:tab w:val="clear" w:pos="1588"/>
          <w:tab w:val="clear" w:pos="1985"/>
        </w:tabs>
        <w:overflowPunct/>
        <w:spacing w:before="120" w:line="240" w:lineRule="auto"/>
        <w:ind w:firstLineChars="200" w:firstLine="480"/>
        <w:textAlignment w:val="auto"/>
        <w:rPr>
          <w:rFonts w:eastAsia="SimSun"/>
          <w:szCs w:val="24"/>
          <w:lang w:val="en-GB" w:eastAsia="zh-CN"/>
        </w:rPr>
      </w:pPr>
      <w:bookmarkStart w:id="14" w:name="lt_pId035"/>
      <w:r w:rsidRPr="00C95935">
        <w:rPr>
          <w:rFonts w:eastAsia="SimSun" w:hint="eastAsia"/>
          <w:szCs w:val="24"/>
          <w:lang w:val="en-GB" w:eastAsia="zh-CN"/>
        </w:rPr>
        <w:t>本通函旨在向成员通报，无线电通信局现已做好接收和处理</w:t>
      </w:r>
      <w:r w:rsidRPr="00C95935">
        <w:rPr>
          <w:rFonts w:eastAsia="SimSun"/>
          <w:lang w:eastAsia="zh-CN"/>
        </w:rPr>
        <w:t>405.9-406 MHz</w:t>
      </w:r>
      <w:r w:rsidRPr="00C95935">
        <w:rPr>
          <w:rFonts w:eastAsia="SimSun" w:hint="eastAsia"/>
          <w:lang w:eastAsia="zh-CN"/>
        </w:rPr>
        <w:t>和</w:t>
      </w:r>
      <w:r w:rsidR="00C95935">
        <w:rPr>
          <w:rFonts w:eastAsia="SimSun"/>
          <w:lang w:eastAsia="zh-CN"/>
        </w:rPr>
        <w:t>406.1-406.2 MHz</w:t>
      </w:r>
      <w:r w:rsidRPr="00C95935">
        <w:rPr>
          <w:rFonts w:eastAsia="SimSun" w:hint="eastAsia"/>
          <w:lang w:eastAsia="zh-CN"/>
        </w:rPr>
        <w:t>频段监测报告的准备。在此方面，敦促具有监测这些相邻频段能力的主管部门参与这一监测项目并定期向无线电通信局报告结果。</w:t>
      </w:r>
      <w:bookmarkEnd w:id="14"/>
    </w:p>
    <w:p w:rsidR="00A46693" w:rsidRPr="00C95935" w:rsidRDefault="00032188" w:rsidP="00BA6CB4">
      <w:pPr>
        <w:tabs>
          <w:tab w:val="clear" w:pos="794"/>
          <w:tab w:val="clear" w:pos="1191"/>
          <w:tab w:val="clear" w:pos="1588"/>
          <w:tab w:val="clear" w:pos="1985"/>
        </w:tabs>
        <w:overflowPunct/>
        <w:spacing w:before="120" w:line="240" w:lineRule="auto"/>
        <w:ind w:firstLineChars="200" w:firstLine="480"/>
        <w:textAlignment w:val="auto"/>
        <w:rPr>
          <w:rFonts w:eastAsia="SimSun"/>
          <w:szCs w:val="24"/>
          <w:lang w:val="en-GB" w:eastAsia="zh-CN"/>
        </w:rPr>
      </w:pPr>
      <w:bookmarkStart w:id="15" w:name="lt_pId037"/>
      <w:r w:rsidRPr="00C95935">
        <w:rPr>
          <w:rFonts w:eastAsia="SimSun"/>
          <w:szCs w:val="24"/>
          <w:lang w:val="en-GB" w:eastAsia="zh-CN"/>
        </w:rPr>
        <w:lastRenderedPageBreak/>
        <w:t>本通函附件规定了需监测的参数、测量周期和时长（摘自</w:t>
      </w:r>
      <w:r w:rsidRPr="00C95935">
        <w:rPr>
          <w:rFonts w:eastAsia="SimSun"/>
          <w:szCs w:val="24"/>
          <w:lang w:val="en-GB" w:eastAsia="zh-CN"/>
        </w:rPr>
        <w:t>ITU-R SM.1051-4</w:t>
      </w:r>
      <w:r w:rsidRPr="00C95935">
        <w:rPr>
          <w:rFonts w:eastAsia="SimSun"/>
          <w:szCs w:val="24"/>
          <w:lang w:val="en-GB" w:eastAsia="zh-CN"/>
        </w:rPr>
        <w:t>建议书附件</w:t>
      </w:r>
      <w:r w:rsidRPr="00C95935">
        <w:rPr>
          <w:rFonts w:eastAsia="SimSun" w:hint="eastAsia"/>
          <w:szCs w:val="24"/>
          <w:lang w:val="en-GB" w:eastAsia="zh-CN"/>
        </w:rPr>
        <w:t>3</w:t>
      </w:r>
      <w:r w:rsidRPr="00C95935">
        <w:rPr>
          <w:rFonts w:eastAsia="SimSun"/>
          <w:szCs w:val="24"/>
          <w:lang w:val="en-GB" w:eastAsia="zh-CN"/>
        </w:rPr>
        <w:t>）。</w:t>
      </w:r>
      <w:bookmarkStart w:id="16" w:name="lt_pId038"/>
      <w:bookmarkEnd w:id="15"/>
      <w:r w:rsidRPr="00C95935">
        <w:rPr>
          <w:rFonts w:eastAsia="SimSun"/>
          <w:szCs w:val="24"/>
          <w:lang w:val="en-GB" w:eastAsia="zh-CN"/>
        </w:rPr>
        <w:t>请各主管部门最好通过</w:t>
      </w:r>
      <w:r w:rsidRPr="00C95935">
        <w:rPr>
          <w:rFonts w:eastAsia="SimSun"/>
          <w:szCs w:val="24"/>
          <w:lang w:val="en-GB" w:eastAsia="zh-CN"/>
        </w:rPr>
        <w:t>Excel</w:t>
      </w:r>
      <w:r w:rsidRPr="00C95935">
        <w:rPr>
          <w:rFonts w:eastAsia="SimSun"/>
          <w:szCs w:val="24"/>
          <w:lang w:val="en-GB" w:eastAsia="zh-CN"/>
        </w:rPr>
        <w:t>格式向</w:t>
      </w:r>
      <w:r w:rsidR="00280F1B">
        <w:rPr>
          <w:rStyle w:val="Hyperlink"/>
          <w:rFonts w:eastAsia="SimSun"/>
          <w:lang w:val="en-GB" w:eastAsia="zh-CN"/>
        </w:rPr>
        <w:fldChar w:fldCharType="begin"/>
      </w:r>
      <w:r w:rsidR="00280F1B">
        <w:rPr>
          <w:rStyle w:val="Hyperlink"/>
          <w:rFonts w:eastAsia="SimSun"/>
          <w:lang w:val="en-GB" w:eastAsia="zh-CN"/>
        </w:rPr>
        <w:instrText xml:space="preserve"> HYPERLINK "mailto:brtpr@itu.int" </w:instrText>
      </w:r>
      <w:r w:rsidR="00280F1B">
        <w:rPr>
          <w:rStyle w:val="Hyperlink"/>
          <w:rFonts w:eastAsia="SimSun"/>
          <w:lang w:val="en-GB" w:eastAsia="zh-CN"/>
        </w:rPr>
        <w:fldChar w:fldCharType="separate"/>
      </w:r>
      <w:r w:rsidRPr="00C95935">
        <w:rPr>
          <w:rStyle w:val="Hyperlink"/>
          <w:rFonts w:eastAsia="SimSun"/>
          <w:lang w:val="en-GB" w:eastAsia="zh-CN"/>
        </w:rPr>
        <w:t>brtpr@itu.int</w:t>
      </w:r>
      <w:r w:rsidR="00280F1B">
        <w:rPr>
          <w:rStyle w:val="Hyperlink"/>
          <w:rFonts w:eastAsia="SimSun"/>
          <w:lang w:val="en-GB" w:eastAsia="zh-CN"/>
        </w:rPr>
        <w:fldChar w:fldCharType="end"/>
      </w:r>
      <w:r w:rsidRPr="00C95935">
        <w:rPr>
          <w:rFonts w:eastAsia="SimSun"/>
          <w:szCs w:val="24"/>
          <w:lang w:val="en-GB" w:eastAsia="zh-CN"/>
        </w:rPr>
        <w:t>提交</w:t>
      </w:r>
      <w:r w:rsidRPr="00C95935">
        <w:rPr>
          <w:rFonts w:eastAsia="SimSun"/>
          <w:lang w:eastAsia="zh-CN"/>
        </w:rPr>
        <w:t>405.9-406 MHz</w:t>
      </w:r>
      <w:r w:rsidRPr="00C95935">
        <w:rPr>
          <w:rFonts w:eastAsia="SimSun" w:hint="eastAsia"/>
          <w:lang w:eastAsia="zh-CN"/>
        </w:rPr>
        <w:t>和</w:t>
      </w:r>
      <w:r w:rsidR="00BA6CB4">
        <w:rPr>
          <w:rFonts w:eastAsia="SimSun"/>
          <w:lang w:eastAsia="zh-CN"/>
        </w:rPr>
        <w:t>406.1-406.2 MHz</w:t>
      </w:r>
      <w:r w:rsidRPr="00C95935">
        <w:rPr>
          <w:rFonts w:eastAsia="SimSun" w:hint="eastAsia"/>
          <w:lang w:eastAsia="zh-CN"/>
        </w:rPr>
        <w:t>频段的监测报告。</w:t>
      </w:r>
      <w:bookmarkEnd w:id="16"/>
    </w:p>
    <w:p w:rsidR="00A46693" w:rsidRPr="00C95935" w:rsidRDefault="0054782E" w:rsidP="00BA6CB4">
      <w:pPr>
        <w:tabs>
          <w:tab w:val="clear" w:pos="794"/>
          <w:tab w:val="clear" w:pos="1191"/>
          <w:tab w:val="clear" w:pos="1588"/>
          <w:tab w:val="clear" w:pos="1985"/>
        </w:tabs>
        <w:overflowPunct/>
        <w:spacing w:before="120" w:line="240" w:lineRule="auto"/>
        <w:ind w:firstLineChars="200" w:firstLine="480"/>
        <w:textAlignment w:val="auto"/>
        <w:rPr>
          <w:rFonts w:eastAsia="SimSun"/>
          <w:szCs w:val="24"/>
          <w:highlight w:val="yellow"/>
          <w:lang w:val="en-GB" w:eastAsia="zh-CN"/>
        </w:rPr>
      </w:pPr>
      <w:bookmarkStart w:id="17" w:name="lt_pId039"/>
      <w:r w:rsidRPr="00C95935">
        <w:rPr>
          <w:rFonts w:eastAsia="SimSun"/>
          <w:color w:val="000000"/>
          <w:lang w:eastAsia="zh-CN"/>
        </w:rPr>
        <w:t>如贵主管部门需澄清本通函涉及的任何</w:t>
      </w:r>
      <w:r w:rsidR="00032188" w:rsidRPr="00C95935">
        <w:rPr>
          <w:rFonts w:eastAsia="SimSun"/>
          <w:color w:val="000000"/>
          <w:lang w:eastAsia="zh-CN"/>
        </w:rPr>
        <w:t>问题</w:t>
      </w:r>
      <w:r w:rsidRPr="00C95935">
        <w:rPr>
          <w:rFonts w:eastAsia="SimSun"/>
          <w:color w:val="000000"/>
          <w:lang w:eastAsia="zh-CN"/>
        </w:rPr>
        <w:t>，请随时与无线电通信局联系</w:t>
      </w:r>
      <w:r w:rsidRPr="00C95935">
        <w:rPr>
          <w:rFonts w:eastAsia="SimSun" w:cs="SimSun" w:hint="eastAsia"/>
          <w:color w:val="000000"/>
          <w:lang w:eastAsia="zh-CN"/>
        </w:rPr>
        <w:t>。需要任何协助者，请与</w:t>
      </w:r>
      <w:bookmarkStart w:id="18" w:name="lt_pId040"/>
      <w:bookmarkEnd w:id="17"/>
      <w:r w:rsidR="0020511F" w:rsidRPr="00C95935">
        <w:rPr>
          <w:rStyle w:val="Hyperlink"/>
          <w:rFonts w:eastAsia="SimSun"/>
        </w:rPr>
        <w:fldChar w:fldCharType="begin"/>
      </w:r>
      <w:r w:rsidR="0020511F" w:rsidRPr="00C95935">
        <w:rPr>
          <w:rStyle w:val="Hyperlink"/>
          <w:rFonts w:eastAsia="SimSun"/>
          <w:lang w:eastAsia="zh-CN"/>
        </w:rPr>
        <w:instrText xml:space="preserve"> HYPERLINK "mailto:brmail@itu.int" </w:instrText>
      </w:r>
      <w:r w:rsidR="0020511F" w:rsidRPr="00C95935">
        <w:rPr>
          <w:rStyle w:val="Hyperlink"/>
          <w:rFonts w:eastAsia="SimSun"/>
        </w:rPr>
        <w:fldChar w:fldCharType="separate"/>
      </w:r>
      <w:r w:rsidR="00A46693" w:rsidRPr="00C95935">
        <w:rPr>
          <w:rStyle w:val="Hyperlink"/>
          <w:rFonts w:eastAsia="SimSun"/>
          <w:lang w:eastAsia="zh-CN"/>
        </w:rPr>
        <w:t>brmail@itu.int</w:t>
      </w:r>
      <w:r w:rsidR="0020511F" w:rsidRPr="00C95935">
        <w:rPr>
          <w:rStyle w:val="Hyperlink"/>
          <w:rFonts w:eastAsia="SimSun"/>
        </w:rPr>
        <w:fldChar w:fldCharType="end"/>
      </w:r>
      <w:bookmarkEnd w:id="18"/>
      <w:r w:rsidRPr="00C95935">
        <w:rPr>
          <w:rFonts w:eastAsia="SimSun" w:cs="SimSun" w:hint="eastAsia"/>
          <w:color w:val="000000"/>
          <w:lang w:eastAsia="zh-CN"/>
        </w:rPr>
        <w:t>联系。</w:t>
      </w:r>
    </w:p>
    <w:p w:rsidR="00A46693" w:rsidRPr="00665367" w:rsidRDefault="00A46693" w:rsidP="00BA6CB4">
      <w:pPr>
        <w:spacing w:before="0" w:line="240" w:lineRule="auto"/>
        <w:rPr>
          <w:rFonts w:asciiTheme="minorHAnsi" w:hAnsiTheme="minorHAnsi" w:cstheme="minorHAnsi"/>
          <w:szCs w:val="24"/>
          <w:highlight w:val="yellow"/>
          <w:lang w:val="en-GB" w:eastAsia="zh-CN"/>
        </w:rPr>
      </w:pPr>
    </w:p>
    <w:p w:rsidR="00A46693" w:rsidRPr="000D79FA" w:rsidRDefault="00A46693" w:rsidP="00C95935">
      <w:pPr>
        <w:spacing w:before="0" w:line="240" w:lineRule="auto"/>
        <w:jc w:val="left"/>
        <w:rPr>
          <w:rFonts w:asciiTheme="minorHAnsi" w:hAnsiTheme="minorHAnsi" w:cstheme="minorHAnsi"/>
          <w:szCs w:val="24"/>
          <w:lang w:val="en-GB" w:eastAsia="zh-CN"/>
        </w:rPr>
      </w:pPr>
    </w:p>
    <w:p w:rsidR="00A46693" w:rsidRPr="000D79FA" w:rsidRDefault="00A46693" w:rsidP="00C95935">
      <w:pPr>
        <w:spacing w:before="0" w:line="240" w:lineRule="auto"/>
        <w:jc w:val="left"/>
        <w:rPr>
          <w:rFonts w:asciiTheme="minorHAnsi" w:hAnsiTheme="minorHAnsi" w:cstheme="minorHAnsi"/>
          <w:szCs w:val="24"/>
          <w:lang w:val="en-GB" w:eastAsia="zh-CN"/>
        </w:rPr>
      </w:pPr>
    </w:p>
    <w:p w:rsidR="00A46693" w:rsidRDefault="00A46693" w:rsidP="00C95935">
      <w:pPr>
        <w:spacing w:before="0" w:line="240" w:lineRule="auto"/>
        <w:jc w:val="left"/>
        <w:rPr>
          <w:rFonts w:asciiTheme="minorHAnsi" w:hAnsiTheme="minorHAnsi" w:cstheme="minorHAnsi"/>
          <w:szCs w:val="24"/>
          <w:lang w:eastAsia="zh-CN"/>
        </w:rPr>
      </w:pPr>
    </w:p>
    <w:p w:rsidR="00C0637A" w:rsidRDefault="00C0637A" w:rsidP="00BA6CB4">
      <w:pPr>
        <w:tabs>
          <w:tab w:val="clear" w:pos="794"/>
          <w:tab w:val="clear" w:pos="1191"/>
          <w:tab w:val="clear" w:pos="1588"/>
          <w:tab w:val="clear" w:pos="1985"/>
        </w:tabs>
        <w:overflowPunct/>
        <w:spacing w:before="0" w:line="240" w:lineRule="auto"/>
        <w:textAlignment w:val="auto"/>
        <w:rPr>
          <w:color w:val="000000"/>
          <w:lang w:eastAsia="zh-CN"/>
        </w:rPr>
      </w:pPr>
    </w:p>
    <w:p w:rsidR="0054782E" w:rsidRPr="00233BCB" w:rsidRDefault="0054782E" w:rsidP="00BA6CB4">
      <w:pPr>
        <w:tabs>
          <w:tab w:val="clear" w:pos="794"/>
          <w:tab w:val="clear" w:pos="1191"/>
          <w:tab w:val="clear" w:pos="1588"/>
          <w:tab w:val="clear" w:pos="1985"/>
        </w:tabs>
        <w:overflowPunct/>
        <w:spacing w:before="0" w:line="240" w:lineRule="auto"/>
        <w:textAlignment w:val="auto"/>
        <w:rPr>
          <w:color w:val="000000"/>
          <w:lang w:eastAsia="zh-CN"/>
        </w:rPr>
      </w:pPr>
      <w:r w:rsidRPr="00233BCB">
        <w:rPr>
          <w:rFonts w:hint="eastAsia"/>
          <w:color w:val="000000"/>
          <w:lang w:eastAsia="zh-CN"/>
        </w:rPr>
        <w:t>主任</w:t>
      </w:r>
    </w:p>
    <w:p w:rsidR="00A46693" w:rsidRPr="004C5C55" w:rsidRDefault="0054782E" w:rsidP="00BA6CB4">
      <w:pPr>
        <w:tabs>
          <w:tab w:val="clear" w:pos="794"/>
          <w:tab w:val="clear" w:pos="1191"/>
          <w:tab w:val="clear" w:pos="1588"/>
          <w:tab w:val="clear" w:pos="1985"/>
        </w:tabs>
        <w:overflowPunct/>
        <w:spacing w:before="0" w:line="240" w:lineRule="auto"/>
        <w:textAlignment w:val="auto"/>
        <w:rPr>
          <w:szCs w:val="24"/>
          <w:lang w:val="en-GB" w:eastAsia="zh-CN"/>
        </w:rPr>
      </w:pPr>
      <w:r w:rsidRPr="00233BCB">
        <w:rPr>
          <w:rFonts w:hint="eastAsia"/>
          <w:color w:val="000000"/>
          <w:lang w:eastAsia="zh-CN"/>
        </w:rPr>
        <w:t>弗朗索瓦</w:t>
      </w:r>
      <w:r w:rsidRPr="00233BCB">
        <w:rPr>
          <w:color w:val="000000"/>
          <w:lang w:eastAsia="zh-CN"/>
        </w:rPr>
        <w:t>•</w:t>
      </w:r>
      <w:r w:rsidRPr="00233BCB">
        <w:rPr>
          <w:rFonts w:hint="eastAsia"/>
          <w:color w:val="000000"/>
          <w:lang w:eastAsia="zh-CN"/>
        </w:rPr>
        <w:t>朗西</w:t>
      </w:r>
    </w:p>
    <w:p w:rsidR="00233BCB" w:rsidRDefault="00233BCB" w:rsidP="00C95935">
      <w:pPr>
        <w:tabs>
          <w:tab w:val="clear" w:pos="794"/>
          <w:tab w:val="clear" w:pos="1191"/>
          <w:tab w:val="clear" w:pos="1588"/>
          <w:tab w:val="clear" w:pos="1985"/>
        </w:tabs>
        <w:overflowPunct/>
        <w:spacing w:before="120" w:line="240" w:lineRule="auto"/>
        <w:textAlignment w:val="auto"/>
        <w:rPr>
          <w:b/>
          <w:color w:val="800000"/>
          <w:szCs w:val="24"/>
          <w:lang w:val="en-GB" w:eastAsia="zh-CN"/>
        </w:rPr>
      </w:pPr>
      <w:bookmarkStart w:id="19" w:name="lt_pId043"/>
    </w:p>
    <w:p w:rsidR="00C0637A" w:rsidRDefault="00C0637A" w:rsidP="00C95935">
      <w:pPr>
        <w:tabs>
          <w:tab w:val="clear" w:pos="794"/>
          <w:tab w:val="clear" w:pos="1191"/>
          <w:tab w:val="clear" w:pos="1588"/>
          <w:tab w:val="clear" w:pos="1985"/>
        </w:tabs>
        <w:overflowPunct/>
        <w:spacing w:before="120" w:line="240" w:lineRule="auto"/>
        <w:textAlignment w:val="auto"/>
        <w:rPr>
          <w:rFonts w:eastAsia="SimSun"/>
          <w:b/>
          <w:bCs/>
          <w:sz w:val="18"/>
          <w:szCs w:val="18"/>
          <w:lang w:val="en-GB" w:eastAsia="zh-CN"/>
        </w:rPr>
      </w:pPr>
    </w:p>
    <w:p w:rsidR="00C0637A" w:rsidRDefault="00C0637A" w:rsidP="00C95935">
      <w:pPr>
        <w:tabs>
          <w:tab w:val="clear" w:pos="794"/>
          <w:tab w:val="clear" w:pos="1191"/>
          <w:tab w:val="clear" w:pos="1588"/>
          <w:tab w:val="clear" w:pos="1985"/>
        </w:tabs>
        <w:overflowPunct/>
        <w:spacing w:before="120" w:line="240" w:lineRule="auto"/>
        <w:textAlignment w:val="auto"/>
        <w:rPr>
          <w:rFonts w:eastAsia="SimSun"/>
          <w:b/>
          <w:bCs/>
          <w:sz w:val="18"/>
          <w:szCs w:val="18"/>
          <w:lang w:val="en-GB" w:eastAsia="zh-CN"/>
        </w:rPr>
      </w:pPr>
    </w:p>
    <w:p w:rsidR="00C0637A" w:rsidRDefault="00C0637A" w:rsidP="00C95935">
      <w:pPr>
        <w:tabs>
          <w:tab w:val="clear" w:pos="794"/>
          <w:tab w:val="clear" w:pos="1191"/>
          <w:tab w:val="clear" w:pos="1588"/>
          <w:tab w:val="clear" w:pos="1985"/>
        </w:tabs>
        <w:overflowPunct/>
        <w:spacing w:before="120" w:line="240" w:lineRule="auto"/>
        <w:textAlignment w:val="auto"/>
        <w:rPr>
          <w:rFonts w:eastAsia="SimSun"/>
          <w:b/>
          <w:bCs/>
          <w:sz w:val="18"/>
          <w:szCs w:val="18"/>
          <w:lang w:val="en-GB" w:eastAsia="zh-CN"/>
        </w:rPr>
      </w:pPr>
    </w:p>
    <w:p w:rsidR="00A46693" w:rsidRPr="00BA6CB4" w:rsidRDefault="0054782E" w:rsidP="00C95935">
      <w:pPr>
        <w:tabs>
          <w:tab w:val="clear" w:pos="794"/>
          <w:tab w:val="clear" w:pos="1191"/>
          <w:tab w:val="clear" w:pos="1588"/>
          <w:tab w:val="clear" w:pos="1985"/>
        </w:tabs>
        <w:overflowPunct/>
        <w:spacing w:before="120" w:line="240" w:lineRule="auto"/>
        <w:textAlignment w:val="auto"/>
        <w:rPr>
          <w:rFonts w:eastAsia="SimSun"/>
          <w:sz w:val="18"/>
          <w:szCs w:val="18"/>
          <w:lang w:val="en-GB" w:eastAsia="zh-CN"/>
        </w:rPr>
      </w:pPr>
      <w:r w:rsidRPr="00BA6CB4">
        <w:rPr>
          <w:rFonts w:eastAsia="SimSun" w:hint="eastAsia"/>
          <w:b/>
          <w:bCs/>
          <w:sz w:val="18"/>
          <w:szCs w:val="18"/>
          <w:lang w:val="en-GB" w:eastAsia="zh-CN"/>
        </w:rPr>
        <w:t>分发</w:t>
      </w:r>
      <w:r w:rsidRPr="00BA6CB4">
        <w:rPr>
          <w:rFonts w:eastAsia="SimSun"/>
          <w:sz w:val="18"/>
          <w:szCs w:val="18"/>
          <w:lang w:val="en-GB" w:eastAsia="zh-CN"/>
        </w:rPr>
        <w:t>：</w:t>
      </w:r>
      <w:bookmarkEnd w:id="19"/>
    </w:p>
    <w:p w:rsidR="0054782E" w:rsidRPr="00BA6CB4" w:rsidRDefault="0054782E" w:rsidP="00C95935">
      <w:pPr>
        <w:tabs>
          <w:tab w:val="clear" w:pos="794"/>
          <w:tab w:val="clear" w:pos="1191"/>
          <w:tab w:val="clear" w:pos="1588"/>
          <w:tab w:val="clear" w:pos="1985"/>
        </w:tabs>
        <w:overflowPunct/>
        <w:spacing w:before="60" w:line="240" w:lineRule="auto"/>
        <w:textAlignment w:val="auto"/>
        <w:rPr>
          <w:rFonts w:eastAsia="SimSun"/>
          <w:sz w:val="18"/>
          <w:szCs w:val="18"/>
          <w:lang w:val="en-GB" w:eastAsia="zh-CN"/>
        </w:rPr>
      </w:pPr>
      <w:r w:rsidRPr="00BA6CB4">
        <w:rPr>
          <w:rFonts w:eastAsia="SimSun"/>
          <w:sz w:val="18"/>
          <w:szCs w:val="18"/>
          <w:lang w:val="en-GB" w:eastAsia="zh-CN"/>
        </w:rPr>
        <w:tab/>
      </w:r>
      <w:r w:rsidRPr="00BA6CB4">
        <w:rPr>
          <w:rFonts w:eastAsia="SimSun" w:hint="eastAsia"/>
          <w:sz w:val="18"/>
          <w:szCs w:val="18"/>
          <w:lang w:val="en-GB" w:eastAsia="zh-CN"/>
        </w:rPr>
        <w:t>国际</w:t>
      </w:r>
      <w:r w:rsidRPr="00BA6CB4">
        <w:rPr>
          <w:rFonts w:eastAsia="SimSun"/>
          <w:sz w:val="18"/>
          <w:szCs w:val="18"/>
          <w:lang w:val="en-GB" w:eastAsia="zh-CN"/>
        </w:rPr>
        <w:t>电联成员国主管部门</w:t>
      </w:r>
    </w:p>
    <w:p w:rsidR="00A46693" w:rsidRPr="00233BCB" w:rsidRDefault="0054782E" w:rsidP="00C95935">
      <w:pPr>
        <w:tabs>
          <w:tab w:val="clear" w:pos="794"/>
          <w:tab w:val="clear" w:pos="1191"/>
          <w:tab w:val="clear" w:pos="1588"/>
          <w:tab w:val="clear" w:pos="1985"/>
        </w:tabs>
        <w:overflowPunct/>
        <w:spacing w:before="60" w:line="240" w:lineRule="auto"/>
        <w:textAlignment w:val="auto"/>
        <w:rPr>
          <w:rFonts w:asciiTheme="minorHAnsi" w:hAnsiTheme="minorHAnsi" w:cstheme="minorHAnsi"/>
          <w:b/>
          <w:bCs/>
          <w:szCs w:val="24"/>
          <w:lang w:eastAsia="zh-CN"/>
        </w:rPr>
      </w:pPr>
      <w:r w:rsidRPr="00BA6CB4">
        <w:rPr>
          <w:rFonts w:eastAsia="SimSun" w:hint="eastAsia"/>
          <w:sz w:val="18"/>
          <w:szCs w:val="18"/>
          <w:lang w:val="en-GB" w:eastAsia="zh-CN"/>
        </w:rPr>
        <w:tab/>
      </w:r>
      <w:r w:rsidRPr="00BA6CB4">
        <w:rPr>
          <w:rFonts w:eastAsia="SimSun" w:hint="eastAsia"/>
          <w:sz w:val="18"/>
          <w:szCs w:val="18"/>
          <w:lang w:val="en-GB" w:eastAsia="zh-CN"/>
        </w:rPr>
        <w:t>无线电</w:t>
      </w:r>
      <w:r w:rsidRPr="00BA6CB4">
        <w:rPr>
          <w:rFonts w:eastAsia="SimSun"/>
          <w:sz w:val="18"/>
          <w:szCs w:val="18"/>
          <w:lang w:val="en-GB" w:eastAsia="zh-CN"/>
        </w:rPr>
        <w:t>规则委员会委员</w:t>
      </w:r>
    </w:p>
    <w:p w:rsidR="00A46693" w:rsidRDefault="00A46693" w:rsidP="00A46693">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eastAsia="zh-CN"/>
        </w:rPr>
      </w:pPr>
      <w:bookmarkStart w:id="20" w:name="CurrentLocation"/>
      <w:bookmarkEnd w:id="20"/>
      <w:r>
        <w:rPr>
          <w:szCs w:val="24"/>
          <w:lang w:val="en-GB" w:eastAsia="zh-CN"/>
        </w:rPr>
        <w:br w:type="page"/>
      </w:r>
    </w:p>
    <w:p w:rsidR="00FE356D" w:rsidRDefault="00032188" w:rsidP="00FE356D">
      <w:pPr>
        <w:pStyle w:val="AnnexNotitle0"/>
        <w:rPr>
          <w:rFonts w:eastAsia="SimSun"/>
          <w:lang w:eastAsia="zh-CN"/>
        </w:rPr>
      </w:pPr>
      <w:bookmarkStart w:id="21" w:name="asunto"/>
      <w:bookmarkStart w:id="22" w:name="lt_pId048"/>
      <w:bookmarkEnd w:id="21"/>
      <w:r w:rsidRPr="00FE356D">
        <w:rPr>
          <w:rFonts w:eastAsia="SimSun"/>
          <w:lang w:eastAsia="zh-CN"/>
        </w:rPr>
        <w:lastRenderedPageBreak/>
        <w:t>附件</w:t>
      </w:r>
      <w:bookmarkStart w:id="23" w:name="lt_pId049"/>
      <w:bookmarkEnd w:id="22"/>
    </w:p>
    <w:p w:rsidR="00A46693" w:rsidRPr="00BA6CB4" w:rsidRDefault="00032188" w:rsidP="00FE356D">
      <w:pPr>
        <w:pStyle w:val="AnnexNotitle0"/>
        <w:spacing w:before="240"/>
        <w:rPr>
          <w:rFonts w:eastAsia="SimSun"/>
          <w:lang w:eastAsia="zh-CN"/>
        </w:rPr>
      </w:pPr>
      <w:r w:rsidRPr="00BA6CB4">
        <w:rPr>
          <w:rFonts w:eastAsia="SimSun"/>
          <w:lang w:eastAsia="zh-CN"/>
        </w:rPr>
        <w:t>405.9-406 MHz</w:t>
      </w:r>
      <w:r w:rsidRPr="00BA6CB4">
        <w:rPr>
          <w:rFonts w:eastAsia="SimSun" w:hint="eastAsia"/>
          <w:lang w:eastAsia="zh-CN"/>
        </w:rPr>
        <w:t>和</w:t>
      </w:r>
      <w:r w:rsidRPr="00BA6CB4">
        <w:rPr>
          <w:rFonts w:eastAsia="SimSun"/>
          <w:lang w:eastAsia="zh-CN"/>
        </w:rPr>
        <w:t>406.1-406.2 MHz</w:t>
      </w:r>
      <w:r w:rsidRPr="00BA6CB4">
        <w:rPr>
          <w:rFonts w:eastAsia="SimSun" w:hint="eastAsia"/>
          <w:bCs/>
          <w:lang w:eastAsia="zh-CN"/>
        </w:rPr>
        <w:t>频段</w:t>
      </w:r>
      <w:r w:rsidRPr="00BA6CB4">
        <w:rPr>
          <w:rFonts w:eastAsia="SimSun"/>
          <w:bCs/>
          <w:lang w:eastAsia="zh-CN"/>
        </w:rPr>
        <w:t>需监测的参数及其他相关信息</w:t>
      </w:r>
      <w:bookmarkEnd w:id="23"/>
    </w:p>
    <w:p w:rsidR="00A46693" w:rsidRPr="00BA6CB4" w:rsidRDefault="00084E2A" w:rsidP="00BA6CB4">
      <w:pPr>
        <w:pStyle w:val="Heading1"/>
        <w:spacing w:before="360" w:line="240" w:lineRule="auto"/>
        <w:rPr>
          <w:rFonts w:eastAsia="SimSun"/>
          <w:lang w:eastAsia="zh-CN"/>
        </w:rPr>
      </w:pPr>
      <w:bookmarkStart w:id="24" w:name="lt_pId050"/>
      <w:r w:rsidRPr="00BA6CB4">
        <w:rPr>
          <w:rFonts w:eastAsia="SimSun"/>
          <w:lang w:eastAsia="zh-CN"/>
        </w:rPr>
        <w:t>1</w:t>
      </w:r>
      <w:r w:rsidRPr="00BA6CB4">
        <w:rPr>
          <w:rFonts w:eastAsia="SimSun"/>
          <w:lang w:eastAsia="zh-CN"/>
        </w:rPr>
        <w:tab/>
      </w:r>
      <w:r w:rsidR="00032188" w:rsidRPr="00BA6CB4">
        <w:rPr>
          <w:rFonts w:eastAsia="SimSun"/>
          <w:lang w:eastAsia="zh-CN"/>
        </w:rPr>
        <w:t>地面监测所需的信息</w:t>
      </w:r>
      <w:bookmarkEnd w:id="24"/>
    </w:p>
    <w:p w:rsidR="00A46693" w:rsidRPr="00BA6CB4" w:rsidRDefault="001103DD" w:rsidP="00BA6CB4">
      <w:pPr>
        <w:pStyle w:val="enumlev1"/>
        <w:spacing w:before="160" w:line="240" w:lineRule="auto"/>
        <w:rPr>
          <w:rFonts w:eastAsia="SimSun"/>
          <w:lang w:eastAsia="zh-CN"/>
        </w:rPr>
      </w:pPr>
      <w:bookmarkStart w:id="25" w:name="lt_pId051"/>
      <w:r w:rsidRPr="00BA6CB4">
        <w:rPr>
          <w:rFonts w:eastAsia="SimSun"/>
          <w:lang w:val="fr-CH" w:eastAsia="zh-CN"/>
        </w:rPr>
        <w:t>•</w:t>
      </w:r>
      <w:r w:rsidRPr="00BA6CB4">
        <w:rPr>
          <w:rFonts w:eastAsia="SimSun"/>
          <w:lang w:val="fr-CH" w:eastAsia="zh-CN"/>
        </w:rPr>
        <w:tab/>
      </w:r>
      <w:r w:rsidR="005058F6" w:rsidRPr="00BA6CB4">
        <w:rPr>
          <w:rFonts w:eastAsia="SimSun" w:hint="eastAsia"/>
          <w:lang w:eastAsia="zh-CN"/>
        </w:rPr>
        <w:t>监测接收机的位置（经纬度</w:t>
      </w:r>
      <w:r w:rsidR="005058F6" w:rsidRPr="00BA6CB4">
        <w:rPr>
          <w:rFonts w:eastAsia="SimSun"/>
          <w:lang w:eastAsia="zh-CN"/>
        </w:rPr>
        <w:t>、国家、距离最近的大城市</w:t>
      </w:r>
      <w:r w:rsidR="005058F6" w:rsidRPr="00BA6CB4">
        <w:rPr>
          <w:rFonts w:eastAsia="SimSun" w:hint="eastAsia"/>
          <w:lang w:eastAsia="zh-CN"/>
        </w:rPr>
        <w:t>）</w:t>
      </w:r>
      <w:bookmarkEnd w:id="25"/>
    </w:p>
    <w:p w:rsidR="00A46693" w:rsidRPr="00BA6CB4" w:rsidRDefault="001103DD" w:rsidP="00BA6CB4">
      <w:pPr>
        <w:pStyle w:val="enumlev1"/>
        <w:spacing w:line="240" w:lineRule="auto"/>
        <w:rPr>
          <w:rFonts w:eastAsia="SimSun"/>
          <w:lang w:eastAsia="zh-CN"/>
        </w:rPr>
      </w:pPr>
      <w:bookmarkStart w:id="26" w:name="lt_pId052"/>
      <w:r w:rsidRPr="00BA6CB4">
        <w:rPr>
          <w:rFonts w:eastAsia="SimSun"/>
          <w:lang w:val="fr-CH" w:eastAsia="zh-CN"/>
        </w:rPr>
        <w:t>•</w:t>
      </w:r>
      <w:r w:rsidRPr="00BA6CB4">
        <w:rPr>
          <w:rFonts w:eastAsia="SimSun"/>
          <w:lang w:val="fr-CH" w:eastAsia="zh-CN"/>
        </w:rPr>
        <w:tab/>
      </w:r>
      <w:r w:rsidR="005058F6" w:rsidRPr="00BA6CB4">
        <w:rPr>
          <w:rFonts w:eastAsia="SimSun"/>
          <w:lang w:eastAsia="zh-CN"/>
        </w:rPr>
        <w:t>开始</w:t>
      </w:r>
      <w:r w:rsidR="005058F6" w:rsidRPr="00BA6CB4">
        <w:rPr>
          <w:rFonts w:eastAsia="SimSun" w:hint="eastAsia"/>
          <w:lang w:eastAsia="zh-CN"/>
        </w:rPr>
        <w:t>/</w:t>
      </w:r>
      <w:r w:rsidR="005058F6" w:rsidRPr="00BA6CB4">
        <w:rPr>
          <w:rFonts w:eastAsia="SimSun"/>
          <w:lang w:eastAsia="zh-CN"/>
        </w:rPr>
        <w:t>结束时间、监测时段</w:t>
      </w:r>
      <w:bookmarkEnd w:id="26"/>
    </w:p>
    <w:p w:rsidR="00A46693" w:rsidRPr="00BA6CB4" w:rsidRDefault="001103DD" w:rsidP="00BA6CB4">
      <w:pPr>
        <w:pStyle w:val="enumlev1"/>
        <w:spacing w:line="240" w:lineRule="auto"/>
        <w:rPr>
          <w:rFonts w:eastAsia="SimSun"/>
          <w:lang w:eastAsia="zh-CN"/>
        </w:rPr>
      </w:pPr>
      <w:bookmarkStart w:id="27" w:name="lt_pId053"/>
      <w:r w:rsidRPr="00BA6CB4">
        <w:rPr>
          <w:rFonts w:eastAsia="SimSun"/>
          <w:lang w:val="fr-CH" w:eastAsia="zh-CN"/>
        </w:rPr>
        <w:t>•</w:t>
      </w:r>
      <w:r w:rsidRPr="00BA6CB4">
        <w:rPr>
          <w:rFonts w:eastAsia="SimSun"/>
          <w:lang w:val="fr-CH" w:eastAsia="zh-CN"/>
        </w:rPr>
        <w:tab/>
      </w:r>
      <w:r w:rsidR="005058F6" w:rsidRPr="00BA6CB4">
        <w:rPr>
          <w:rFonts w:eastAsia="SimSun"/>
          <w:lang w:eastAsia="zh-CN"/>
        </w:rPr>
        <w:t>405.9-406 MHz</w:t>
      </w:r>
      <w:r w:rsidR="005058F6" w:rsidRPr="00BA6CB4">
        <w:rPr>
          <w:rFonts w:eastAsia="SimSun"/>
          <w:lang w:eastAsia="zh-CN"/>
        </w:rPr>
        <w:t>频段内监测设备天线接收到的平均、最小和最大电场强度（单位：</w:t>
      </w:r>
      <w:proofErr w:type="spellStart"/>
      <w:r w:rsidR="005058F6" w:rsidRPr="00BA6CB4">
        <w:rPr>
          <w:rFonts w:eastAsia="SimSun"/>
          <w:lang w:eastAsia="zh-CN"/>
        </w:rPr>
        <w:t>dBµV</w:t>
      </w:r>
      <w:proofErr w:type="spellEnd"/>
      <w:r w:rsidR="005058F6" w:rsidRPr="00BA6CB4">
        <w:rPr>
          <w:rFonts w:eastAsia="SimSun"/>
          <w:lang w:eastAsia="zh-CN"/>
        </w:rPr>
        <w:t>/m</w:t>
      </w:r>
      <w:r w:rsidR="005058F6" w:rsidRPr="00BA6CB4">
        <w:rPr>
          <w:rFonts w:eastAsia="SimSun"/>
          <w:lang w:eastAsia="zh-CN"/>
        </w:rPr>
        <w:t>）（检波器线性平均或平均）以及最小和最大接收机功率（单位：</w:t>
      </w:r>
      <w:proofErr w:type="spellStart"/>
      <w:r w:rsidR="005058F6" w:rsidRPr="00BA6CB4">
        <w:rPr>
          <w:rFonts w:eastAsia="SimSun"/>
          <w:lang w:eastAsia="zh-CN"/>
        </w:rPr>
        <w:t>dBµW</w:t>
      </w:r>
      <w:proofErr w:type="spellEnd"/>
      <w:r w:rsidR="005058F6" w:rsidRPr="00BA6CB4">
        <w:rPr>
          <w:rFonts w:eastAsia="SimSun"/>
          <w:lang w:eastAsia="zh-CN"/>
        </w:rPr>
        <w:t>）（检波器对数平均）</w:t>
      </w:r>
      <w:bookmarkEnd w:id="27"/>
    </w:p>
    <w:p w:rsidR="00A46693" w:rsidRPr="00BA6CB4" w:rsidRDefault="001103DD" w:rsidP="00BA6CB4">
      <w:pPr>
        <w:pStyle w:val="enumlev1"/>
        <w:spacing w:line="240" w:lineRule="auto"/>
        <w:rPr>
          <w:rFonts w:eastAsia="SimSun"/>
          <w:highlight w:val="cyan"/>
          <w:lang w:eastAsia="zh-CN"/>
        </w:rPr>
      </w:pPr>
      <w:r w:rsidRPr="00BA6CB4">
        <w:rPr>
          <w:rFonts w:eastAsia="SimSun"/>
          <w:lang w:val="fr-CH" w:eastAsia="zh-CN"/>
        </w:rPr>
        <w:t>•</w:t>
      </w:r>
      <w:r w:rsidRPr="00BA6CB4">
        <w:rPr>
          <w:rFonts w:eastAsia="SimSun"/>
          <w:lang w:val="fr-CH" w:eastAsia="zh-CN"/>
        </w:rPr>
        <w:tab/>
      </w:r>
      <w:r w:rsidR="005058F6" w:rsidRPr="00BA6CB4">
        <w:rPr>
          <w:rFonts w:eastAsia="SimSun"/>
          <w:lang w:eastAsia="zh-CN"/>
        </w:rPr>
        <w:t>406.1-406.2 MHz</w:t>
      </w:r>
      <w:r w:rsidR="005058F6" w:rsidRPr="00BA6CB4">
        <w:rPr>
          <w:rFonts w:eastAsia="SimSun"/>
          <w:lang w:eastAsia="zh-CN"/>
        </w:rPr>
        <w:t>频段内监测设备天线接收到的平均、最小和最大电场强度（单位：</w:t>
      </w:r>
      <w:proofErr w:type="spellStart"/>
      <w:r w:rsidR="005058F6" w:rsidRPr="00BA6CB4">
        <w:rPr>
          <w:rFonts w:eastAsia="SimSun"/>
          <w:lang w:eastAsia="zh-CN"/>
        </w:rPr>
        <w:t>dBµV</w:t>
      </w:r>
      <w:proofErr w:type="spellEnd"/>
      <w:r w:rsidR="005058F6" w:rsidRPr="00BA6CB4">
        <w:rPr>
          <w:rFonts w:eastAsia="SimSun"/>
          <w:lang w:eastAsia="zh-CN"/>
        </w:rPr>
        <w:t>/m</w:t>
      </w:r>
      <w:r w:rsidR="005058F6" w:rsidRPr="00BA6CB4">
        <w:rPr>
          <w:rFonts w:eastAsia="SimSun"/>
          <w:lang w:eastAsia="zh-CN"/>
        </w:rPr>
        <w:t>）（检波器线性平均或平均）以及最小和最大接收机功率（单位：</w:t>
      </w:r>
      <w:proofErr w:type="spellStart"/>
      <w:r w:rsidR="005058F6" w:rsidRPr="00BA6CB4">
        <w:rPr>
          <w:rFonts w:eastAsia="SimSun"/>
          <w:lang w:eastAsia="zh-CN"/>
        </w:rPr>
        <w:t>dBµW</w:t>
      </w:r>
      <w:proofErr w:type="spellEnd"/>
      <w:r w:rsidR="005058F6" w:rsidRPr="00BA6CB4">
        <w:rPr>
          <w:rFonts w:eastAsia="SimSun"/>
          <w:lang w:eastAsia="zh-CN"/>
        </w:rPr>
        <w:t>）（检波器对数平均）</w:t>
      </w:r>
    </w:p>
    <w:p w:rsidR="00A46693" w:rsidRPr="00BA6CB4" w:rsidRDefault="005058F6" w:rsidP="00BA6CB4">
      <w:pPr>
        <w:tabs>
          <w:tab w:val="left" w:pos="426"/>
        </w:tabs>
        <w:spacing w:line="240" w:lineRule="auto"/>
        <w:ind w:firstLineChars="200" w:firstLine="480"/>
        <w:rPr>
          <w:rFonts w:eastAsia="SimSun"/>
          <w:lang w:eastAsia="zh-CN"/>
        </w:rPr>
      </w:pPr>
      <w:bookmarkStart w:id="28" w:name="lt_pId055"/>
      <w:r w:rsidRPr="00BA6CB4">
        <w:rPr>
          <w:rFonts w:eastAsia="SimSun"/>
          <w:lang w:eastAsia="zh-CN"/>
        </w:rPr>
        <w:t>如果监测到了发射，数据库将包括以下参数：</w:t>
      </w:r>
      <w:bookmarkEnd w:id="28"/>
    </w:p>
    <w:p w:rsidR="00A46693" w:rsidRPr="00BA6CB4" w:rsidRDefault="001103DD" w:rsidP="00BA6CB4">
      <w:pPr>
        <w:pStyle w:val="enumlev1"/>
        <w:spacing w:line="240" w:lineRule="auto"/>
        <w:rPr>
          <w:rFonts w:eastAsia="SimSun"/>
          <w:lang w:eastAsia="zh-CN"/>
        </w:rPr>
      </w:pPr>
      <w:bookmarkStart w:id="29" w:name="lt_pId056"/>
      <w:r w:rsidRPr="00BA6CB4">
        <w:rPr>
          <w:rFonts w:eastAsia="SimSun"/>
          <w:lang w:val="fr-CH" w:eastAsia="zh-CN"/>
        </w:rPr>
        <w:t>•</w:t>
      </w:r>
      <w:r w:rsidRPr="00BA6CB4">
        <w:rPr>
          <w:rFonts w:eastAsia="SimSun"/>
          <w:lang w:val="fr-CH" w:eastAsia="zh-CN"/>
        </w:rPr>
        <w:tab/>
      </w:r>
      <w:r w:rsidR="005D7C3B" w:rsidRPr="00BA6CB4">
        <w:rPr>
          <w:rFonts w:eastAsia="SimSun"/>
          <w:lang w:eastAsia="zh-CN"/>
        </w:rPr>
        <w:t>给定</w:t>
      </w:r>
      <w:r w:rsidR="005058F6" w:rsidRPr="00BA6CB4">
        <w:rPr>
          <w:rFonts w:eastAsia="SimSun"/>
          <w:lang w:eastAsia="zh-CN"/>
        </w:rPr>
        <w:t>发射带宽的中心频率</w:t>
      </w:r>
      <w:r w:rsidR="005D7C3B" w:rsidRPr="00BA6CB4">
        <w:rPr>
          <w:rFonts w:eastAsia="SimSun"/>
          <w:lang w:eastAsia="zh-CN"/>
        </w:rPr>
        <w:t>（接收机的分辨率带</w:t>
      </w:r>
      <w:r w:rsidR="005D7C3B" w:rsidRPr="00BA6CB4">
        <w:rPr>
          <w:rFonts w:eastAsia="SimSun" w:hint="eastAsia"/>
          <w:lang w:eastAsia="zh-CN"/>
        </w:rPr>
        <w:t>宽</w:t>
      </w:r>
      <w:r w:rsidR="005D7C3B" w:rsidRPr="00BA6CB4">
        <w:rPr>
          <w:rFonts w:eastAsia="SimSun"/>
          <w:lang w:eastAsia="zh-CN"/>
        </w:rPr>
        <w:t>为</w:t>
      </w:r>
      <w:r w:rsidR="005D7C3B" w:rsidRPr="00BA6CB4">
        <w:rPr>
          <w:rFonts w:eastAsia="SimSun"/>
          <w:lang w:eastAsia="zh-CN"/>
        </w:rPr>
        <w:t>100 Hz</w:t>
      </w:r>
      <w:r w:rsidR="005D7C3B" w:rsidRPr="00BA6CB4">
        <w:rPr>
          <w:rFonts w:eastAsia="SimSun"/>
          <w:lang w:eastAsia="zh-CN"/>
        </w:rPr>
        <w:t>左右）</w:t>
      </w:r>
      <w:bookmarkEnd w:id="29"/>
    </w:p>
    <w:p w:rsidR="00A46693" w:rsidRPr="00BA6CB4" w:rsidRDefault="001103DD" w:rsidP="00BA6CB4">
      <w:pPr>
        <w:pStyle w:val="enumlev1"/>
        <w:spacing w:line="240" w:lineRule="auto"/>
        <w:rPr>
          <w:rFonts w:eastAsia="SimSun"/>
          <w:lang w:eastAsia="zh-CN"/>
        </w:rPr>
      </w:pPr>
      <w:bookmarkStart w:id="30" w:name="lt_pId057"/>
      <w:r w:rsidRPr="00BA6CB4">
        <w:rPr>
          <w:rFonts w:eastAsia="SimSun"/>
          <w:lang w:val="fr-CH" w:eastAsia="zh-CN"/>
        </w:rPr>
        <w:t>•</w:t>
      </w:r>
      <w:r w:rsidRPr="00BA6CB4">
        <w:rPr>
          <w:rFonts w:eastAsia="SimSun"/>
          <w:lang w:val="fr-CH" w:eastAsia="zh-CN"/>
        </w:rPr>
        <w:tab/>
      </w:r>
      <w:r w:rsidR="005D7C3B" w:rsidRPr="00BA6CB4">
        <w:rPr>
          <w:rFonts w:eastAsia="SimSun"/>
          <w:lang w:eastAsia="zh-CN"/>
        </w:rPr>
        <w:t>各次观测的检索带宽（</w:t>
      </w:r>
      <w:r w:rsidR="005D7C3B" w:rsidRPr="00BA6CB4">
        <w:rPr>
          <w:rFonts w:eastAsia="SimSun" w:hint="eastAsia"/>
          <w:lang w:eastAsia="zh-CN"/>
        </w:rPr>
        <w:t>r</w:t>
      </w:r>
      <w:r w:rsidR="005D7C3B" w:rsidRPr="00BA6CB4">
        <w:rPr>
          <w:rFonts w:eastAsia="SimSun"/>
          <w:lang w:eastAsia="zh-CN"/>
        </w:rPr>
        <w:t>etrieved bandwidth</w:t>
      </w:r>
      <w:r w:rsidR="005D7C3B" w:rsidRPr="00BA6CB4">
        <w:rPr>
          <w:rFonts w:eastAsia="SimSun"/>
          <w:lang w:eastAsia="zh-CN"/>
        </w:rPr>
        <w:t>）</w:t>
      </w:r>
      <w:bookmarkEnd w:id="30"/>
    </w:p>
    <w:p w:rsidR="00A46693" w:rsidRPr="00BA6CB4" w:rsidRDefault="001103DD" w:rsidP="00BA6CB4">
      <w:pPr>
        <w:pStyle w:val="enumlev1"/>
        <w:spacing w:line="240" w:lineRule="auto"/>
        <w:rPr>
          <w:rFonts w:eastAsia="SimSun"/>
          <w:lang w:eastAsia="zh-CN"/>
        </w:rPr>
      </w:pPr>
      <w:bookmarkStart w:id="31" w:name="lt_pId058"/>
      <w:r w:rsidRPr="00BA6CB4">
        <w:rPr>
          <w:rFonts w:eastAsia="SimSun"/>
          <w:lang w:val="fr-CH" w:eastAsia="zh-CN"/>
        </w:rPr>
        <w:t>•</w:t>
      </w:r>
      <w:r w:rsidRPr="00BA6CB4">
        <w:rPr>
          <w:rFonts w:eastAsia="SimSun"/>
          <w:lang w:val="fr-CH" w:eastAsia="zh-CN"/>
        </w:rPr>
        <w:tab/>
      </w:r>
      <w:r w:rsidR="005D7C3B" w:rsidRPr="00BA6CB4">
        <w:rPr>
          <w:rFonts w:eastAsia="SimSun"/>
          <w:lang w:eastAsia="zh-CN"/>
        </w:rPr>
        <w:t>监测设备天线接收到的电场强度（</w:t>
      </w:r>
      <w:proofErr w:type="spellStart"/>
      <w:r w:rsidR="005D7C3B" w:rsidRPr="00BA6CB4">
        <w:rPr>
          <w:rFonts w:eastAsia="SimSun"/>
          <w:lang w:eastAsia="zh-CN"/>
        </w:rPr>
        <w:t>dBµV</w:t>
      </w:r>
      <w:proofErr w:type="spellEnd"/>
      <w:r w:rsidR="005D7C3B" w:rsidRPr="00BA6CB4">
        <w:rPr>
          <w:rFonts w:eastAsia="SimSun"/>
          <w:lang w:eastAsia="zh-CN"/>
        </w:rPr>
        <w:t>/m</w:t>
      </w:r>
      <w:r w:rsidR="005D7C3B" w:rsidRPr="00BA6CB4">
        <w:rPr>
          <w:rFonts w:eastAsia="SimSun"/>
          <w:lang w:eastAsia="zh-CN"/>
        </w:rPr>
        <w:t>）</w:t>
      </w:r>
      <w:bookmarkEnd w:id="31"/>
    </w:p>
    <w:p w:rsidR="00A46693" w:rsidRPr="00BA6CB4" w:rsidRDefault="001103DD" w:rsidP="00BA6CB4">
      <w:pPr>
        <w:pStyle w:val="enumlev1"/>
        <w:spacing w:line="240" w:lineRule="auto"/>
        <w:rPr>
          <w:rFonts w:eastAsia="SimSun"/>
          <w:lang w:eastAsia="zh-CN"/>
        </w:rPr>
      </w:pPr>
      <w:bookmarkStart w:id="32" w:name="lt_pId059"/>
      <w:r w:rsidRPr="00BA6CB4">
        <w:rPr>
          <w:rFonts w:eastAsia="SimSun"/>
          <w:lang w:val="fr-CH" w:eastAsia="zh-CN"/>
        </w:rPr>
        <w:t>•</w:t>
      </w:r>
      <w:r w:rsidRPr="00BA6CB4">
        <w:rPr>
          <w:rFonts w:eastAsia="SimSun"/>
          <w:lang w:val="fr-CH" w:eastAsia="zh-CN"/>
        </w:rPr>
        <w:tab/>
      </w:r>
      <w:r w:rsidR="005D7C3B" w:rsidRPr="00BA6CB4">
        <w:rPr>
          <w:rFonts w:eastAsia="SimSun"/>
          <w:lang w:eastAsia="zh-CN"/>
        </w:rPr>
        <w:t>采用定向天线进行测量的接收方位角</w:t>
      </w:r>
      <w:bookmarkEnd w:id="32"/>
    </w:p>
    <w:p w:rsidR="00A46693" w:rsidRPr="00BA6CB4" w:rsidRDefault="005D7C3B" w:rsidP="00BA6CB4">
      <w:pPr>
        <w:spacing w:line="240" w:lineRule="auto"/>
        <w:ind w:firstLineChars="200" w:firstLine="480"/>
        <w:rPr>
          <w:rFonts w:eastAsia="SimSun"/>
          <w:lang w:eastAsia="zh-CN"/>
        </w:rPr>
      </w:pPr>
      <w:bookmarkStart w:id="33" w:name="lt_pId060"/>
      <w:r w:rsidRPr="00BA6CB4">
        <w:rPr>
          <w:rFonts w:eastAsia="SimSun"/>
          <w:lang w:eastAsia="zh-CN"/>
        </w:rPr>
        <w:t>可提供其他可用的监测输出、如信道占用度等。</w:t>
      </w:r>
      <w:bookmarkEnd w:id="33"/>
    </w:p>
    <w:p w:rsidR="001103DD" w:rsidRPr="00BA6CB4" w:rsidRDefault="005D7C3B" w:rsidP="00BA6CB4">
      <w:pPr>
        <w:spacing w:before="120" w:line="240" w:lineRule="auto"/>
        <w:ind w:firstLineChars="200" w:firstLine="480"/>
        <w:rPr>
          <w:rFonts w:eastAsia="SimSun"/>
          <w:lang w:eastAsia="zh-CN"/>
        </w:rPr>
      </w:pPr>
      <w:bookmarkStart w:id="34" w:name="lt_pId061"/>
      <w:r w:rsidRPr="00BA6CB4">
        <w:rPr>
          <w:rFonts w:eastAsia="SimSun"/>
          <w:lang w:eastAsia="zh-CN"/>
        </w:rPr>
        <w:t>希望提供数据的主管部门应定期开展监测活动（如可能时，每年多次）。应根据观测类型优化监测时长：固定时长（通常为</w:t>
      </w:r>
      <w:r w:rsidRPr="00BA6CB4">
        <w:rPr>
          <w:rFonts w:eastAsia="SimSun" w:hint="eastAsia"/>
          <w:lang w:eastAsia="zh-CN"/>
        </w:rPr>
        <w:t>2</w:t>
      </w:r>
      <w:r w:rsidRPr="00BA6CB4">
        <w:rPr>
          <w:rFonts w:eastAsia="SimSun" w:hint="eastAsia"/>
          <w:lang w:eastAsia="zh-CN"/>
        </w:rPr>
        <w:t>天</w:t>
      </w:r>
      <w:r w:rsidRPr="00BA6CB4">
        <w:rPr>
          <w:rFonts w:eastAsia="SimSun"/>
          <w:lang w:eastAsia="zh-CN"/>
        </w:rPr>
        <w:t>）。</w:t>
      </w:r>
      <w:bookmarkStart w:id="35" w:name="lt_pId063"/>
      <w:bookmarkEnd w:id="34"/>
    </w:p>
    <w:p w:rsidR="00A46693" w:rsidRPr="00BA6CB4" w:rsidRDefault="001103DD" w:rsidP="00BA6CB4">
      <w:pPr>
        <w:pStyle w:val="Heading1"/>
        <w:spacing w:before="240" w:line="240" w:lineRule="auto"/>
        <w:rPr>
          <w:rFonts w:eastAsia="SimSun"/>
          <w:lang w:eastAsia="zh-CN"/>
        </w:rPr>
      </w:pPr>
      <w:r w:rsidRPr="00BA6CB4">
        <w:rPr>
          <w:rFonts w:eastAsia="SimSun" w:hint="eastAsia"/>
          <w:lang w:eastAsia="zh-CN"/>
        </w:rPr>
        <w:t>2</w:t>
      </w:r>
      <w:r w:rsidRPr="00BA6CB4">
        <w:rPr>
          <w:rFonts w:eastAsia="SimSun" w:hint="eastAsia"/>
          <w:lang w:eastAsia="zh-CN"/>
        </w:rPr>
        <w:tab/>
      </w:r>
      <w:r w:rsidR="00D27532" w:rsidRPr="00BA6CB4">
        <w:rPr>
          <w:rFonts w:eastAsia="SimSun"/>
          <w:lang w:eastAsia="zh-CN"/>
        </w:rPr>
        <w:t>卫星监测所需的信息</w:t>
      </w:r>
      <w:bookmarkEnd w:id="35"/>
    </w:p>
    <w:p w:rsidR="00A46693" w:rsidRPr="00BA6CB4" w:rsidRDefault="00E85A7D" w:rsidP="00BA6CB4">
      <w:pPr>
        <w:spacing w:line="240" w:lineRule="auto"/>
        <w:ind w:firstLineChars="200" w:firstLine="480"/>
        <w:rPr>
          <w:rFonts w:eastAsia="SimSun"/>
          <w:lang w:eastAsia="zh-CN"/>
        </w:rPr>
      </w:pPr>
      <w:bookmarkStart w:id="36" w:name="lt_pId064"/>
      <w:r w:rsidRPr="00BA6CB4">
        <w:rPr>
          <w:rFonts w:eastAsia="SimSun"/>
          <w:lang w:eastAsia="zh-CN"/>
        </w:rPr>
        <w:t>拥有卫星基础设施的空间机构、组织或国际组织可提供以下信息：</w:t>
      </w:r>
      <w:bookmarkEnd w:id="36"/>
    </w:p>
    <w:p w:rsidR="00A46693" w:rsidRPr="00BA6CB4" w:rsidRDefault="001103DD" w:rsidP="00BA6CB4">
      <w:pPr>
        <w:pStyle w:val="enumlev1"/>
        <w:spacing w:line="240" w:lineRule="auto"/>
        <w:rPr>
          <w:rFonts w:eastAsia="SimSun"/>
          <w:lang w:eastAsia="zh-CN"/>
        </w:rPr>
      </w:pPr>
      <w:bookmarkStart w:id="37" w:name="lt_pId065"/>
      <w:r w:rsidRPr="00BA6CB4">
        <w:rPr>
          <w:rFonts w:eastAsia="SimSun"/>
          <w:lang w:val="fr-CH" w:eastAsia="zh-CN"/>
        </w:rPr>
        <w:t>•</w:t>
      </w:r>
      <w:r w:rsidRPr="00BA6CB4">
        <w:rPr>
          <w:rFonts w:eastAsia="SimSun"/>
          <w:lang w:val="fr-CH" w:eastAsia="zh-CN"/>
        </w:rPr>
        <w:tab/>
      </w:r>
      <w:r w:rsidR="00E85A7D" w:rsidRPr="00BA6CB4">
        <w:rPr>
          <w:rFonts w:eastAsia="SimSun"/>
          <w:lang w:eastAsia="zh-CN"/>
        </w:rPr>
        <w:t>开始</w:t>
      </w:r>
      <w:r w:rsidR="00E85A7D" w:rsidRPr="00BA6CB4">
        <w:rPr>
          <w:rFonts w:eastAsia="SimSun" w:hint="eastAsia"/>
          <w:lang w:eastAsia="zh-CN"/>
        </w:rPr>
        <w:t>/</w:t>
      </w:r>
      <w:r w:rsidR="00E85A7D" w:rsidRPr="00BA6CB4">
        <w:rPr>
          <w:rFonts w:eastAsia="SimSun"/>
          <w:lang w:eastAsia="zh-CN"/>
        </w:rPr>
        <w:t>结束时间、监测时段</w:t>
      </w:r>
      <w:bookmarkEnd w:id="37"/>
    </w:p>
    <w:p w:rsidR="00A46693" w:rsidRPr="00BA6CB4" w:rsidRDefault="001103DD" w:rsidP="00BA6CB4">
      <w:pPr>
        <w:pStyle w:val="enumlev1"/>
        <w:spacing w:line="240" w:lineRule="auto"/>
        <w:rPr>
          <w:rFonts w:eastAsia="SimSun"/>
          <w:lang w:eastAsia="zh-CN"/>
        </w:rPr>
      </w:pPr>
      <w:bookmarkStart w:id="38" w:name="lt_pId066"/>
      <w:r w:rsidRPr="00BA6CB4">
        <w:rPr>
          <w:rFonts w:eastAsia="SimSun"/>
          <w:lang w:val="fr-CH" w:eastAsia="zh-CN"/>
        </w:rPr>
        <w:t>•</w:t>
      </w:r>
      <w:r w:rsidRPr="00BA6CB4">
        <w:rPr>
          <w:rFonts w:eastAsia="SimSun"/>
          <w:lang w:val="fr-CH" w:eastAsia="zh-CN"/>
        </w:rPr>
        <w:tab/>
      </w:r>
      <w:r w:rsidR="00E85A7D" w:rsidRPr="00BA6CB4">
        <w:rPr>
          <w:rFonts w:eastAsia="SimSun"/>
          <w:lang w:eastAsia="zh-CN"/>
        </w:rPr>
        <w:t>平均经纬度、监测到的发射的位置，包括所处国家和距离最近的大城市</w:t>
      </w:r>
      <w:bookmarkEnd w:id="38"/>
    </w:p>
    <w:p w:rsidR="00A46693" w:rsidRPr="00BA6CB4" w:rsidRDefault="001103DD" w:rsidP="00BA6CB4">
      <w:pPr>
        <w:pStyle w:val="enumlev1"/>
        <w:spacing w:line="240" w:lineRule="auto"/>
        <w:rPr>
          <w:rFonts w:eastAsia="SimSun"/>
          <w:lang w:eastAsia="zh-CN"/>
        </w:rPr>
      </w:pPr>
      <w:bookmarkStart w:id="39" w:name="lt_pId067"/>
      <w:r w:rsidRPr="00BA6CB4">
        <w:rPr>
          <w:rFonts w:eastAsia="SimSun"/>
          <w:lang w:val="fr-CH" w:eastAsia="zh-CN"/>
        </w:rPr>
        <w:t>•</w:t>
      </w:r>
      <w:r w:rsidRPr="00BA6CB4">
        <w:rPr>
          <w:rFonts w:eastAsia="SimSun"/>
          <w:lang w:val="fr-CH" w:eastAsia="zh-CN"/>
        </w:rPr>
        <w:tab/>
      </w:r>
      <w:r w:rsidR="00E85A7D" w:rsidRPr="00BA6CB4">
        <w:rPr>
          <w:rFonts w:eastAsia="SimSun"/>
          <w:lang w:eastAsia="zh-CN"/>
        </w:rPr>
        <w:t>已进行发射的时长和时间</w:t>
      </w:r>
      <w:bookmarkEnd w:id="39"/>
    </w:p>
    <w:p w:rsidR="00A46693" w:rsidRPr="00BA6CB4" w:rsidRDefault="001103DD" w:rsidP="00BA6CB4">
      <w:pPr>
        <w:pStyle w:val="enumlev1"/>
        <w:spacing w:line="240" w:lineRule="auto"/>
        <w:rPr>
          <w:rFonts w:eastAsia="SimSun"/>
          <w:highlight w:val="lightGray"/>
          <w:lang w:eastAsia="zh-CN"/>
        </w:rPr>
      </w:pPr>
      <w:bookmarkStart w:id="40" w:name="lt_pId068"/>
      <w:r w:rsidRPr="00BA6CB4">
        <w:rPr>
          <w:rFonts w:eastAsia="SimSun"/>
          <w:lang w:val="fr-CH" w:eastAsia="zh-CN"/>
        </w:rPr>
        <w:t>•</w:t>
      </w:r>
      <w:r w:rsidRPr="00BA6CB4">
        <w:rPr>
          <w:rFonts w:eastAsia="SimSun"/>
          <w:lang w:val="fr-CH" w:eastAsia="zh-CN"/>
        </w:rPr>
        <w:tab/>
      </w:r>
      <w:r w:rsidR="00E85A7D" w:rsidRPr="00BA6CB4">
        <w:rPr>
          <w:rFonts w:eastAsia="SimSun"/>
          <w:lang w:eastAsia="zh-CN"/>
        </w:rPr>
        <w:t>给定发射带宽的中心频率</w:t>
      </w:r>
      <w:bookmarkEnd w:id="40"/>
    </w:p>
    <w:p w:rsidR="00A46693" w:rsidRPr="00BA6CB4" w:rsidRDefault="001103DD" w:rsidP="00BA6CB4">
      <w:pPr>
        <w:pStyle w:val="enumlev1"/>
        <w:spacing w:line="240" w:lineRule="auto"/>
        <w:rPr>
          <w:rFonts w:eastAsia="SimSun"/>
          <w:lang w:eastAsia="zh-CN"/>
        </w:rPr>
      </w:pPr>
      <w:bookmarkStart w:id="41" w:name="lt_pId069"/>
      <w:r w:rsidRPr="00BA6CB4">
        <w:rPr>
          <w:rFonts w:eastAsia="SimSun"/>
          <w:lang w:val="fr-CH" w:eastAsia="zh-CN"/>
        </w:rPr>
        <w:t>•</w:t>
      </w:r>
      <w:r w:rsidRPr="00BA6CB4">
        <w:rPr>
          <w:rFonts w:eastAsia="SimSun"/>
          <w:lang w:val="fr-CH" w:eastAsia="zh-CN"/>
        </w:rPr>
        <w:tab/>
      </w:r>
      <w:r w:rsidR="00E85A7D" w:rsidRPr="00BA6CB4">
        <w:rPr>
          <w:rFonts w:eastAsia="SimSun"/>
          <w:lang w:eastAsia="zh-CN"/>
        </w:rPr>
        <w:t>观测到的各次发射的检索带宽</w:t>
      </w:r>
      <w:bookmarkEnd w:id="41"/>
    </w:p>
    <w:p w:rsidR="00A46693" w:rsidRPr="00BA6CB4" w:rsidRDefault="001103DD" w:rsidP="00BA6CB4">
      <w:pPr>
        <w:pStyle w:val="enumlev1"/>
        <w:spacing w:line="240" w:lineRule="auto"/>
        <w:rPr>
          <w:rFonts w:eastAsia="SimSun"/>
          <w:lang w:eastAsia="zh-CN"/>
        </w:rPr>
      </w:pPr>
      <w:bookmarkStart w:id="42" w:name="lt_pId070"/>
      <w:r w:rsidRPr="00BA6CB4">
        <w:rPr>
          <w:rFonts w:eastAsia="SimSun"/>
          <w:lang w:val="fr-CH" w:eastAsia="zh-CN"/>
        </w:rPr>
        <w:t>•</w:t>
      </w:r>
      <w:r w:rsidRPr="00BA6CB4">
        <w:rPr>
          <w:rFonts w:eastAsia="SimSun"/>
          <w:lang w:val="fr-CH" w:eastAsia="zh-CN"/>
        </w:rPr>
        <w:tab/>
      </w:r>
      <w:r w:rsidR="00E85A7D" w:rsidRPr="00BA6CB4">
        <w:rPr>
          <w:rFonts w:eastAsia="SimSun"/>
          <w:lang w:eastAsia="zh-CN"/>
        </w:rPr>
        <w:t>信号强度</w:t>
      </w:r>
      <w:bookmarkEnd w:id="42"/>
    </w:p>
    <w:p w:rsidR="00A46693" w:rsidRPr="00BA6CB4" w:rsidRDefault="001103DD" w:rsidP="00BA6CB4">
      <w:pPr>
        <w:pStyle w:val="enumlev1"/>
        <w:spacing w:line="240" w:lineRule="auto"/>
        <w:rPr>
          <w:rFonts w:eastAsia="SimSun"/>
          <w:lang w:eastAsia="zh-CN"/>
        </w:rPr>
      </w:pPr>
      <w:bookmarkStart w:id="43" w:name="lt_pId071"/>
      <w:r w:rsidRPr="00BA6CB4">
        <w:rPr>
          <w:rFonts w:eastAsia="SimSun"/>
          <w:lang w:val="fr-CH" w:eastAsia="zh-CN"/>
        </w:rPr>
        <w:t>•</w:t>
      </w:r>
      <w:r w:rsidRPr="00BA6CB4">
        <w:rPr>
          <w:rFonts w:eastAsia="SimSun"/>
          <w:lang w:val="fr-CH" w:eastAsia="zh-CN"/>
        </w:rPr>
        <w:tab/>
      </w:r>
      <w:r w:rsidR="00E85A7D" w:rsidRPr="00BA6CB4">
        <w:rPr>
          <w:rFonts w:eastAsia="SimSun"/>
          <w:lang w:eastAsia="zh-CN"/>
        </w:rPr>
        <w:t>采用定向天线进行测量的接收方位角</w:t>
      </w:r>
      <w:bookmarkEnd w:id="43"/>
    </w:p>
    <w:p w:rsidR="00E85A7D" w:rsidRPr="00BA6CB4" w:rsidRDefault="00E85A7D" w:rsidP="00BA6CB4">
      <w:pPr>
        <w:spacing w:line="240" w:lineRule="auto"/>
        <w:ind w:firstLineChars="200" w:firstLine="480"/>
        <w:rPr>
          <w:rFonts w:eastAsia="SimSun"/>
          <w:lang w:eastAsia="zh-CN"/>
        </w:rPr>
      </w:pPr>
      <w:bookmarkStart w:id="44" w:name="lt_pId072"/>
      <w:r w:rsidRPr="00BA6CB4">
        <w:rPr>
          <w:rFonts w:eastAsia="SimSun"/>
          <w:lang w:eastAsia="zh-CN"/>
        </w:rPr>
        <w:t>希望提供数据的空间机构、组织或国际组织应定期开展监测活动（如可能时，每年多次）。应根据观测类型优化监测时长：固定时长（通常为</w:t>
      </w:r>
      <w:r w:rsidRPr="00BA6CB4">
        <w:rPr>
          <w:rFonts w:eastAsia="SimSun" w:hint="eastAsia"/>
          <w:lang w:eastAsia="zh-CN"/>
        </w:rPr>
        <w:t>2</w:t>
      </w:r>
      <w:r w:rsidRPr="00BA6CB4">
        <w:rPr>
          <w:rFonts w:eastAsia="SimSun" w:hint="eastAsia"/>
          <w:lang w:eastAsia="zh-CN"/>
        </w:rPr>
        <w:t>天</w:t>
      </w:r>
      <w:r w:rsidRPr="00BA6CB4">
        <w:rPr>
          <w:rFonts w:eastAsia="SimSun"/>
          <w:lang w:eastAsia="zh-CN"/>
        </w:rPr>
        <w:t>）。</w:t>
      </w:r>
    </w:p>
    <w:bookmarkEnd w:id="44"/>
    <w:p w:rsidR="006B12D0" w:rsidRPr="00BE5844" w:rsidRDefault="006B12D0" w:rsidP="00BE5844">
      <w:pPr>
        <w:spacing w:line="240" w:lineRule="auto"/>
        <w:jc w:val="center"/>
        <w:rPr>
          <w:rFonts w:asciiTheme="minorHAnsi" w:hAnsiTheme="minorHAnsi" w:cstheme="minorHAnsi"/>
          <w:szCs w:val="24"/>
          <w:lang w:eastAsia="zh-CN"/>
        </w:rPr>
      </w:pPr>
      <w:r w:rsidRPr="00BA6CB4">
        <w:rPr>
          <w:rFonts w:eastAsia="SimSun" w:cstheme="minorHAnsi"/>
          <w:szCs w:val="24"/>
          <w:lang w:eastAsia="zh-CN"/>
        </w:rPr>
        <w:t>______________</w:t>
      </w:r>
    </w:p>
    <w:sectPr w:rsidR="006B12D0" w:rsidRPr="00BE5844" w:rsidSect="000A08DD">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A2" w:rsidRDefault="00AD17A2">
      <w:r>
        <w:separator/>
      </w:r>
    </w:p>
  </w:endnote>
  <w:endnote w:type="continuationSeparator" w:id="0">
    <w:p w:rsidR="00AD17A2" w:rsidRDefault="00AD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A2" w:rsidRPr="00D738EB" w:rsidRDefault="00AD17A2" w:rsidP="00D738EB">
    <w:pPr>
      <w:pStyle w:val="Footer"/>
      <w:tabs>
        <w:tab w:val="clear" w:pos="4320"/>
        <w:tab w:val="clear" w:pos="8640"/>
        <w:tab w:val="center" w:pos="5670"/>
        <w:tab w:val="right" w:pos="9639"/>
      </w:tabs>
      <w:rPr>
        <w:sz w:val="16"/>
        <w:szCs w:val="16"/>
      </w:rPr>
    </w:pPr>
    <w:r w:rsidRPr="00D738EB">
      <w:rPr>
        <w:sz w:val="16"/>
        <w:szCs w:val="16"/>
      </w:rPr>
      <w:fldChar w:fldCharType="begin"/>
    </w:r>
    <w:r w:rsidRPr="00D738EB">
      <w:rPr>
        <w:sz w:val="16"/>
        <w:szCs w:val="16"/>
      </w:rPr>
      <w:instrText xml:space="preserve"> FILENAME \p  \* MERGEFORMAT </w:instrText>
    </w:r>
    <w:r w:rsidRPr="00D738EB">
      <w:rPr>
        <w:sz w:val="16"/>
        <w:szCs w:val="16"/>
      </w:rPr>
      <w:fldChar w:fldCharType="separate"/>
    </w:r>
    <w:r w:rsidR="00C0637A">
      <w:rPr>
        <w:noProof/>
        <w:sz w:val="16"/>
        <w:szCs w:val="16"/>
      </w:rPr>
      <w:t>M:\BRTSD\TSD\Circulars\CR438\CR438_C.DOCX</w:t>
    </w:r>
    <w:r w:rsidRPr="00D738EB">
      <w:rPr>
        <w:noProof/>
        <w:sz w:val="16"/>
        <w:szCs w:val="16"/>
      </w:rPr>
      <w:fldChar w:fldCharType="end"/>
    </w:r>
    <w:r>
      <w:rPr>
        <w:noProof/>
        <w:sz w:val="16"/>
        <w:szCs w:val="16"/>
      </w:rPr>
      <w:t xml:space="preserve"> (408857)</w:t>
    </w:r>
    <w:r w:rsidRPr="00D738EB">
      <w:rPr>
        <w:sz w:val="16"/>
        <w:szCs w:val="16"/>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280F1B">
      <w:rPr>
        <w:noProof/>
        <w:sz w:val="16"/>
        <w:szCs w:val="16"/>
      </w:rPr>
      <w:t>07.12.18</w:t>
    </w:r>
    <w:r w:rsidRPr="00D738EB">
      <w:rPr>
        <w:sz w:val="16"/>
        <w:szCs w:val="16"/>
      </w:rPr>
      <w:fldChar w:fldCharType="end"/>
    </w:r>
    <w:r w:rsidRPr="00D738EB">
      <w:rPr>
        <w:sz w:val="16"/>
        <w:szCs w:val="16"/>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C0637A">
      <w:rPr>
        <w:noProof/>
        <w:sz w:val="16"/>
        <w:szCs w:val="16"/>
      </w:rPr>
      <w:t>07.12.18</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A2" w:rsidRPr="001755C1" w:rsidRDefault="00AD17A2" w:rsidP="001755C1">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A2" w:rsidRDefault="00AD17A2">
      <w:r>
        <w:t>____________________</w:t>
      </w:r>
    </w:p>
  </w:footnote>
  <w:footnote w:type="continuationSeparator" w:id="0">
    <w:p w:rsidR="00AD17A2" w:rsidRDefault="00AD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A2" w:rsidRPr="00AC1F2B" w:rsidRDefault="00AD17A2"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A2" w:rsidRPr="00F816AB" w:rsidRDefault="00AD17A2" w:rsidP="00930641">
    <w:pPr>
      <w:pStyle w:val="Header"/>
      <w:jc w:val="center"/>
      <w:rPr>
        <w:iCs/>
        <w:sz w:val="18"/>
        <w:szCs w:val="18"/>
      </w:rPr>
    </w:pPr>
    <w:r w:rsidRPr="00F816AB">
      <w:rPr>
        <w:sz w:val="18"/>
        <w:szCs w:val="18"/>
      </w:rPr>
      <w:t>-</w:t>
    </w:r>
    <w:r>
      <w:rPr>
        <w:sz w:val="18"/>
        <w:szCs w:val="18"/>
      </w:rPr>
      <w:t xml:space="preserve"> </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280F1B">
      <w:rPr>
        <w:iCs/>
        <w:noProof/>
        <w:sz w:val="18"/>
        <w:szCs w:val="18"/>
      </w:rPr>
      <w:t>3</w:t>
    </w:r>
    <w:r w:rsidRPr="00F816AB">
      <w:rPr>
        <w:iCs/>
        <w:sz w:val="18"/>
        <w:szCs w:val="18"/>
      </w:rPr>
      <w:fldChar w:fldCharType="end"/>
    </w:r>
    <w:r>
      <w:rPr>
        <w:iCs/>
        <w:sz w:val="18"/>
        <w:szCs w:val="18"/>
      </w:rPr>
      <w:t xml:space="preserve"> </w:t>
    </w:r>
    <w:r w:rsidRPr="00F816AB">
      <w:rPr>
        <w:i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C5400" w:rsidTr="008B1C26">
      <w:tc>
        <w:tcPr>
          <w:tcW w:w="9923" w:type="dxa"/>
        </w:tcPr>
        <w:p w:rsidR="007C5400" w:rsidRDefault="007C5400" w:rsidP="007C5400">
          <w:pPr>
            <w:pStyle w:val="Header"/>
            <w:tabs>
              <w:tab w:val="clear" w:pos="794"/>
              <w:tab w:val="clear" w:pos="4820"/>
            </w:tabs>
            <w:spacing w:line="360" w:lineRule="auto"/>
            <w:jc w:val="center"/>
          </w:pPr>
          <w:r>
            <w:rPr>
              <w:b/>
              <w:bCs/>
              <w:noProof/>
              <w:lang w:val="en-GB" w:eastAsia="en-GB"/>
            </w:rPr>
            <w:drawing>
              <wp:inline distT="0" distB="0" distL="0" distR="0" wp14:anchorId="67092E38" wp14:editId="663F1B2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F71EDF" w:rsidRPr="00F71EDF" w:rsidRDefault="00F71EDF"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46758"/>
    <w:multiLevelType w:val="hybridMultilevel"/>
    <w:tmpl w:val="390E1EA4"/>
    <w:lvl w:ilvl="0" w:tplc="ED9033F2">
      <w:start w:val="4"/>
      <w:numFmt w:val="bullet"/>
      <w:lvlText w:val="-"/>
      <w:lvlJc w:val="left"/>
      <w:pPr>
        <w:ind w:left="720" w:hanging="360"/>
      </w:pPr>
      <w:rPr>
        <w:rFonts w:ascii="Calibri" w:eastAsia="Times New Roman" w:hAnsi="Calibri" w:cs="Times New Roman" w:hint="default"/>
      </w:rPr>
    </w:lvl>
    <w:lvl w:ilvl="1" w:tplc="330CE3D2" w:tentative="1">
      <w:start w:val="1"/>
      <w:numFmt w:val="bullet"/>
      <w:lvlText w:val="o"/>
      <w:lvlJc w:val="left"/>
      <w:pPr>
        <w:ind w:left="1440" w:hanging="360"/>
      </w:pPr>
      <w:rPr>
        <w:rFonts w:ascii="Courier New" w:hAnsi="Courier New" w:cs="Courier New" w:hint="default"/>
      </w:rPr>
    </w:lvl>
    <w:lvl w:ilvl="2" w:tplc="76680DE2" w:tentative="1">
      <w:start w:val="1"/>
      <w:numFmt w:val="bullet"/>
      <w:lvlText w:val=""/>
      <w:lvlJc w:val="left"/>
      <w:pPr>
        <w:ind w:left="2160" w:hanging="360"/>
      </w:pPr>
      <w:rPr>
        <w:rFonts w:ascii="Wingdings" w:hAnsi="Wingdings" w:hint="default"/>
      </w:rPr>
    </w:lvl>
    <w:lvl w:ilvl="3" w:tplc="E39C76C6" w:tentative="1">
      <w:start w:val="1"/>
      <w:numFmt w:val="bullet"/>
      <w:lvlText w:val=""/>
      <w:lvlJc w:val="left"/>
      <w:pPr>
        <w:ind w:left="2880" w:hanging="360"/>
      </w:pPr>
      <w:rPr>
        <w:rFonts w:ascii="Symbol" w:hAnsi="Symbol" w:hint="default"/>
      </w:rPr>
    </w:lvl>
    <w:lvl w:ilvl="4" w:tplc="F75AF366" w:tentative="1">
      <w:start w:val="1"/>
      <w:numFmt w:val="bullet"/>
      <w:lvlText w:val="o"/>
      <w:lvlJc w:val="left"/>
      <w:pPr>
        <w:ind w:left="3600" w:hanging="360"/>
      </w:pPr>
      <w:rPr>
        <w:rFonts w:ascii="Courier New" w:hAnsi="Courier New" w:cs="Courier New" w:hint="default"/>
      </w:rPr>
    </w:lvl>
    <w:lvl w:ilvl="5" w:tplc="195C30EC" w:tentative="1">
      <w:start w:val="1"/>
      <w:numFmt w:val="bullet"/>
      <w:lvlText w:val=""/>
      <w:lvlJc w:val="left"/>
      <w:pPr>
        <w:ind w:left="4320" w:hanging="360"/>
      </w:pPr>
      <w:rPr>
        <w:rFonts w:ascii="Wingdings" w:hAnsi="Wingdings" w:hint="default"/>
      </w:rPr>
    </w:lvl>
    <w:lvl w:ilvl="6" w:tplc="5A12F528" w:tentative="1">
      <w:start w:val="1"/>
      <w:numFmt w:val="bullet"/>
      <w:lvlText w:val=""/>
      <w:lvlJc w:val="left"/>
      <w:pPr>
        <w:ind w:left="5040" w:hanging="360"/>
      </w:pPr>
      <w:rPr>
        <w:rFonts w:ascii="Symbol" w:hAnsi="Symbol" w:hint="default"/>
      </w:rPr>
    </w:lvl>
    <w:lvl w:ilvl="7" w:tplc="8F068010" w:tentative="1">
      <w:start w:val="1"/>
      <w:numFmt w:val="bullet"/>
      <w:lvlText w:val="o"/>
      <w:lvlJc w:val="left"/>
      <w:pPr>
        <w:ind w:left="5760" w:hanging="360"/>
      </w:pPr>
      <w:rPr>
        <w:rFonts w:ascii="Courier New" w:hAnsi="Courier New" w:cs="Courier New" w:hint="default"/>
      </w:rPr>
    </w:lvl>
    <w:lvl w:ilvl="8" w:tplc="713EEB96" w:tentative="1">
      <w:start w:val="1"/>
      <w:numFmt w:val="bullet"/>
      <w:lvlText w:val=""/>
      <w:lvlJc w:val="left"/>
      <w:pPr>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10473"/>
    <w:multiLevelType w:val="hybridMultilevel"/>
    <w:tmpl w:val="BCEE66DE"/>
    <w:lvl w:ilvl="0" w:tplc="EEA61584">
      <w:start w:val="1"/>
      <w:numFmt w:val="bullet"/>
      <w:lvlText w:val=""/>
      <w:lvlJc w:val="left"/>
      <w:pPr>
        <w:ind w:left="360" w:hanging="360"/>
      </w:pPr>
      <w:rPr>
        <w:rFonts w:ascii="Symbol" w:hAnsi="Symbol" w:hint="default"/>
      </w:rPr>
    </w:lvl>
    <w:lvl w:ilvl="1" w:tplc="BF2C8B0E" w:tentative="1">
      <w:start w:val="1"/>
      <w:numFmt w:val="bullet"/>
      <w:lvlText w:val="o"/>
      <w:lvlJc w:val="left"/>
      <w:pPr>
        <w:ind w:left="1080" w:hanging="360"/>
      </w:pPr>
      <w:rPr>
        <w:rFonts w:ascii="Courier New" w:hAnsi="Courier New" w:cs="Courier New" w:hint="default"/>
      </w:rPr>
    </w:lvl>
    <w:lvl w:ilvl="2" w:tplc="1C9ABBFE" w:tentative="1">
      <w:start w:val="1"/>
      <w:numFmt w:val="bullet"/>
      <w:lvlText w:val=""/>
      <w:lvlJc w:val="left"/>
      <w:pPr>
        <w:ind w:left="1800" w:hanging="360"/>
      </w:pPr>
      <w:rPr>
        <w:rFonts w:ascii="Wingdings" w:hAnsi="Wingdings" w:hint="default"/>
      </w:rPr>
    </w:lvl>
    <w:lvl w:ilvl="3" w:tplc="801EA5CC" w:tentative="1">
      <w:start w:val="1"/>
      <w:numFmt w:val="bullet"/>
      <w:lvlText w:val=""/>
      <w:lvlJc w:val="left"/>
      <w:pPr>
        <w:ind w:left="2520" w:hanging="360"/>
      </w:pPr>
      <w:rPr>
        <w:rFonts w:ascii="Symbol" w:hAnsi="Symbol" w:hint="default"/>
      </w:rPr>
    </w:lvl>
    <w:lvl w:ilvl="4" w:tplc="044297FE" w:tentative="1">
      <w:start w:val="1"/>
      <w:numFmt w:val="bullet"/>
      <w:lvlText w:val="o"/>
      <w:lvlJc w:val="left"/>
      <w:pPr>
        <w:ind w:left="3240" w:hanging="360"/>
      </w:pPr>
      <w:rPr>
        <w:rFonts w:ascii="Courier New" w:hAnsi="Courier New" w:cs="Courier New" w:hint="default"/>
      </w:rPr>
    </w:lvl>
    <w:lvl w:ilvl="5" w:tplc="59489D88" w:tentative="1">
      <w:start w:val="1"/>
      <w:numFmt w:val="bullet"/>
      <w:lvlText w:val=""/>
      <w:lvlJc w:val="left"/>
      <w:pPr>
        <w:ind w:left="3960" w:hanging="360"/>
      </w:pPr>
      <w:rPr>
        <w:rFonts w:ascii="Wingdings" w:hAnsi="Wingdings" w:hint="default"/>
      </w:rPr>
    </w:lvl>
    <w:lvl w:ilvl="6" w:tplc="E20C78F6" w:tentative="1">
      <w:start w:val="1"/>
      <w:numFmt w:val="bullet"/>
      <w:lvlText w:val=""/>
      <w:lvlJc w:val="left"/>
      <w:pPr>
        <w:ind w:left="4680" w:hanging="360"/>
      </w:pPr>
      <w:rPr>
        <w:rFonts w:ascii="Symbol" w:hAnsi="Symbol" w:hint="default"/>
      </w:rPr>
    </w:lvl>
    <w:lvl w:ilvl="7" w:tplc="FAA88578" w:tentative="1">
      <w:start w:val="1"/>
      <w:numFmt w:val="bullet"/>
      <w:lvlText w:val="o"/>
      <w:lvlJc w:val="left"/>
      <w:pPr>
        <w:ind w:left="5400" w:hanging="360"/>
      </w:pPr>
      <w:rPr>
        <w:rFonts w:ascii="Courier New" w:hAnsi="Courier New" w:cs="Courier New" w:hint="default"/>
      </w:rPr>
    </w:lvl>
    <w:lvl w:ilvl="8" w:tplc="B20873F4" w:tentative="1">
      <w:start w:val="1"/>
      <w:numFmt w:val="bullet"/>
      <w:lvlText w:val=""/>
      <w:lvlJc w:val="left"/>
      <w:pPr>
        <w:ind w:left="6120" w:hanging="360"/>
      </w:pPr>
      <w:rPr>
        <w:rFonts w:ascii="Wingdings" w:hAnsi="Wingdings" w:hint="default"/>
      </w:rPr>
    </w:lvl>
  </w:abstractNum>
  <w:abstractNum w:abstractNumId="27"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ADA5F64"/>
    <w:multiLevelType w:val="hybridMultilevel"/>
    <w:tmpl w:val="B8201C58"/>
    <w:lvl w:ilvl="0" w:tplc="D520D2DC">
      <w:start w:val="1"/>
      <w:numFmt w:val="decimal"/>
      <w:lvlText w:val="%1"/>
      <w:lvlJc w:val="left"/>
      <w:pPr>
        <w:ind w:left="794" w:hanging="794"/>
      </w:pPr>
      <w:rPr>
        <w:rFonts w:hint="default"/>
      </w:rPr>
    </w:lvl>
    <w:lvl w:ilvl="1" w:tplc="FC02A31C" w:tentative="1">
      <w:start w:val="1"/>
      <w:numFmt w:val="lowerLetter"/>
      <w:lvlText w:val="%2."/>
      <w:lvlJc w:val="left"/>
      <w:pPr>
        <w:ind w:left="1080" w:hanging="360"/>
      </w:pPr>
    </w:lvl>
    <w:lvl w:ilvl="2" w:tplc="0D889C96" w:tentative="1">
      <w:start w:val="1"/>
      <w:numFmt w:val="lowerRoman"/>
      <w:lvlText w:val="%3."/>
      <w:lvlJc w:val="right"/>
      <w:pPr>
        <w:ind w:left="1800" w:hanging="180"/>
      </w:pPr>
    </w:lvl>
    <w:lvl w:ilvl="3" w:tplc="90B86B40" w:tentative="1">
      <w:start w:val="1"/>
      <w:numFmt w:val="decimal"/>
      <w:lvlText w:val="%4."/>
      <w:lvlJc w:val="left"/>
      <w:pPr>
        <w:ind w:left="2520" w:hanging="360"/>
      </w:pPr>
    </w:lvl>
    <w:lvl w:ilvl="4" w:tplc="CC9C3178" w:tentative="1">
      <w:start w:val="1"/>
      <w:numFmt w:val="lowerLetter"/>
      <w:lvlText w:val="%5."/>
      <w:lvlJc w:val="left"/>
      <w:pPr>
        <w:ind w:left="3240" w:hanging="360"/>
      </w:pPr>
    </w:lvl>
    <w:lvl w:ilvl="5" w:tplc="1BB41AD2" w:tentative="1">
      <w:start w:val="1"/>
      <w:numFmt w:val="lowerRoman"/>
      <w:lvlText w:val="%6."/>
      <w:lvlJc w:val="right"/>
      <w:pPr>
        <w:ind w:left="3960" w:hanging="180"/>
      </w:pPr>
    </w:lvl>
    <w:lvl w:ilvl="6" w:tplc="3B9EABF8" w:tentative="1">
      <w:start w:val="1"/>
      <w:numFmt w:val="decimal"/>
      <w:lvlText w:val="%7."/>
      <w:lvlJc w:val="left"/>
      <w:pPr>
        <w:ind w:left="4680" w:hanging="360"/>
      </w:pPr>
    </w:lvl>
    <w:lvl w:ilvl="7" w:tplc="DF94EAE8" w:tentative="1">
      <w:start w:val="1"/>
      <w:numFmt w:val="lowerLetter"/>
      <w:lvlText w:val="%8."/>
      <w:lvlJc w:val="left"/>
      <w:pPr>
        <w:ind w:left="5400" w:hanging="360"/>
      </w:pPr>
    </w:lvl>
    <w:lvl w:ilvl="8" w:tplc="7264EBF8" w:tentative="1">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8"/>
  </w:num>
  <w:num w:numId="4">
    <w:abstractNumId w:val="17"/>
  </w:num>
  <w:num w:numId="5">
    <w:abstractNumId w:val="23"/>
  </w:num>
  <w:num w:numId="6">
    <w:abstractNumId w:val="16"/>
  </w:num>
  <w:num w:numId="7">
    <w:abstractNumId w:val="25"/>
  </w:num>
  <w:num w:numId="8">
    <w:abstractNumId w:val="1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5"/>
  </w:num>
  <w:num w:numId="22">
    <w:abstractNumId w:val="14"/>
  </w:num>
  <w:num w:numId="23">
    <w:abstractNumId w:val="20"/>
  </w:num>
  <w:num w:numId="24">
    <w:abstractNumId w:val="19"/>
  </w:num>
  <w:num w:numId="25">
    <w:abstractNumId w:val="29"/>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C76"/>
    <w:rsid w:val="00026CF8"/>
    <w:rsid w:val="00030BD7"/>
    <w:rsid w:val="00031E64"/>
    <w:rsid w:val="00032188"/>
    <w:rsid w:val="00034340"/>
    <w:rsid w:val="00035CB3"/>
    <w:rsid w:val="00045A8D"/>
    <w:rsid w:val="0005167A"/>
    <w:rsid w:val="00054E5D"/>
    <w:rsid w:val="00070258"/>
    <w:rsid w:val="0007323C"/>
    <w:rsid w:val="00084E2A"/>
    <w:rsid w:val="00086D03"/>
    <w:rsid w:val="000A08DD"/>
    <w:rsid w:val="000A096A"/>
    <w:rsid w:val="000A375E"/>
    <w:rsid w:val="000A7051"/>
    <w:rsid w:val="000B0AF6"/>
    <w:rsid w:val="000B0E9B"/>
    <w:rsid w:val="000B2CAE"/>
    <w:rsid w:val="000C03C7"/>
    <w:rsid w:val="000C2AD0"/>
    <w:rsid w:val="000E3DEE"/>
    <w:rsid w:val="000E4E0D"/>
    <w:rsid w:val="000F00B0"/>
    <w:rsid w:val="00100B72"/>
    <w:rsid w:val="00101F7D"/>
    <w:rsid w:val="00103C76"/>
    <w:rsid w:val="00107892"/>
    <w:rsid w:val="001103DD"/>
    <w:rsid w:val="0011265F"/>
    <w:rsid w:val="00117282"/>
    <w:rsid w:val="00117389"/>
    <w:rsid w:val="00121C2D"/>
    <w:rsid w:val="00134404"/>
    <w:rsid w:val="00144DFB"/>
    <w:rsid w:val="00146E74"/>
    <w:rsid w:val="00164B62"/>
    <w:rsid w:val="001755C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511F"/>
    <w:rsid w:val="002077CC"/>
    <w:rsid w:val="002302B3"/>
    <w:rsid w:val="00230C66"/>
    <w:rsid w:val="00233BCB"/>
    <w:rsid w:val="00235A29"/>
    <w:rsid w:val="00241526"/>
    <w:rsid w:val="002443A2"/>
    <w:rsid w:val="002638A1"/>
    <w:rsid w:val="00266E74"/>
    <w:rsid w:val="00280F1B"/>
    <w:rsid w:val="00283C3B"/>
    <w:rsid w:val="00284047"/>
    <w:rsid w:val="002861E6"/>
    <w:rsid w:val="00287D18"/>
    <w:rsid w:val="002A2618"/>
    <w:rsid w:val="002A5DD7"/>
    <w:rsid w:val="002B0CAC"/>
    <w:rsid w:val="002B5EB6"/>
    <w:rsid w:val="002C1103"/>
    <w:rsid w:val="002D43AE"/>
    <w:rsid w:val="002D5A15"/>
    <w:rsid w:val="002D5BDD"/>
    <w:rsid w:val="002D6AFC"/>
    <w:rsid w:val="002E0DC8"/>
    <w:rsid w:val="002E3D27"/>
    <w:rsid w:val="002E5C34"/>
    <w:rsid w:val="002F0890"/>
    <w:rsid w:val="002F2531"/>
    <w:rsid w:val="002F4967"/>
    <w:rsid w:val="002F5AD8"/>
    <w:rsid w:val="00306BF7"/>
    <w:rsid w:val="00316935"/>
    <w:rsid w:val="003266ED"/>
    <w:rsid w:val="00326C68"/>
    <w:rsid w:val="00334544"/>
    <w:rsid w:val="003370B8"/>
    <w:rsid w:val="00345D38"/>
    <w:rsid w:val="00352097"/>
    <w:rsid w:val="00356399"/>
    <w:rsid w:val="003666FF"/>
    <w:rsid w:val="0037309C"/>
    <w:rsid w:val="00380A6E"/>
    <w:rsid w:val="003836D4"/>
    <w:rsid w:val="003A1F49"/>
    <w:rsid w:val="003A46DB"/>
    <w:rsid w:val="003A55ED"/>
    <w:rsid w:val="003A5D52"/>
    <w:rsid w:val="003B2BDA"/>
    <w:rsid w:val="003B42C4"/>
    <w:rsid w:val="003B55EC"/>
    <w:rsid w:val="003C2EA7"/>
    <w:rsid w:val="003C4471"/>
    <w:rsid w:val="003C7D41"/>
    <w:rsid w:val="003D4A69"/>
    <w:rsid w:val="003E504F"/>
    <w:rsid w:val="003E78D6"/>
    <w:rsid w:val="003F3241"/>
    <w:rsid w:val="00400573"/>
    <w:rsid w:val="004007A3"/>
    <w:rsid w:val="00406D71"/>
    <w:rsid w:val="00416339"/>
    <w:rsid w:val="004326DB"/>
    <w:rsid w:val="0043682E"/>
    <w:rsid w:val="00447ECB"/>
    <w:rsid w:val="004623F7"/>
    <w:rsid w:val="00480F51"/>
    <w:rsid w:val="00481124"/>
    <w:rsid w:val="004815EB"/>
    <w:rsid w:val="00487569"/>
    <w:rsid w:val="00496864"/>
    <w:rsid w:val="00496920"/>
    <w:rsid w:val="004A4496"/>
    <w:rsid w:val="004B11AB"/>
    <w:rsid w:val="004B7C9A"/>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58F6"/>
    <w:rsid w:val="0050789B"/>
    <w:rsid w:val="00514406"/>
    <w:rsid w:val="005224A1"/>
    <w:rsid w:val="00534372"/>
    <w:rsid w:val="00543DF8"/>
    <w:rsid w:val="00546101"/>
    <w:rsid w:val="0054782E"/>
    <w:rsid w:val="00553DD7"/>
    <w:rsid w:val="00560578"/>
    <w:rsid w:val="005638CF"/>
    <w:rsid w:val="0056741E"/>
    <w:rsid w:val="0057325A"/>
    <w:rsid w:val="0057469A"/>
    <w:rsid w:val="00575D3E"/>
    <w:rsid w:val="00580814"/>
    <w:rsid w:val="00583A0B"/>
    <w:rsid w:val="005A03A3"/>
    <w:rsid w:val="005A2B92"/>
    <w:rsid w:val="005A3F66"/>
    <w:rsid w:val="005A79E9"/>
    <w:rsid w:val="005B214C"/>
    <w:rsid w:val="005B4CDA"/>
    <w:rsid w:val="005D3669"/>
    <w:rsid w:val="005D7BA8"/>
    <w:rsid w:val="005D7C3B"/>
    <w:rsid w:val="005E5C29"/>
    <w:rsid w:val="005E5EB3"/>
    <w:rsid w:val="005F3CB6"/>
    <w:rsid w:val="005F657C"/>
    <w:rsid w:val="00602D53"/>
    <w:rsid w:val="006047E5"/>
    <w:rsid w:val="00624210"/>
    <w:rsid w:val="0064371D"/>
    <w:rsid w:val="00650543"/>
    <w:rsid w:val="00650B2A"/>
    <w:rsid w:val="00651777"/>
    <w:rsid w:val="006550F8"/>
    <w:rsid w:val="00665AB6"/>
    <w:rsid w:val="00670823"/>
    <w:rsid w:val="006829F3"/>
    <w:rsid w:val="00685A87"/>
    <w:rsid w:val="00686627"/>
    <w:rsid w:val="00691892"/>
    <w:rsid w:val="006A518B"/>
    <w:rsid w:val="006B0590"/>
    <w:rsid w:val="006B12D0"/>
    <w:rsid w:val="006B49DA"/>
    <w:rsid w:val="006C53F8"/>
    <w:rsid w:val="006C7CDE"/>
    <w:rsid w:val="006D2B13"/>
    <w:rsid w:val="006D540E"/>
    <w:rsid w:val="0070385E"/>
    <w:rsid w:val="00712A4B"/>
    <w:rsid w:val="007210F3"/>
    <w:rsid w:val="007234B1"/>
    <w:rsid w:val="00723D08"/>
    <w:rsid w:val="0072415C"/>
    <w:rsid w:val="007253AF"/>
    <w:rsid w:val="00725FDA"/>
    <w:rsid w:val="00727816"/>
    <w:rsid w:val="00730B9A"/>
    <w:rsid w:val="00750CFA"/>
    <w:rsid w:val="007553DA"/>
    <w:rsid w:val="007616E7"/>
    <w:rsid w:val="00775DB8"/>
    <w:rsid w:val="00782354"/>
    <w:rsid w:val="007921A7"/>
    <w:rsid w:val="00796CD6"/>
    <w:rsid w:val="007B3DB1"/>
    <w:rsid w:val="007C5400"/>
    <w:rsid w:val="007D183E"/>
    <w:rsid w:val="007D43D0"/>
    <w:rsid w:val="007E1833"/>
    <w:rsid w:val="007E3F13"/>
    <w:rsid w:val="007F751A"/>
    <w:rsid w:val="00800012"/>
    <w:rsid w:val="0080261F"/>
    <w:rsid w:val="00806160"/>
    <w:rsid w:val="008143A4"/>
    <w:rsid w:val="0081513E"/>
    <w:rsid w:val="00844B46"/>
    <w:rsid w:val="00847EA2"/>
    <w:rsid w:val="00854131"/>
    <w:rsid w:val="0085652D"/>
    <w:rsid w:val="008613D6"/>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641"/>
    <w:rsid w:val="00931A51"/>
    <w:rsid w:val="00936E1F"/>
    <w:rsid w:val="00947185"/>
    <w:rsid w:val="009518B3"/>
    <w:rsid w:val="00963D9D"/>
    <w:rsid w:val="00972D09"/>
    <w:rsid w:val="0098013E"/>
    <w:rsid w:val="00981B54"/>
    <w:rsid w:val="009842C3"/>
    <w:rsid w:val="00984412"/>
    <w:rsid w:val="009A009A"/>
    <w:rsid w:val="009A6BB6"/>
    <w:rsid w:val="009B2B39"/>
    <w:rsid w:val="009B3F43"/>
    <w:rsid w:val="009B5CFA"/>
    <w:rsid w:val="009C161F"/>
    <w:rsid w:val="009C4377"/>
    <w:rsid w:val="009C56B4"/>
    <w:rsid w:val="009C6A12"/>
    <w:rsid w:val="009D51A2"/>
    <w:rsid w:val="009E04A8"/>
    <w:rsid w:val="009E4AEC"/>
    <w:rsid w:val="009E5BD8"/>
    <w:rsid w:val="009E681E"/>
    <w:rsid w:val="009F26CB"/>
    <w:rsid w:val="009F4640"/>
    <w:rsid w:val="00A10009"/>
    <w:rsid w:val="00A10237"/>
    <w:rsid w:val="00A119E6"/>
    <w:rsid w:val="00A20FBC"/>
    <w:rsid w:val="00A31370"/>
    <w:rsid w:val="00A34D6D"/>
    <w:rsid w:val="00A34D6F"/>
    <w:rsid w:val="00A41F91"/>
    <w:rsid w:val="00A46693"/>
    <w:rsid w:val="00A63355"/>
    <w:rsid w:val="00A7596D"/>
    <w:rsid w:val="00A963DF"/>
    <w:rsid w:val="00AC0C22"/>
    <w:rsid w:val="00AC1F2B"/>
    <w:rsid w:val="00AC2B42"/>
    <w:rsid w:val="00AC3896"/>
    <w:rsid w:val="00AD17A2"/>
    <w:rsid w:val="00AD2CF2"/>
    <w:rsid w:val="00AE2D88"/>
    <w:rsid w:val="00AE6F6F"/>
    <w:rsid w:val="00AF051D"/>
    <w:rsid w:val="00AF3325"/>
    <w:rsid w:val="00AF34D9"/>
    <w:rsid w:val="00AF70DA"/>
    <w:rsid w:val="00B019D3"/>
    <w:rsid w:val="00B06B90"/>
    <w:rsid w:val="00B214C4"/>
    <w:rsid w:val="00B34CF9"/>
    <w:rsid w:val="00B37559"/>
    <w:rsid w:val="00B4054B"/>
    <w:rsid w:val="00B579B0"/>
    <w:rsid w:val="00B57D11"/>
    <w:rsid w:val="00B649D7"/>
    <w:rsid w:val="00B77353"/>
    <w:rsid w:val="00B774CC"/>
    <w:rsid w:val="00B81C2F"/>
    <w:rsid w:val="00B90743"/>
    <w:rsid w:val="00B90C45"/>
    <w:rsid w:val="00B933BE"/>
    <w:rsid w:val="00BA6CB4"/>
    <w:rsid w:val="00BC27E4"/>
    <w:rsid w:val="00BD6738"/>
    <w:rsid w:val="00BD7E5E"/>
    <w:rsid w:val="00BE5844"/>
    <w:rsid w:val="00BE63DB"/>
    <w:rsid w:val="00BE6574"/>
    <w:rsid w:val="00C013DC"/>
    <w:rsid w:val="00C0637A"/>
    <w:rsid w:val="00C07319"/>
    <w:rsid w:val="00C16FD2"/>
    <w:rsid w:val="00C23B69"/>
    <w:rsid w:val="00C4395E"/>
    <w:rsid w:val="00C47FFD"/>
    <w:rsid w:val="00C51E92"/>
    <w:rsid w:val="00C57E2C"/>
    <w:rsid w:val="00C608B7"/>
    <w:rsid w:val="00C66F24"/>
    <w:rsid w:val="00C76D7F"/>
    <w:rsid w:val="00C776B2"/>
    <w:rsid w:val="00C813AA"/>
    <w:rsid w:val="00C9291E"/>
    <w:rsid w:val="00C95935"/>
    <w:rsid w:val="00CA3F44"/>
    <w:rsid w:val="00CA4E58"/>
    <w:rsid w:val="00CB3771"/>
    <w:rsid w:val="00CB44BF"/>
    <w:rsid w:val="00CB5153"/>
    <w:rsid w:val="00CE076A"/>
    <w:rsid w:val="00CE463D"/>
    <w:rsid w:val="00D07BEC"/>
    <w:rsid w:val="00D10BA0"/>
    <w:rsid w:val="00D21694"/>
    <w:rsid w:val="00D24EB5"/>
    <w:rsid w:val="00D27532"/>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360A6"/>
    <w:rsid w:val="00E428AB"/>
    <w:rsid w:val="00E438E8"/>
    <w:rsid w:val="00E453A3"/>
    <w:rsid w:val="00E520E2"/>
    <w:rsid w:val="00E530C4"/>
    <w:rsid w:val="00E53DCE"/>
    <w:rsid w:val="00E55996"/>
    <w:rsid w:val="00E64254"/>
    <w:rsid w:val="00E659B3"/>
    <w:rsid w:val="00E67928"/>
    <w:rsid w:val="00E702CA"/>
    <w:rsid w:val="00E70FB5"/>
    <w:rsid w:val="00E850BD"/>
    <w:rsid w:val="00E85A7D"/>
    <w:rsid w:val="00E915AF"/>
    <w:rsid w:val="00E96415"/>
    <w:rsid w:val="00EA15B3"/>
    <w:rsid w:val="00EB2358"/>
    <w:rsid w:val="00EB3EB8"/>
    <w:rsid w:val="00EC00EF"/>
    <w:rsid w:val="00EC02FE"/>
    <w:rsid w:val="00EC32B8"/>
    <w:rsid w:val="00EC4A96"/>
    <w:rsid w:val="00EE03A0"/>
    <w:rsid w:val="00F424BF"/>
    <w:rsid w:val="00F44FC3"/>
    <w:rsid w:val="00F46107"/>
    <w:rsid w:val="00F468C5"/>
    <w:rsid w:val="00F50FC4"/>
    <w:rsid w:val="00F52F39"/>
    <w:rsid w:val="00F55884"/>
    <w:rsid w:val="00F574A2"/>
    <w:rsid w:val="00F6184F"/>
    <w:rsid w:val="00F71EDF"/>
    <w:rsid w:val="00F8310E"/>
    <w:rsid w:val="00F914DD"/>
    <w:rsid w:val="00F96A57"/>
    <w:rsid w:val="00FA2358"/>
    <w:rsid w:val="00FA68DD"/>
    <w:rsid w:val="00FB2592"/>
    <w:rsid w:val="00FB2810"/>
    <w:rsid w:val="00FB7A2C"/>
    <w:rsid w:val="00FC2947"/>
    <w:rsid w:val="00FE0818"/>
    <w:rsid w:val="00FE356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8F81CA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B194-73DD-4E16-B43D-3B08D113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78</TotalTime>
  <Pages>3</Pages>
  <Words>326</Words>
  <Characters>1859</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6</cp:revision>
  <cp:lastPrinted>2018-12-07T07:10:00Z</cp:lastPrinted>
  <dcterms:created xsi:type="dcterms:W3CDTF">2018-11-30T08:31:00Z</dcterms:created>
  <dcterms:modified xsi:type="dcterms:W3CDTF">2018-12-07T15:05:00Z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