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Look w:val="04A0" w:firstRow="1" w:lastRow="0" w:firstColumn="1" w:lastColumn="0" w:noHBand="0" w:noVBand="1"/>
      </w:tblPr>
      <w:tblGrid>
        <w:gridCol w:w="1526"/>
        <w:gridCol w:w="5207"/>
        <w:gridCol w:w="3190"/>
      </w:tblGrid>
      <w:tr w:rsidR="00E53DCE" w:rsidRPr="007B3DB1" w:rsidTr="00690032">
        <w:trPr>
          <w:jc w:val="center"/>
        </w:trPr>
        <w:tc>
          <w:tcPr>
            <w:tcW w:w="9923"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690032" w:rsidTr="00690032">
        <w:trPr>
          <w:jc w:val="center"/>
        </w:trPr>
        <w:tc>
          <w:tcPr>
            <w:tcW w:w="6733" w:type="dxa"/>
            <w:gridSpan w:val="2"/>
            <w:shd w:val="clear" w:color="auto" w:fill="auto"/>
          </w:tcPr>
          <w:p w:rsidR="00E53DCE" w:rsidRPr="001B3D4D" w:rsidRDefault="001B3D4D" w:rsidP="006160CB">
            <w:pPr>
              <w:spacing w:before="0"/>
              <w:jc w:val="left"/>
              <w:rPr>
                <w:szCs w:val="24"/>
                <w:lang w:val="es-ES"/>
              </w:rPr>
            </w:pPr>
            <w:r w:rsidRPr="0075124D">
              <w:rPr>
                <w:lang w:val="es-ES_tradnl"/>
              </w:rPr>
              <w:t>Carta Circular</w:t>
            </w:r>
          </w:p>
          <w:p w:rsidR="00E53DCE" w:rsidRPr="001B3D4D" w:rsidRDefault="001B3D4D" w:rsidP="006160CB">
            <w:pPr>
              <w:spacing w:before="0"/>
              <w:jc w:val="left"/>
              <w:rPr>
                <w:b/>
                <w:bCs/>
                <w:szCs w:val="24"/>
                <w:lang w:val="es-ES"/>
              </w:rPr>
            </w:pPr>
            <w:r w:rsidRPr="001B3D4D">
              <w:rPr>
                <w:b/>
                <w:bCs/>
                <w:szCs w:val="24"/>
                <w:lang w:val="es-ES"/>
              </w:rPr>
              <w:t>CR</w:t>
            </w:r>
            <w:r w:rsidR="00FD4A17">
              <w:rPr>
                <w:b/>
                <w:bCs/>
                <w:szCs w:val="24"/>
                <w:lang w:val="es-ES"/>
              </w:rPr>
              <w:t>/441</w:t>
            </w:r>
          </w:p>
        </w:tc>
        <w:tc>
          <w:tcPr>
            <w:tcW w:w="3190" w:type="dxa"/>
            <w:shd w:val="clear" w:color="auto" w:fill="auto"/>
          </w:tcPr>
          <w:p w:rsidR="00E53DCE" w:rsidRPr="00FD4A17" w:rsidRDefault="00FD4A17" w:rsidP="00690032">
            <w:pPr>
              <w:tabs>
                <w:tab w:val="clear" w:pos="794"/>
                <w:tab w:val="clear" w:pos="1191"/>
                <w:tab w:val="clear" w:pos="1588"/>
                <w:tab w:val="clear" w:pos="1985"/>
              </w:tabs>
              <w:spacing w:before="0"/>
              <w:jc w:val="right"/>
              <w:rPr>
                <w:szCs w:val="24"/>
                <w:lang w:val="es-ES"/>
              </w:rPr>
            </w:pPr>
            <w:r w:rsidRPr="00FD4A17">
              <w:rPr>
                <w:bCs/>
                <w:szCs w:val="24"/>
                <w:lang w:val="es-ES"/>
              </w:rPr>
              <w:t xml:space="preserve">Ginebra, </w:t>
            </w:r>
            <w:r w:rsidR="00690032">
              <w:rPr>
                <w:bCs/>
                <w:szCs w:val="24"/>
                <w:lang w:val="es-ES"/>
              </w:rPr>
              <w:t>26</w:t>
            </w:r>
            <w:r w:rsidRPr="00FD4A17">
              <w:rPr>
                <w:bCs/>
                <w:szCs w:val="24"/>
                <w:lang w:val="es-ES"/>
              </w:rPr>
              <w:t xml:space="preserve"> de marzo de 2019</w:t>
            </w:r>
          </w:p>
        </w:tc>
      </w:tr>
      <w:tr w:rsidR="00E53DCE" w:rsidRPr="00690032" w:rsidTr="00690032">
        <w:trPr>
          <w:jc w:val="center"/>
        </w:trPr>
        <w:tc>
          <w:tcPr>
            <w:tcW w:w="9923" w:type="dxa"/>
            <w:gridSpan w:val="3"/>
            <w:shd w:val="clear" w:color="auto" w:fill="auto"/>
          </w:tcPr>
          <w:p w:rsidR="00E53DCE" w:rsidRPr="00FD4A17" w:rsidRDefault="00E53DCE" w:rsidP="006160CB">
            <w:pPr>
              <w:spacing w:before="0"/>
              <w:jc w:val="left"/>
              <w:rPr>
                <w:rFonts w:cs="Arial"/>
                <w:szCs w:val="24"/>
                <w:lang w:val="es-ES"/>
              </w:rPr>
            </w:pPr>
          </w:p>
        </w:tc>
      </w:tr>
      <w:tr w:rsidR="00E53DCE" w:rsidRPr="00690032" w:rsidTr="00690032">
        <w:trPr>
          <w:jc w:val="center"/>
        </w:trPr>
        <w:tc>
          <w:tcPr>
            <w:tcW w:w="9923" w:type="dxa"/>
            <w:gridSpan w:val="3"/>
            <w:shd w:val="clear" w:color="auto" w:fill="auto"/>
          </w:tcPr>
          <w:p w:rsidR="00E53DCE" w:rsidRPr="00FD4A17" w:rsidRDefault="00E53DCE" w:rsidP="006160CB">
            <w:pPr>
              <w:spacing w:before="0"/>
              <w:jc w:val="left"/>
              <w:rPr>
                <w:szCs w:val="24"/>
                <w:lang w:val="es-ES"/>
              </w:rPr>
            </w:pPr>
          </w:p>
        </w:tc>
      </w:tr>
      <w:tr w:rsidR="00E53DCE" w:rsidRPr="00174570" w:rsidTr="00690032">
        <w:trPr>
          <w:jc w:val="center"/>
        </w:trPr>
        <w:tc>
          <w:tcPr>
            <w:tcW w:w="9923" w:type="dxa"/>
            <w:gridSpan w:val="3"/>
            <w:shd w:val="clear" w:color="auto" w:fill="auto"/>
          </w:tcPr>
          <w:p w:rsidR="002C5093" w:rsidRDefault="002C5093" w:rsidP="006160CB">
            <w:pPr>
              <w:spacing w:before="0"/>
              <w:jc w:val="left"/>
              <w:rPr>
                <w:b/>
                <w:szCs w:val="24"/>
                <w:lang w:val="es-ES"/>
              </w:rPr>
            </w:pPr>
          </w:p>
          <w:p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rsidR="00E53DCE" w:rsidRPr="0033029C" w:rsidRDefault="00E53DCE" w:rsidP="006160CB">
            <w:pPr>
              <w:spacing w:before="0"/>
              <w:jc w:val="left"/>
              <w:rPr>
                <w:b/>
                <w:bCs/>
                <w:szCs w:val="24"/>
                <w:lang w:val="es-ES"/>
              </w:rPr>
            </w:pPr>
          </w:p>
        </w:tc>
      </w:tr>
      <w:tr w:rsidR="00E53DCE" w:rsidRPr="00174570" w:rsidTr="00690032">
        <w:trPr>
          <w:jc w:val="center"/>
        </w:trPr>
        <w:tc>
          <w:tcPr>
            <w:tcW w:w="9923" w:type="dxa"/>
            <w:gridSpan w:val="3"/>
            <w:shd w:val="clear" w:color="auto" w:fill="auto"/>
          </w:tcPr>
          <w:p w:rsidR="00E53DCE" w:rsidRPr="0033029C" w:rsidRDefault="00E53DCE" w:rsidP="006160CB">
            <w:pPr>
              <w:spacing w:before="0"/>
              <w:jc w:val="left"/>
              <w:rPr>
                <w:szCs w:val="24"/>
                <w:lang w:val="es-ES"/>
              </w:rPr>
            </w:pPr>
          </w:p>
        </w:tc>
      </w:tr>
      <w:tr w:rsidR="00E53DCE" w:rsidRPr="00174570" w:rsidTr="00690032">
        <w:trPr>
          <w:jc w:val="center"/>
        </w:trPr>
        <w:tc>
          <w:tcPr>
            <w:tcW w:w="9923" w:type="dxa"/>
            <w:gridSpan w:val="3"/>
            <w:shd w:val="clear" w:color="auto" w:fill="auto"/>
          </w:tcPr>
          <w:p w:rsidR="00E53DCE" w:rsidRPr="0033029C" w:rsidRDefault="00E53DCE" w:rsidP="006160CB">
            <w:pPr>
              <w:spacing w:before="0"/>
              <w:jc w:val="left"/>
              <w:rPr>
                <w:szCs w:val="24"/>
                <w:lang w:val="es-ES"/>
              </w:rPr>
            </w:pPr>
          </w:p>
        </w:tc>
      </w:tr>
      <w:tr w:rsidR="00E53DCE" w:rsidRPr="00174570" w:rsidTr="00690032">
        <w:trPr>
          <w:jc w:val="center"/>
        </w:trPr>
        <w:tc>
          <w:tcPr>
            <w:tcW w:w="1526" w:type="dxa"/>
            <w:shd w:val="clear" w:color="auto" w:fill="auto"/>
          </w:tcPr>
          <w:p w:rsidR="00E53DCE" w:rsidRPr="0033029C" w:rsidRDefault="00311970" w:rsidP="006160CB">
            <w:pPr>
              <w:tabs>
                <w:tab w:val="clear" w:pos="1588"/>
                <w:tab w:val="left" w:pos="1560"/>
              </w:tabs>
              <w:spacing w:before="0"/>
              <w:jc w:val="left"/>
              <w:rPr>
                <w:szCs w:val="24"/>
              </w:rPr>
            </w:pPr>
            <w:r>
              <w:rPr>
                <w:szCs w:val="24"/>
              </w:rPr>
              <w:t>Asunto</w:t>
            </w:r>
            <w:r w:rsidRPr="0033029C">
              <w:rPr>
                <w:szCs w:val="24"/>
              </w:rPr>
              <w:t>:</w:t>
            </w:r>
          </w:p>
        </w:tc>
        <w:tc>
          <w:tcPr>
            <w:tcW w:w="8397" w:type="dxa"/>
            <w:gridSpan w:val="2"/>
            <w:vMerge w:val="restart"/>
            <w:shd w:val="clear" w:color="auto" w:fill="auto"/>
          </w:tcPr>
          <w:p w:rsidR="00E53DCE" w:rsidRPr="00FD4A17" w:rsidRDefault="00FD4A17" w:rsidP="006160CB">
            <w:pPr>
              <w:tabs>
                <w:tab w:val="clear" w:pos="1588"/>
                <w:tab w:val="left" w:pos="1560"/>
              </w:tabs>
              <w:spacing w:before="0"/>
              <w:rPr>
                <w:b/>
                <w:bCs/>
                <w:szCs w:val="24"/>
                <w:lang w:val="es-ES"/>
              </w:rPr>
            </w:pPr>
            <w:r w:rsidRPr="00FD4A17">
              <w:rPr>
                <w:b/>
                <w:bCs/>
                <w:szCs w:val="24"/>
                <w:lang w:val="es-ES"/>
              </w:rPr>
              <w:t>Nomenclátor de las estaciones de comprobación técnica internacional de las emisiones – Lista VIII</w:t>
            </w:r>
          </w:p>
        </w:tc>
      </w:tr>
      <w:tr w:rsidR="00E53DCE" w:rsidRPr="00174570" w:rsidTr="00690032">
        <w:trPr>
          <w:jc w:val="center"/>
        </w:trPr>
        <w:tc>
          <w:tcPr>
            <w:tcW w:w="1526" w:type="dxa"/>
            <w:shd w:val="clear" w:color="auto" w:fill="auto"/>
          </w:tcPr>
          <w:p w:rsidR="00E53DCE" w:rsidRPr="00FD4A17" w:rsidRDefault="00E53DCE" w:rsidP="006160CB">
            <w:pPr>
              <w:tabs>
                <w:tab w:val="clear" w:pos="1588"/>
                <w:tab w:val="left" w:pos="1560"/>
              </w:tabs>
              <w:spacing w:before="0"/>
              <w:jc w:val="left"/>
              <w:rPr>
                <w:b/>
                <w:bCs/>
                <w:szCs w:val="24"/>
                <w:lang w:val="es-ES"/>
              </w:rPr>
            </w:pPr>
          </w:p>
        </w:tc>
        <w:tc>
          <w:tcPr>
            <w:tcW w:w="8397" w:type="dxa"/>
            <w:gridSpan w:val="2"/>
            <w:vMerge/>
            <w:shd w:val="clear" w:color="auto" w:fill="auto"/>
          </w:tcPr>
          <w:p w:rsidR="00E53DCE" w:rsidRPr="00FD4A17" w:rsidRDefault="00E53DCE" w:rsidP="006160CB">
            <w:pPr>
              <w:tabs>
                <w:tab w:val="clear" w:pos="1588"/>
                <w:tab w:val="left" w:pos="1560"/>
              </w:tabs>
              <w:spacing w:before="0"/>
              <w:rPr>
                <w:b/>
                <w:bCs/>
                <w:szCs w:val="24"/>
                <w:lang w:val="es-ES"/>
              </w:rPr>
            </w:pPr>
          </w:p>
        </w:tc>
      </w:tr>
      <w:tr w:rsidR="00E53DCE" w:rsidRPr="00174570" w:rsidTr="00690032">
        <w:trPr>
          <w:jc w:val="center"/>
        </w:trPr>
        <w:tc>
          <w:tcPr>
            <w:tcW w:w="1526" w:type="dxa"/>
            <w:shd w:val="clear" w:color="auto" w:fill="auto"/>
          </w:tcPr>
          <w:p w:rsidR="00E53DCE" w:rsidRPr="00FD4A17" w:rsidRDefault="00E53DCE" w:rsidP="006160CB">
            <w:pPr>
              <w:tabs>
                <w:tab w:val="clear" w:pos="1588"/>
                <w:tab w:val="left" w:pos="1560"/>
              </w:tabs>
              <w:spacing w:before="0"/>
              <w:jc w:val="left"/>
              <w:rPr>
                <w:b/>
                <w:bCs/>
                <w:szCs w:val="24"/>
                <w:lang w:val="es-ES"/>
              </w:rPr>
            </w:pPr>
          </w:p>
        </w:tc>
        <w:tc>
          <w:tcPr>
            <w:tcW w:w="8397" w:type="dxa"/>
            <w:gridSpan w:val="2"/>
            <w:vMerge/>
            <w:shd w:val="clear" w:color="auto" w:fill="auto"/>
          </w:tcPr>
          <w:p w:rsidR="00E53DCE" w:rsidRPr="00FD4A17" w:rsidRDefault="00E53DCE" w:rsidP="006160CB">
            <w:pPr>
              <w:tabs>
                <w:tab w:val="clear" w:pos="1588"/>
                <w:tab w:val="left" w:pos="1560"/>
              </w:tabs>
              <w:spacing w:before="0"/>
              <w:rPr>
                <w:b/>
                <w:bCs/>
                <w:szCs w:val="24"/>
                <w:lang w:val="es-ES"/>
              </w:rPr>
            </w:pPr>
          </w:p>
        </w:tc>
      </w:tr>
      <w:tr w:rsidR="00E53DCE" w:rsidRPr="00174570" w:rsidTr="00690032">
        <w:trPr>
          <w:jc w:val="center"/>
        </w:trPr>
        <w:tc>
          <w:tcPr>
            <w:tcW w:w="9923" w:type="dxa"/>
            <w:gridSpan w:val="3"/>
            <w:shd w:val="clear" w:color="auto" w:fill="auto"/>
          </w:tcPr>
          <w:p w:rsidR="00E53DCE" w:rsidRPr="00FD4A17" w:rsidRDefault="00E53DCE" w:rsidP="00E53DCE">
            <w:pPr>
              <w:tabs>
                <w:tab w:val="clear" w:pos="1588"/>
                <w:tab w:val="left" w:pos="1560"/>
              </w:tabs>
              <w:spacing w:before="0"/>
              <w:jc w:val="left"/>
              <w:rPr>
                <w:szCs w:val="24"/>
                <w:lang w:val="es-ES"/>
              </w:rPr>
            </w:pPr>
          </w:p>
        </w:tc>
      </w:tr>
    </w:tbl>
    <w:p w:rsidR="00FD4A17" w:rsidRPr="00FD4A17" w:rsidRDefault="00FD4A17" w:rsidP="009B25B7">
      <w:pPr>
        <w:pStyle w:val="Normalaftertitle"/>
        <w:rPr>
          <w:lang w:val="es-ES_tradnl"/>
        </w:rPr>
      </w:pPr>
      <w:r w:rsidRPr="00FD4A17">
        <w:rPr>
          <w:lang w:val="es-ES_tradnl"/>
        </w:rPr>
        <w:t>La Oficina de Radiocomunicaciones (BR) ha iniciado el proceso de preparación de una nueva edición del Nomenclátor de las estaciones de comprobación técnica internacional de las emisiones (Lista VIII).</w:t>
      </w:r>
    </w:p>
    <w:p w:rsidR="00FD4A17" w:rsidRPr="00FD4A17" w:rsidRDefault="00FD4A17" w:rsidP="00A6521A">
      <w:pPr>
        <w:spacing w:before="120" w:after="120"/>
        <w:rPr>
          <w:lang w:val="es-ES_tradnl"/>
        </w:rPr>
      </w:pPr>
      <w:r w:rsidRPr="00FD4A17">
        <w:rPr>
          <w:lang w:val="es-ES_tradnl"/>
        </w:rPr>
        <w:t>Uno de los objetivos principales de esta Lista es identificar todas las estaciones participantes en el sistema internacional de comprobación técnica y ofrecer información técnica y administrativa acerca de las estaciones de comprobación técnica disponibles para colaborar en las observaciones de comprobación técnica para la gestión del espectro de radiofrecuencias, incluida la asistencia para la identificación de cualquier interferencia perjudicial.</w:t>
      </w:r>
    </w:p>
    <w:p w:rsidR="00FD4A17" w:rsidRPr="00FD4A17" w:rsidRDefault="00FD4A17" w:rsidP="00A6521A">
      <w:pPr>
        <w:spacing w:before="120" w:after="120"/>
        <w:rPr>
          <w:lang w:val="es-ES_tradnl"/>
        </w:rPr>
      </w:pPr>
      <w:r w:rsidRPr="00FD4A17">
        <w:rPr>
          <w:lang w:val="es-ES_tradnl"/>
        </w:rPr>
        <w:t>Por lo tanto, es esencial que las administraciones que cuentan con instalaciones de comprobación técnica terrenales y/o espaciales notifiquen a la Oficina las características de sus estaciones de comprobación técnica para incluirlas en la Lista VIII a fin de mejorar la cobertura mundial.</w:t>
      </w:r>
    </w:p>
    <w:p w:rsidR="00FD4A17" w:rsidRPr="00FD4A17" w:rsidRDefault="00FD4A17" w:rsidP="00A6521A">
      <w:pPr>
        <w:spacing w:before="120" w:after="120"/>
        <w:rPr>
          <w:lang w:val="es-ES_tradnl"/>
        </w:rPr>
      </w:pPr>
      <w:r w:rsidRPr="00FD4A17">
        <w:rPr>
          <w:lang w:val="es-ES_tradnl"/>
        </w:rPr>
        <w:t>El objeto de la presente Carta Circular es invitar a las administraciones a comprobar el contenido de la actual edición de esta Lista (2016) y comunicar a la Oficina cualquier cambio que pudiera requerirse en relación con su(s) estación(es) de comprobación técnica u oficina central.</w:t>
      </w:r>
    </w:p>
    <w:p w:rsidR="00FD4A17" w:rsidRPr="00FD4A17" w:rsidRDefault="00FD4A17" w:rsidP="00A6521A">
      <w:pPr>
        <w:spacing w:before="120" w:after="120"/>
        <w:rPr>
          <w:lang w:val="es-ES_tradnl"/>
        </w:rPr>
      </w:pPr>
      <w:r w:rsidRPr="00FD4A17">
        <w:rPr>
          <w:lang w:val="es-ES_tradnl"/>
        </w:rPr>
        <w:t xml:space="preserve">Se invita a las </w:t>
      </w:r>
      <w:r w:rsidR="009A6808">
        <w:rPr>
          <w:lang w:val="es-ES_tradnl"/>
        </w:rPr>
        <w:t>a</w:t>
      </w:r>
      <w:r w:rsidRPr="00FD4A17">
        <w:rPr>
          <w:lang w:val="es-ES_tradnl"/>
        </w:rPr>
        <w:t xml:space="preserve">dministraciones </w:t>
      </w:r>
      <w:r w:rsidRPr="00FD4A17">
        <w:rPr>
          <w:u w:val="single"/>
          <w:lang w:val="es-ES_tradnl"/>
        </w:rPr>
        <w:t>con inscripciones</w:t>
      </w:r>
      <w:r w:rsidRPr="00FD4A17">
        <w:rPr>
          <w:lang w:val="es-ES_tradnl"/>
        </w:rPr>
        <w:t xml:space="preserve"> en la actual edición de esta Lista a que descarguen la información existente en formato MS WORD a partir del sitio web de la UIT: </w:t>
      </w:r>
      <w:hyperlink r:id="rId8" w:history="1">
        <w:r w:rsidRPr="00FD4A17">
          <w:rPr>
            <w:rStyle w:val="Hyperlink"/>
            <w:lang w:val="es-ES_tradnl"/>
          </w:rPr>
          <w:t>http://www.itu.int/go/ITU-R/ListVIII</w:t>
        </w:r>
      </w:hyperlink>
      <w:r w:rsidRPr="00FD4A17">
        <w:rPr>
          <w:lang w:val="es-ES_tradnl"/>
        </w:rPr>
        <w:t xml:space="preserve"> (bajo la pestaña </w:t>
      </w:r>
      <w:r w:rsidR="009B25B7">
        <w:rPr>
          <w:lang w:val="es-ES_tradnl"/>
        </w:rPr>
        <w:t>«</w:t>
      </w:r>
      <w:r w:rsidRPr="009B25B7">
        <w:rPr>
          <w:lang w:val="es-ES_tradnl"/>
        </w:rPr>
        <w:t>Data for review by Administrations</w:t>
      </w:r>
      <w:r w:rsidR="009B25B7">
        <w:rPr>
          <w:lang w:val="es-ES_tradnl"/>
        </w:rPr>
        <w:t>»</w:t>
      </w:r>
      <w:r w:rsidRPr="00FD4A17">
        <w:rPr>
          <w:lang w:val="es-ES_tradnl"/>
        </w:rPr>
        <w:t xml:space="preserve">) y entreguen un documento actualizado, con las enmiendas señaladas utilizando la opción </w:t>
      </w:r>
      <w:r w:rsidR="009B25B7">
        <w:rPr>
          <w:lang w:val="es-ES_tradnl"/>
        </w:rPr>
        <w:t>«</w:t>
      </w:r>
      <w:r w:rsidRPr="00FD4A17">
        <w:rPr>
          <w:lang w:val="es-ES_tradnl"/>
        </w:rPr>
        <w:t>marcas de revisión</w:t>
      </w:r>
      <w:r w:rsidR="009B25B7">
        <w:rPr>
          <w:lang w:val="es-ES_tradnl"/>
        </w:rPr>
        <w:t>».</w:t>
      </w:r>
      <w:bookmarkStart w:id="0" w:name="_GoBack"/>
      <w:bookmarkEnd w:id="0"/>
    </w:p>
    <w:p w:rsidR="00FD4A17" w:rsidRPr="009B25B7" w:rsidRDefault="00FD4A17" w:rsidP="00174570">
      <w:pPr>
        <w:keepNext/>
        <w:keepLines/>
        <w:spacing w:before="120" w:after="120"/>
        <w:rPr>
          <w:lang w:val="es-ES_tradnl"/>
        </w:rPr>
      </w:pPr>
      <w:r w:rsidRPr="00FD4A17">
        <w:rPr>
          <w:lang w:val="es-ES_tradnl"/>
        </w:rPr>
        <w:lastRenderedPageBreak/>
        <w:t xml:space="preserve">También se llama la atención de las administraciones que </w:t>
      </w:r>
      <w:r w:rsidRPr="00FD4A17">
        <w:rPr>
          <w:u w:val="single"/>
          <w:lang w:val="es-ES_tradnl"/>
        </w:rPr>
        <w:t>no tienen inscripciones</w:t>
      </w:r>
      <w:r w:rsidRPr="00FD4A17">
        <w:rPr>
          <w:lang w:val="es-ES_tradnl"/>
        </w:rPr>
        <w:t xml:space="preserve"> en el Nomenclátor de las estaciones de comprobación técnica internacional sobre la Recomendación UIT-R SM.1139 que recomienda «</w:t>
      </w:r>
      <w:r w:rsidRPr="00FD4A17">
        <w:rPr>
          <w:i/>
          <w:iCs/>
          <w:lang w:val="es-ES_tradnl"/>
        </w:rPr>
        <w:t>que las administraciones, una vez determinado si las estaciones de comprobación técnica se ajustan a normas técnicas adecuadas, notifiquen a la Oficina de Radiocomunicaciones la información pertinente acerca de la oficina centralizadora y de las estaciones que deseen incluir en la Lista VIII, identificando con claridad las estaciones autorizadas a participar en el sistema de comprobación técnica internacional de las emisiones</w:t>
      </w:r>
      <w:r w:rsidRPr="00FD4A17">
        <w:rPr>
          <w:lang w:val="es-ES_tradnl"/>
        </w:rPr>
        <w:t>». A fin de facilitar este proceso de notificación, está disponible en la dirección web de la UIT un enlace (</w:t>
      </w:r>
      <w:r w:rsidR="009B25B7">
        <w:rPr>
          <w:lang w:val="es-ES_tradnl"/>
        </w:rPr>
        <w:t>«</w:t>
      </w:r>
      <w:r w:rsidRPr="009B25B7">
        <w:rPr>
          <w:lang w:val="es-ES_tradnl"/>
        </w:rPr>
        <w:t>Notification Forms</w:t>
      </w:r>
      <w:r w:rsidR="009B25B7" w:rsidRPr="009B25B7">
        <w:rPr>
          <w:lang w:val="es-ES_tradnl"/>
        </w:rPr>
        <w:t>»</w:t>
      </w:r>
      <w:r w:rsidRPr="009B25B7">
        <w:rPr>
          <w:lang w:val="es-ES_tradnl"/>
        </w:rPr>
        <w:t xml:space="preserve">) con los formularios correspondientes </w:t>
      </w:r>
      <w:hyperlink r:id="rId9" w:history="1">
        <w:r w:rsidRPr="009B25B7">
          <w:rPr>
            <w:rStyle w:val="Hyperlink"/>
            <w:lang w:val="es-ES_tradnl"/>
          </w:rPr>
          <w:t>http://www.itu.int/go/ITU-R/ListVIII</w:t>
        </w:r>
      </w:hyperlink>
      <w:r w:rsidRPr="009B25B7">
        <w:rPr>
          <w:lang w:val="es-ES_tradnl"/>
        </w:rPr>
        <w:t>.</w:t>
      </w:r>
    </w:p>
    <w:p w:rsidR="00FD4A17" w:rsidRPr="00FD4A17" w:rsidRDefault="00FD4A17" w:rsidP="00174570">
      <w:pPr>
        <w:keepNext/>
        <w:keepLines/>
        <w:spacing w:before="120" w:after="120"/>
        <w:rPr>
          <w:lang w:val="es-ES_tradnl"/>
        </w:rPr>
      </w:pPr>
      <w:r w:rsidRPr="00FD4A17">
        <w:rPr>
          <w:lang w:val="es-ES_tradnl"/>
        </w:rPr>
        <w:t xml:space="preserve">Todas las notificaciones deben remitirse a la Oficina de Radiocomunicaciones en forma de documento adjunto a un mensaje electrónico oficial de correo-e dirigido a </w:t>
      </w:r>
      <w:hyperlink r:id="rId10" w:history="1">
        <w:r w:rsidRPr="00FD4A17">
          <w:rPr>
            <w:rStyle w:val="Hyperlink"/>
            <w:lang w:val="es-ES_tradnl"/>
          </w:rPr>
          <w:t>brmail@itu.int</w:t>
        </w:r>
      </w:hyperlink>
      <w:r w:rsidRPr="00FD4A17">
        <w:rPr>
          <w:lang w:val="es-ES_tradnl"/>
        </w:rPr>
        <w:t xml:space="preserve"> a más tardar el </w:t>
      </w:r>
      <w:r w:rsidRPr="00FD4A17">
        <w:rPr>
          <w:b/>
          <w:bCs/>
          <w:lang w:val="es-ES_tradnl"/>
        </w:rPr>
        <w:t>3 de mayo de 2019</w:t>
      </w:r>
      <w:r w:rsidRPr="00FD4A17">
        <w:rPr>
          <w:lang w:val="es-ES_tradnl"/>
        </w:rPr>
        <w:t>.</w:t>
      </w:r>
    </w:p>
    <w:p w:rsidR="00FD4A17" w:rsidRPr="00FD4A17" w:rsidRDefault="00FD4A17" w:rsidP="00A6521A">
      <w:pPr>
        <w:spacing w:before="120" w:after="120"/>
        <w:rPr>
          <w:lang w:val="es-ES_tradnl"/>
        </w:rPr>
      </w:pPr>
      <w:r w:rsidRPr="00FD4A17">
        <w:rPr>
          <w:lang w:val="es-ES_tradnl"/>
        </w:rPr>
        <w:t xml:space="preserve">La Oficina permanece a su disposición para cualquier información y aclaración adicional que pueda necesitar al respecto. La persona de contacto que se ocupa de este tema es el Sr. Aidan Jennings, teléfono: +41 22 730 5097, fax: +41 22 730 5785, correo-e: </w:t>
      </w:r>
      <w:hyperlink r:id="rId11" w:history="1">
        <w:r w:rsidRPr="00FD4A17">
          <w:rPr>
            <w:rStyle w:val="Hyperlink"/>
            <w:lang w:val="es-ES_tradnl"/>
          </w:rPr>
          <w:t>brmail@itu.int</w:t>
        </w:r>
      </w:hyperlink>
      <w:r w:rsidRPr="00FD4A17">
        <w:rPr>
          <w:lang w:val="es-ES_tradnl"/>
        </w:rPr>
        <w:t>.</w:t>
      </w:r>
    </w:p>
    <w:p w:rsidR="00174570" w:rsidRDefault="001B3D4D" w:rsidP="00174570">
      <w:pPr>
        <w:spacing w:before="1560"/>
        <w:jc w:val="left"/>
        <w:rPr>
          <w:szCs w:val="24"/>
          <w:lang w:val="es-ES"/>
        </w:rPr>
      </w:pPr>
      <w:r w:rsidRPr="00690032">
        <w:rPr>
          <w:lang w:val="es-ES"/>
        </w:rPr>
        <w:t xml:space="preserve">Mario </w:t>
      </w:r>
      <w:proofErr w:type="spellStart"/>
      <w:r w:rsidRPr="00690032">
        <w:rPr>
          <w:lang w:val="es-ES"/>
        </w:rPr>
        <w:t>Maniewicz</w:t>
      </w:r>
      <w:proofErr w:type="spellEnd"/>
      <w:r w:rsidR="00E53DCE" w:rsidRPr="0033029C">
        <w:rPr>
          <w:szCs w:val="24"/>
          <w:lang w:val="es-ES"/>
        </w:rPr>
        <w:br/>
      </w:r>
      <w:r w:rsidR="00A96D3A" w:rsidRPr="0033029C">
        <w:rPr>
          <w:szCs w:val="24"/>
          <w:lang w:val="es-ES"/>
        </w:rPr>
        <w:t xml:space="preserve">Director </w:t>
      </w:r>
    </w:p>
    <w:p w:rsidR="00174570" w:rsidRDefault="00174570" w:rsidP="00174570">
      <w:pPr>
        <w:spacing w:before="1560"/>
        <w:jc w:val="left"/>
        <w:rPr>
          <w:szCs w:val="24"/>
          <w:lang w:val="es-ES"/>
        </w:rPr>
      </w:pPr>
    </w:p>
    <w:p w:rsidR="00174570" w:rsidRDefault="00174570" w:rsidP="00174570">
      <w:pPr>
        <w:spacing w:before="1560"/>
        <w:jc w:val="left"/>
        <w:rPr>
          <w:szCs w:val="24"/>
          <w:lang w:val="es-ES"/>
        </w:rPr>
      </w:pPr>
    </w:p>
    <w:p w:rsidR="00174570" w:rsidRDefault="00174570" w:rsidP="00174570">
      <w:pPr>
        <w:spacing w:before="1560"/>
        <w:jc w:val="left"/>
        <w:rPr>
          <w:szCs w:val="24"/>
          <w:lang w:val="es-ES"/>
        </w:rPr>
      </w:pPr>
    </w:p>
    <w:p w:rsidR="00FD4A17" w:rsidRPr="00174570" w:rsidRDefault="00FD4A17" w:rsidP="00174570">
      <w:pPr>
        <w:spacing w:before="1560"/>
        <w:jc w:val="left"/>
        <w:rPr>
          <w:szCs w:val="24"/>
          <w:lang w:val="es-ES"/>
        </w:rPr>
      </w:pPr>
      <w:r w:rsidRPr="009B25B7">
        <w:rPr>
          <w:b/>
          <w:bCs/>
          <w:sz w:val="18"/>
          <w:szCs w:val="18"/>
          <w:lang w:val="es-ES_tradnl"/>
        </w:rPr>
        <w:t>Distribución:</w:t>
      </w:r>
    </w:p>
    <w:p w:rsidR="00FD4A17" w:rsidRPr="009B25B7" w:rsidRDefault="00FD4A17" w:rsidP="009B25B7">
      <w:pPr>
        <w:spacing w:before="0"/>
        <w:rPr>
          <w:sz w:val="18"/>
          <w:szCs w:val="18"/>
          <w:lang w:val="es-ES_tradnl"/>
        </w:rPr>
      </w:pPr>
      <w:r w:rsidRPr="009B25B7">
        <w:rPr>
          <w:sz w:val="18"/>
          <w:szCs w:val="18"/>
          <w:lang w:val="es-ES_tradnl"/>
        </w:rPr>
        <w:t>–</w:t>
      </w:r>
      <w:r w:rsidRPr="009B25B7">
        <w:rPr>
          <w:sz w:val="18"/>
          <w:szCs w:val="18"/>
          <w:lang w:val="es-ES_tradnl"/>
        </w:rPr>
        <w:tab/>
        <w:t>Administraciones de los Estados Miembros de la UIT</w:t>
      </w:r>
    </w:p>
    <w:p w:rsidR="00FD4A17" w:rsidRPr="009B25B7" w:rsidRDefault="00FD4A17" w:rsidP="009B25B7">
      <w:pPr>
        <w:spacing w:before="0"/>
        <w:rPr>
          <w:sz w:val="18"/>
          <w:szCs w:val="18"/>
          <w:lang w:val="es-ES_tradnl"/>
        </w:rPr>
      </w:pPr>
      <w:r w:rsidRPr="009B25B7">
        <w:rPr>
          <w:sz w:val="18"/>
          <w:szCs w:val="18"/>
          <w:lang w:val="es-ES_tradnl"/>
        </w:rPr>
        <w:t>–</w:t>
      </w:r>
      <w:r w:rsidRPr="009B25B7">
        <w:rPr>
          <w:sz w:val="18"/>
          <w:szCs w:val="18"/>
          <w:lang w:val="es-ES_tradnl"/>
        </w:rPr>
        <w:tab/>
        <w:t>Miembros de la Junta del Reglamento de Radiocomunicaciones</w:t>
      </w:r>
    </w:p>
    <w:sectPr w:rsidR="00FD4A17" w:rsidRPr="009B25B7"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A17" w:rsidRDefault="00FD4A17">
      <w:r>
        <w:separator/>
      </w:r>
    </w:p>
  </w:endnote>
  <w:endnote w:type="continuationSeparator" w:id="0">
    <w:p w:rsidR="00FD4A17" w:rsidRDefault="00FD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sidR="009B25B7">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A17" w:rsidRDefault="00FD4A17">
      <w:r>
        <w:t>____________________</w:t>
      </w:r>
    </w:p>
  </w:footnote>
  <w:footnote w:type="continuationSeparator" w:id="0">
    <w:p w:rsidR="00FD4A17" w:rsidRDefault="00FD4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9B25B7">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2C5093">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174570">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rsidTr="003F0E9F">
      <w:tc>
        <w:tcPr>
          <w:tcW w:w="4792" w:type="dxa"/>
          <w:tcMar>
            <w:left w:w="0" w:type="dxa"/>
          </w:tcMar>
        </w:tcPr>
        <w:p w:rsidR="001B3D4D" w:rsidRDefault="001B3D4D" w:rsidP="001B3D4D">
          <w:pPr>
            <w:pStyle w:val="Header"/>
            <w:spacing w:before="120" w:line="360" w:lineRule="auto"/>
          </w:pPr>
          <w:r w:rsidRPr="008E52B1">
            <w:rPr>
              <w:noProof/>
              <w:color w:val="3399FF"/>
              <w:lang w:val="en-GB" w:eastAsia="zh-CN"/>
            </w:rPr>
            <w:drawing>
              <wp:inline distT="0" distB="0" distL="0" distR="0" wp14:anchorId="6209BF30" wp14:editId="2AF88F3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1B3D4D" w:rsidRDefault="001B3D4D" w:rsidP="001B3D4D">
          <w:pPr>
            <w:pStyle w:val="Header"/>
            <w:spacing w:before="240" w:line="360" w:lineRule="auto"/>
            <w:jc w:val="right"/>
          </w:pPr>
          <w:r>
            <w:rPr>
              <w:noProof/>
              <w:lang w:val="en-GB" w:eastAsia="zh-CN"/>
            </w:rPr>
            <w:drawing>
              <wp:inline distT="0" distB="0" distL="0" distR="0" wp14:anchorId="1C9C3290" wp14:editId="2F4C8D8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1B3D4D" w:rsidRDefault="00E915AF" w:rsidP="001B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FE07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0A68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64F6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3020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7EB3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7069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9823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94BF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E2DE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AB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D4A1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74570"/>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C5093"/>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0032"/>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808"/>
    <w:rsid w:val="009A6BB6"/>
    <w:rsid w:val="009B25B7"/>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6521A"/>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C7B81"/>
    <w:rsid w:val="00FD4A1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06328AC-4375-4C27-8858-95F0C0BE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CommentTextChar">
    <w:name w:val="Comment Text Char"/>
    <w:basedOn w:val="DefaultParagraphFont"/>
    <w:link w:val="CommentText"/>
    <w:semiHidden/>
    <w:rsid w:val="009B25B7"/>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VII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go/ITU-R/ListVII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6B39-1CCB-4659-9749-D5663C13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42</TotalTime>
  <Pages>2</Pages>
  <Words>484</Words>
  <Characters>3065</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Spanish83</dc:creator>
  <cp:lastModifiedBy>Demoulin Na</cp:lastModifiedBy>
  <cp:revision>8</cp:revision>
  <cp:lastPrinted>2019-03-26T08:13:00Z</cp:lastPrinted>
  <dcterms:created xsi:type="dcterms:W3CDTF">2019-03-25T13:40:00Z</dcterms:created>
  <dcterms:modified xsi:type="dcterms:W3CDTF">2019-03-26T08:15:00Z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