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4045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640456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640456" w:rsidRDefault="00E53DCE" w:rsidP="00F140E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64045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640456" w:rsidRDefault="00AA781A" w:rsidP="00F140EE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640456">
              <w:rPr>
                <w:szCs w:val="24"/>
                <w:lang w:val="fr-CH"/>
              </w:rPr>
              <w:t>Lettre circulaire</w:t>
            </w:r>
          </w:p>
          <w:p w:rsidR="00E53DCE" w:rsidRPr="00640456" w:rsidRDefault="00AA781A" w:rsidP="00F140EE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640456">
              <w:rPr>
                <w:b/>
                <w:bCs/>
                <w:szCs w:val="24"/>
                <w:lang w:val="fr-CH"/>
              </w:rPr>
              <w:t>CR</w:t>
            </w:r>
            <w:r w:rsidR="0027495C">
              <w:rPr>
                <w:b/>
                <w:bCs/>
                <w:szCs w:val="24"/>
                <w:lang w:val="fr-CH"/>
              </w:rPr>
              <w:t>/448</w:t>
            </w:r>
          </w:p>
        </w:tc>
        <w:tc>
          <w:tcPr>
            <w:tcW w:w="2835" w:type="dxa"/>
            <w:shd w:val="clear" w:color="auto" w:fill="auto"/>
          </w:tcPr>
          <w:p w:rsidR="00E53DCE" w:rsidRPr="00640456" w:rsidRDefault="000249A7" w:rsidP="008B65EB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Genève, l</w:t>
            </w:r>
            <w:r w:rsidR="00AA781A" w:rsidRPr="00640456">
              <w:rPr>
                <w:szCs w:val="24"/>
                <w:lang w:val="fr-CH"/>
              </w:rPr>
              <w:t xml:space="preserve">e </w:t>
            </w:r>
            <w:r w:rsidR="008B65EB">
              <w:rPr>
                <w:szCs w:val="24"/>
                <w:lang w:val="fr-CH"/>
              </w:rPr>
              <w:t>28</w:t>
            </w:r>
            <w:r w:rsidR="005D1C28" w:rsidRPr="00640456">
              <w:rPr>
                <w:rFonts w:cs="Arial"/>
                <w:szCs w:val="24"/>
                <w:lang w:val="fr-CH"/>
              </w:rPr>
              <w:t xml:space="preserve"> août 2019</w:t>
            </w:r>
          </w:p>
        </w:tc>
      </w:tr>
      <w:tr w:rsidR="00E53DCE" w:rsidRPr="0064045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64045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E1A57" w:rsidP="00F140E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640456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E42C03" w:rsidRPr="00640456">
              <w:rPr>
                <w:b/>
                <w:bCs/>
                <w:szCs w:val="24"/>
                <w:lang w:val="fr-CH"/>
              </w:rPr>
              <w:t>États Membres de l'UA</w:t>
            </w:r>
            <w:r w:rsidRPr="00640456">
              <w:rPr>
                <w:b/>
                <w:bCs/>
                <w:szCs w:val="24"/>
                <w:lang w:val="fr-CH"/>
              </w:rPr>
              <w:t>T</w:t>
            </w:r>
          </w:p>
          <w:p w:rsidR="00E53DCE" w:rsidRPr="00640456" w:rsidRDefault="00E53DCE" w:rsidP="00F140E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40456" w:rsidRDefault="003471C9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640456">
              <w:rPr>
                <w:lang w:val="fr-CH"/>
              </w:rPr>
              <w:t>Objet</w:t>
            </w:r>
            <w:r w:rsidR="00E53DCE" w:rsidRPr="00640456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40456" w:rsidRDefault="00E42C03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640456">
              <w:rPr>
                <w:b/>
                <w:bCs/>
                <w:szCs w:val="24"/>
                <w:lang w:val="fr-CH"/>
              </w:rPr>
              <w:t>Questionnaire en ligne de l'UIT sur l'utilisation actuelle et future de la bande de fréquences 87,5-108 MHz dans les pays africains</w:t>
            </w:r>
          </w:p>
        </w:tc>
      </w:tr>
      <w:tr w:rsidR="00E53DCE" w:rsidRPr="008B65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40456" w:rsidRDefault="00E53DCE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40456" w:rsidRDefault="00E53DCE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40456" w:rsidRDefault="00E53DCE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40456" w:rsidRDefault="00E53DCE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B65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40456" w:rsidRDefault="00E53DCE" w:rsidP="00F140E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42C03" w:rsidRPr="00640456" w:rsidRDefault="00E42C03" w:rsidP="00F140EE">
      <w:pPr>
        <w:spacing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 xml:space="preserve">Le Bureau des radiocommunications de l'UIT (BR), en collaboration avec l'Union africaine des télécommunications (UAT), met actuellement en place un processus visant à optimiser le Plan GE84 pour les pays africains. </w:t>
      </w:r>
    </w:p>
    <w:p w:rsidR="00E42C03" w:rsidRPr="00640456" w:rsidRDefault="00E42C03" w:rsidP="000B5839">
      <w:pPr>
        <w:spacing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>L'objectif principal de ce processus d'optimisation est d'obtenir une u</w:t>
      </w:r>
      <w:r w:rsidR="000249A7">
        <w:rPr>
          <w:rFonts w:eastAsiaTheme="minorEastAsia"/>
          <w:szCs w:val="24"/>
          <w:lang w:val="fr-CH"/>
        </w:rPr>
        <w:t>tilisation efficace de la bande </w:t>
      </w:r>
      <w:r w:rsidRPr="00640456">
        <w:rPr>
          <w:rFonts w:eastAsiaTheme="minorEastAsia"/>
          <w:szCs w:val="24"/>
          <w:lang w:val="fr-CH"/>
        </w:rPr>
        <w:t>87,5-108 MHz (</w:t>
      </w:r>
      <w:r w:rsidR="000B5839">
        <w:rPr>
          <w:rFonts w:eastAsiaTheme="minorEastAsia"/>
          <w:szCs w:val="24"/>
          <w:lang w:val="fr-CH"/>
        </w:rPr>
        <w:t>FM</w:t>
      </w:r>
      <w:r w:rsidRPr="00640456">
        <w:rPr>
          <w:rFonts w:eastAsiaTheme="minorEastAsia"/>
          <w:szCs w:val="24"/>
          <w:lang w:val="fr-CH"/>
        </w:rPr>
        <w:t xml:space="preserve">) pour la radiodiffusion sonore analogique et d'attribuer de nouvelles fréquences à la radiodiffusion </w:t>
      </w:r>
      <w:r w:rsidR="000B5839">
        <w:rPr>
          <w:rFonts w:eastAsiaTheme="minorEastAsia"/>
          <w:szCs w:val="24"/>
          <w:lang w:val="fr-CH"/>
        </w:rPr>
        <w:t>FM</w:t>
      </w:r>
      <w:r w:rsidR="000B5839" w:rsidRPr="00640456">
        <w:rPr>
          <w:rFonts w:eastAsiaTheme="minorEastAsia"/>
          <w:szCs w:val="24"/>
          <w:lang w:val="fr-CH"/>
        </w:rPr>
        <w:t xml:space="preserve"> </w:t>
      </w:r>
      <w:r w:rsidRPr="00640456">
        <w:rPr>
          <w:rFonts w:eastAsiaTheme="minorEastAsia"/>
          <w:szCs w:val="24"/>
          <w:lang w:val="fr-CH"/>
        </w:rPr>
        <w:t xml:space="preserve">pour répondre aux besoins croissants de fréquences supplémentaires dans les pays africains. </w:t>
      </w:r>
    </w:p>
    <w:p w:rsidR="00E42C03" w:rsidRPr="00640456" w:rsidRDefault="00E42C03" w:rsidP="00F140EE">
      <w:pPr>
        <w:spacing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 xml:space="preserve">Dans le cadre de ce processus d'optimisation, </w:t>
      </w:r>
      <w:r w:rsidR="00744535" w:rsidRPr="00640456">
        <w:rPr>
          <w:rFonts w:eastAsiaTheme="minorEastAsia"/>
          <w:szCs w:val="24"/>
          <w:lang w:val="fr-CH"/>
        </w:rPr>
        <w:t xml:space="preserve">il est nécessaire que </w:t>
      </w:r>
      <w:r w:rsidRPr="00640456">
        <w:rPr>
          <w:rFonts w:eastAsiaTheme="minorEastAsia"/>
          <w:szCs w:val="24"/>
          <w:lang w:val="fr-CH"/>
        </w:rPr>
        <w:t xml:space="preserve">les administrations </w:t>
      </w:r>
      <w:r w:rsidR="00640456">
        <w:rPr>
          <w:rFonts w:eastAsiaTheme="minorEastAsia"/>
          <w:szCs w:val="24"/>
          <w:lang w:val="fr-CH"/>
        </w:rPr>
        <w:t xml:space="preserve">participantes </w:t>
      </w:r>
      <w:r w:rsidR="00744535" w:rsidRPr="00640456">
        <w:rPr>
          <w:rFonts w:eastAsiaTheme="minorEastAsia"/>
          <w:szCs w:val="24"/>
          <w:lang w:val="fr-CH"/>
        </w:rPr>
        <w:t>s'engagent résolument à</w:t>
      </w:r>
      <w:r w:rsidRPr="00640456">
        <w:rPr>
          <w:rFonts w:eastAsiaTheme="minorEastAsia"/>
          <w:szCs w:val="24"/>
          <w:lang w:val="fr-CH"/>
        </w:rPr>
        <w:t xml:space="preserve"> fourni</w:t>
      </w:r>
      <w:r w:rsidR="00744535" w:rsidRPr="00640456">
        <w:rPr>
          <w:rFonts w:eastAsiaTheme="minorEastAsia"/>
          <w:szCs w:val="24"/>
          <w:lang w:val="fr-CH"/>
        </w:rPr>
        <w:t xml:space="preserve">r les données nécessaires, à </w:t>
      </w:r>
      <w:r w:rsidRPr="00640456">
        <w:rPr>
          <w:rFonts w:eastAsiaTheme="minorEastAsia"/>
          <w:szCs w:val="24"/>
          <w:lang w:val="fr-CH"/>
        </w:rPr>
        <w:t>actualis</w:t>
      </w:r>
      <w:r w:rsidR="00744535" w:rsidRPr="00640456">
        <w:rPr>
          <w:rFonts w:eastAsiaTheme="minorEastAsia"/>
          <w:szCs w:val="24"/>
          <w:lang w:val="fr-CH"/>
        </w:rPr>
        <w:t>er</w:t>
      </w:r>
      <w:r w:rsidRPr="00640456">
        <w:rPr>
          <w:rFonts w:eastAsiaTheme="minorEastAsia"/>
          <w:szCs w:val="24"/>
          <w:lang w:val="fr-CH"/>
        </w:rPr>
        <w:t xml:space="preserve"> le Plan GE84 et le Fichier de référence international des fréquences et </w:t>
      </w:r>
      <w:r w:rsidR="00744535" w:rsidRPr="00640456">
        <w:rPr>
          <w:rFonts w:eastAsiaTheme="minorEastAsia"/>
          <w:szCs w:val="24"/>
          <w:lang w:val="fr-CH"/>
        </w:rPr>
        <w:t xml:space="preserve">à </w:t>
      </w:r>
      <w:r w:rsidRPr="00640456">
        <w:rPr>
          <w:rFonts w:eastAsiaTheme="minorEastAsia"/>
          <w:szCs w:val="24"/>
          <w:lang w:val="fr-CH"/>
        </w:rPr>
        <w:t>participer activement aux réunions de coordination des fréquences</w:t>
      </w:r>
      <w:r w:rsidR="00744535" w:rsidRPr="00640456">
        <w:rPr>
          <w:rFonts w:eastAsiaTheme="minorEastAsia"/>
          <w:szCs w:val="24"/>
          <w:lang w:val="fr-CH"/>
        </w:rPr>
        <w:t xml:space="preserve"> futures</w:t>
      </w:r>
      <w:r w:rsidRPr="00640456">
        <w:rPr>
          <w:rFonts w:eastAsiaTheme="minorEastAsia"/>
          <w:szCs w:val="24"/>
          <w:lang w:val="fr-CH"/>
        </w:rPr>
        <w:t xml:space="preserve">, de façon à </w:t>
      </w:r>
      <w:r w:rsidR="00744535" w:rsidRPr="00640456">
        <w:rPr>
          <w:rFonts w:eastAsiaTheme="minorEastAsia"/>
          <w:szCs w:val="24"/>
          <w:lang w:val="fr-CH"/>
        </w:rPr>
        <w:t>parvenir à</w:t>
      </w:r>
      <w:r w:rsidRPr="00640456">
        <w:rPr>
          <w:rFonts w:eastAsiaTheme="minorEastAsia"/>
          <w:szCs w:val="24"/>
          <w:lang w:val="fr-CH"/>
        </w:rPr>
        <w:t xml:space="preserve"> identifier des assignations </w:t>
      </w:r>
      <w:r w:rsidR="00744535" w:rsidRPr="00640456">
        <w:rPr>
          <w:rFonts w:eastAsiaTheme="minorEastAsia"/>
          <w:szCs w:val="24"/>
          <w:lang w:val="fr-CH"/>
        </w:rPr>
        <w:t>additionnelles</w:t>
      </w:r>
      <w:r w:rsidRPr="00640456">
        <w:rPr>
          <w:rFonts w:eastAsiaTheme="minorEastAsia"/>
          <w:szCs w:val="24"/>
          <w:lang w:val="fr-CH"/>
        </w:rPr>
        <w:t xml:space="preserve"> mutuellement compatibles. </w:t>
      </w:r>
    </w:p>
    <w:p w:rsidR="00E42C03" w:rsidRPr="00640456" w:rsidRDefault="00E42C03" w:rsidP="000B5839">
      <w:pPr>
        <w:spacing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 xml:space="preserve">Avant </w:t>
      </w:r>
      <w:r w:rsidR="00744535" w:rsidRPr="00640456">
        <w:rPr>
          <w:rFonts w:eastAsiaTheme="minorEastAsia"/>
          <w:szCs w:val="24"/>
          <w:lang w:val="fr-CH"/>
        </w:rPr>
        <w:t>d'engager</w:t>
      </w:r>
      <w:r w:rsidRPr="00640456">
        <w:rPr>
          <w:rFonts w:eastAsiaTheme="minorEastAsia"/>
          <w:szCs w:val="24"/>
          <w:lang w:val="fr-CH"/>
        </w:rPr>
        <w:t xml:space="preserve"> ce processus, il est nécessaire d'avoir une vue d'ensemble précise de la situation actuelle et future </w:t>
      </w:r>
      <w:r w:rsidR="00744535" w:rsidRPr="00640456">
        <w:rPr>
          <w:rFonts w:eastAsiaTheme="minorEastAsia"/>
          <w:szCs w:val="24"/>
          <w:lang w:val="fr-CH"/>
        </w:rPr>
        <w:t>de</w:t>
      </w:r>
      <w:r w:rsidRPr="00640456">
        <w:rPr>
          <w:rFonts w:eastAsiaTheme="minorEastAsia"/>
          <w:szCs w:val="24"/>
          <w:lang w:val="fr-CH"/>
        </w:rPr>
        <w:t xml:space="preserve"> la bande </w:t>
      </w:r>
      <w:r w:rsidR="000B5839">
        <w:rPr>
          <w:rFonts w:eastAsiaTheme="minorEastAsia"/>
          <w:szCs w:val="24"/>
          <w:lang w:val="fr-CH"/>
        </w:rPr>
        <w:t>FM</w:t>
      </w:r>
      <w:r w:rsidR="000B5839" w:rsidRPr="00640456">
        <w:rPr>
          <w:rFonts w:eastAsiaTheme="minorEastAsia"/>
          <w:szCs w:val="24"/>
          <w:lang w:val="fr-CH"/>
        </w:rPr>
        <w:t xml:space="preserve"> </w:t>
      </w:r>
      <w:r w:rsidRPr="00640456">
        <w:rPr>
          <w:rFonts w:eastAsiaTheme="minorEastAsia"/>
          <w:szCs w:val="24"/>
          <w:lang w:val="fr-CH"/>
        </w:rPr>
        <w:t xml:space="preserve">en Afrique, et notamment de disposer d'informations </w:t>
      </w:r>
      <w:r w:rsidR="00744535" w:rsidRPr="00640456">
        <w:rPr>
          <w:rFonts w:eastAsiaTheme="minorEastAsia"/>
          <w:szCs w:val="24"/>
          <w:lang w:val="fr-CH"/>
        </w:rPr>
        <w:t>sur</w:t>
      </w:r>
      <w:r w:rsidRPr="00640456">
        <w:rPr>
          <w:rFonts w:eastAsiaTheme="minorEastAsia"/>
          <w:szCs w:val="24"/>
          <w:lang w:val="fr-CH"/>
        </w:rPr>
        <w:t xml:space="preserve"> l'utilisation de la bande </w:t>
      </w:r>
      <w:r w:rsidR="000B5839">
        <w:rPr>
          <w:rFonts w:eastAsiaTheme="minorEastAsia"/>
          <w:szCs w:val="24"/>
          <w:lang w:val="fr-CH"/>
        </w:rPr>
        <w:t>FM</w:t>
      </w:r>
      <w:r w:rsidR="000B5839" w:rsidRPr="00640456">
        <w:rPr>
          <w:rFonts w:eastAsiaTheme="minorEastAsia"/>
          <w:szCs w:val="24"/>
          <w:lang w:val="fr-CH"/>
        </w:rPr>
        <w:t xml:space="preserve"> </w:t>
      </w:r>
      <w:r w:rsidR="00744535" w:rsidRPr="00640456">
        <w:rPr>
          <w:rFonts w:eastAsiaTheme="minorEastAsia"/>
          <w:szCs w:val="24"/>
          <w:lang w:val="fr-CH"/>
        </w:rPr>
        <w:t>vis-à-vis</w:t>
      </w:r>
      <w:r w:rsidRPr="00640456">
        <w:rPr>
          <w:rFonts w:eastAsiaTheme="minorEastAsia"/>
          <w:szCs w:val="24"/>
          <w:lang w:val="fr-CH"/>
        </w:rPr>
        <w:t xml:space="preserve"> du Plan de Genève de 1984 en Afrique. </w:t>
      </w:r>
    </w:p>
    <w:p w:rsidR="00E42C03" w:rsidRPr="00640456" w:rsidRDefault="00E42C03" w:rsidP="00F140EE">
      <w:pPr>
        <w:spacing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 xml:space="preserve">À cette fin, le BR a élaboré un questionnaire en ligne </w:t>
      </w:r>
      <w:r w:rsidR="00744535" w:rsidRPr="00640456">
        <w:rPr>
          <w:rFonts w:eastAsiaTheme="minorEastAsia"/>
          <w:szCs w:val="24"/>
          <w:lang w:val="fr-CH"/>
        </w:rPr>
        <w:t>sur</w:t>
      </w:r>
      <w:r w:rsidRPr="00640456">
        <w:rPr>
          <w:rFonts w:eastAsiaTheme="minorEastAsia"/>
          <w:szCs w:val="24"/>
          <w:lang w:val="fr-CH"/>
        </w:rPr>
        <w:t xml:space="preserve"> l'utilisation de la bande de fréquences 87,5</w:t>
      </w:r>
      <w:r w:rsidR="00744535" w:rsidRPr="00640456">
        <w:rPr>
          <w:rFonts w:eastAsiaTheme="minorEastAsia"/>
          <w:szCs w:val="24"/>
          <w:lang w:val="fr-CH"/>
        </w:rPr>
        <w:noBreakHyphen/>
      </w:r>
      <w:r w:rsidRPr="00640456">
        <w:rPr>
          <w:rFonts w:eastAsiaTheme="minorEastAsia"/>
          <w:szCs w:val="24"/>
          <w:lang w:val="fr-CH"/>
        </w:rPr>
        <w:t xml:space="preserve">108 MHz dans les pays africains, </w:t>
      </w:r>
      <w:r w:rsidR="00744535" w:rsidRPr="00640456">
        <w:rPr>
          <w:rFonts w:eastAsiaTheme="minorEastAsia"/>
          <w:szCs w:val="24"/>
          <w:lang w:val="fr-CH"/>
        </w:rPr>
        <w:t xml:space="preserve">qui est </w:t>
      </w:r>
      <w:r w:rsidRPr="00640456">
        <w:rPr>
          <w:rFonts w:eastAsiaTheme="minorEastAsia"/>
          <w:szCs w:val="24"/>
          <w:lang w:val="fr-CH"/>
        </w:rPr>
        <w:t>accessible depuis la page web de l'UIT suivante:</w:t>
      </w:r>
    </w:p>
    <w:p w:rsidR="00631080" w:rsidRPr="00631080" w:rsidRDefault="0077421E" w:rsidP="00F140EE">
      <w:pPr>
        <w:spacing w:before="120" w:after="120" w:line="240" w:lineRule="auto"/>
        <w:rPr>
          <w:rStyle w:val="Hyperlink"/>
          <w:rFonts w:asciiTheme="minorHAnsi" w:eastAsiaTheme="minorEastAsia" w:hAnsiTheme="minorHAnsi"/>
          <w:szCs w:val="24"/>
          <w:lang w:val="fr-CH"/>
        </w:rPr>
      </w:pPr>
      <w:r>
        <w:fldChar w:fldCharType="begin"/>
      </w:r>
      <w:r w:rsidRPr="0077421E">
        <w:rPr>
          <w:lang w:val="fr-CH"/>
        </w:rPr>
        <w:instrText>HYPERLINK "https://www.itu.int/fr/ITU-R/terrestrial/broadcast/africa"</w:instrText>
      </w:r>
      <w:r>
        <w:fldChar w:fldCharType="separate"/>
      </w:r>
      <w:r w:rsidR="00631080" w:rsidRPr="00631080">
        <w:rPr>
          <w:rStyle w:val="Hyperlink"/>
          <w:rFonts w:asciiTheme="minorHAnsi" w:eastAsiaTheme="minorEastAsia" w:hAnsiTheme="minorHAnsi"/>
          <w:szCs w:val="24"/>
          <w:lang w:val="fr-CH"/>
        </w:rPr>
        <w:t>www.itu.int/fr/ITU-R/t</w:t>
      </w:r>
      <w:bookmarkStart w:id="0" w:name="_GoBack"/>
      <w:bookmarkEnd w:id="0"/>
      <w:r w:rsidR="00631080" w:rsidRPr="00631080">
        <w:rPr>
          <w:rStyle w:val="Hyperlink"/>
          <w:rFonts w:asciiTheme="minorHAnsi" w:eastAsiaTheme="minorEastAsia" w:hAnsiTheme="minorHAnsi"/>
          <w:szCs w:val="24"/>
          <w:lang w:val="fr-CH"/>
        </w:rPr>
        <w:t>e</w:t>
      </w:r>
      <w:r w:rsidR="00631080" w:rsidRPr="00631080">
        <w:rPr>
          <w:rStyle w:val="Hyperlink"/>
          <w:rFonts w:asciiTheme="minorHAnsi" w:eastAsiaTheme="minorEastAsia" w:hAnsiTheme="minorHAnsi"/>
          <w:szCs w:val="24"/>
          <w:lang w:val="fr-CH"/>
        </w:rPr>
        <w:t>rrestrial/broadcast/africa</w:t>
      </w:r>
      <w:r>
        <w:rPr>
          <w:rStyle w:val="Hyperlink"/>
          <w:rFonts w:asciiTheme="minorHAnsi" w:eastAsiaTheme="minorEastAsia" w:hAnsiTheme="minorHAnsi"/>
          <w:szCs w:val="24"/>
          <w:lang w:val="fr-CH"/>
        </w:rPr>
        <w:fldChar w:fldCharType="end"/>
      </w:r>
      <w:r w:rsidR="00631080">
        <w:rPr>
          <w:rStyle w:val="Hyperlink"/>
          <w:rFonts w:asciiTheme="minorHAnsi" w:eastAsiaTheme="minorEastAsia" w:hAnsiTheme="minorHAnsi"/>
          <w:szCs w:val="24"/>
          <w:lang w:val="fr-CH"/>
        </w:rPr>
        <w:br/>
      </w:r>
    </w:p>
    <w:p w:rsidR="00E42C03" w:rsidRPr="00640456" w:rsidRDefault="00E42C03" w:rsidP="00F140EE">
      <w:pPr>
        <w:spacing w:before="120" w:after="120" w:line="240" w:lineRule="auto"/>
        <w:rPr>
          <w:rFonts w:eastAsiaTheme="minorEastAsia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t xml:space="preserve">Nous invitons votre Administration à </w:t>
      </w:r>
      <w:r w:rsidR="00744535" w:rsidRPr="00640456">
        <w:rPr>
          <w:rFonts w:eastAsiaTheme="minorEastAsia"/>
          <w:szCs w:val="24"/>
          <w:lang w:val="fr-CH"/>
        </w:rPr>
        <w:t xml:space="preserve">bien vouloir </w:t>
      </w:r>
      <w:r w:rsidRPr="00640456">
        <w:rPr>
          <w:rFonts w:eastAsiaTheme="minorEastAsia"/>
          <w:szCs w:val="24"/>
          <w:lang w:val="fr-CH"/>
        </w:rPr>
        <w:t xml:space="preserve">répondre de manière détaillée au questionnaire en ligne avant </w:t>
      </w:r>
      <w:r w:rsidRPr="00640456">
        <w:rPr>
          <w:rFonts w:eastAsiaTheme="minorEastAsia"/>
          <w:b/>
          <w:bCs/>
          <w:szCs w:val="24"/>
          <w:lang w:val="fr-CH"/>
        </w:rPr>
        <w:t>le 15 novembre 2019 à 18 heures, heure de Genève</w:t>
      </w:r>
      <w:r w:rsidRPr="00640456">
        <w:rPr>
          <w:rFonts w:eastAsiaTheme="minorEastAsia"/>
          <w:szCs w:val="24"/>
          <w:lang w:val="fr-CH"/>
        </w:rPr>
        <w:t xml:space="preserve">. </w:t>
      </w:r>
    </w:p>
    <w:p w:rsidR="00E42C03" w:rsidRPr="00640456" w:rsidRDefault="00E42C03" w:rsidP="00F140EE">
      <w:pPr>
        <w:keepNext/>
        <w:keepLines/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40456">
        <w:rPr>
          <w:rFonts w:eastAsiaTheme="minorEastAsia"/>
          <w:szCs w:val="24"/>
          <w:lang w:val="fr-CH"/>
        </w:rPr>
        <w:lastRenderedPageBreak/>
        <w:t>Le BR reste à la disposition de votre Administration</w:t>
      </w:r>
      <w:r w:rsidR="00744535" w:rsidRPr="00640456">
        <w:rPr>
          <w:rFonts w:eastAsiaTheme="minorEastAsia"/>
          <w:szCs w:val="24"/>
          <w:lang w:val="fr-CH"/>
        </w:rPr>
        <w:t>,</w:t>
      </w:r>
      <w:r w:rsidRPr="00640456">
        <w:rPr>
          <w:rFonts w:eastAsiaTheme="minorEastAsia"/>
          <w:szCs w:val="24"/>
          <w:lang w:val="fr-CH"/>
        </w:rPr>
        <w:t xml:space="preserve"> </w:t>
      </w:r>
      <w:r w:rsidR="00744535" w:rsidRPr="00640456">
        <w:rPr>
          <w:rFonts w:eastAsiaTheme="minorEastAsia"/>
          <w:szCs w:val="24"/>
          <w:lang w:val="fr-CH"/>
        </w:rPr>
        <w:t xml:space="preserve">via l'adresse électronique: </w:t>
      </w:r>
      <w:hyperlink r:id="rId8" w:history="1">
        <w:r w:rsidR="00744535" w:rsidRPr="00640456">
          <w:rPr>
            <w:rStyle w:val="Hyperlink"/>
            <w:rFonts w:eastAsiaTheme="minorEastAsia"/>
            <w:szCs w:val="24"/>
            <w:lang w:val="fr-CH"/>
          </w:rPr>
          <w:t>brmail@itu.int</w:t>
        </w:r>
      </w:hyperlink>
      <w:r w:rsidR="00744535" w:rsidRPr="00640456">
        <w:rPr>
          <w:rFonts w:eastAsiaTheme="minorEastAsia"/>
          <w:szCs w:val="24"/>
          <w:lang w:val="fr-CH"/>
        </w:rPr>
        <w:t xml:space="preserve">, </w:t>
      </w:r>
      <w:r w:rsidRPr="00640456">
        <w:rPr>
          <w:rFonts w:eastAsiaTheme="minorEastAsia"/>
          <w:szCs w:val="24"/>
          <w:lang w:val="fr-CH"/>
        </w:rPr>
        <w:t xml:space="preserve">pour toute précision </w:t>
      </w:r>
      <w:r w:rsidR="00744535" w:rsidRPr="00640456">
        <w:rPr>
          <w:rFonts w:eastAsiaTheme="minorEastAsia"/>
          <w:szCs w:val="24"/>
          <w:lang w:val="fr-CH"/>
        </w:rPr>
        <w:t>dont elle pourrait avoir besoin concernant les</w:t>
      </w:r>
      <w:r w:rsidRPr="00640456">
        <w:rPr>
          <w:rFonts w:eastAsiaTheme="minorEastAsia"/>
          <w:szCs w:val="24"/>
          <w:lang w:val="fr-CH"/>
        </w:rPr>
        <w:t xml:space="preserve"> questions traitées dans </w:t>
      </w:r>
      <w:r w:rsidR="00744535" w:rsidRPr="00640456">
        <w:rPr>
          <w:rFonts w:eastAsiaTheme="minorEastAsia"/>
          <w:szCs w:val="24"/>
          <w:lang w:val="fr-CH"/>
        </w:rPr>
        <w:t>la présente Lettre circulaire</w:t>
      </w:r>
      <w:r w:rsidRPr="00640456">
        <w:rPr>
          <w:rFonts w:eastAsiaTheme="minorEastAsia"/>
          <w:szCs w:val="24"/>
          <w:lang w:val="fr-CH"/>
        </w:rPr>
        <w:t xml:space="preserve">. </w:t>
      </w:r>
    </w:p>
    <w:p w:rsidR="00E42C03" w:rsidRPr="00640456" w:rsidRDefault="00E42C03" w:rsidP="00F140EE">
      <w:pPr>
        <w:keepNext/>
        <w:keepLines/>
        <w:spacing w:before="840" w:line="240" w:lineRule="auto"/>
        <w:jc w:val="left"/>
        <w:rPr>
          <w:lang w:val="fr-CH"/>
        </w:rPr>
      </w:pPr>
      <w:r w:rsidRPr="00640456">
        <w:rPr>
          <w:lang w:val="fr-CH"/>
        </w:rPr>
        <w:t xml:space="preserve">Mario </w:t>
      </w:r>
      <w:proofErr w:type="spellStart"/>
      <w:r w:rsidRPr="00640456">
        <w:rPr>
          <w:lang w:val="fr-CH"/>
        </w:rPr>
        <w:t>Maniewicz</w:t>
      </w:r>
      <w:proofErr w:type="spellEnd"/>
      <w:r w:rsidR="00744535" w:rsidRPr="00640456">
        <w:rPr>
          <w:lang w:val="fr-CH"/>
        </w:rPr>
        <w:br/>
      </w:r>
      <w:r w:rsidRPr="00640456">
        <w:rPr>
          <w:lang w:val="fr-CH"/>
        </w:rPr>
        <w:t>Directeur</w:t>
      </w:r>
    </w:p>
    <w:p w:rsidR="00E42C03" w:rsidRPr="000249A7" w:rsidRDefault="00E42C03" w:rsidP="00F140EE">
      <w:pPr>
        <w:pStyle w:val="Headingb"/>
        <w:spacing w:before="960" w:line="240" w:lineRule="auto"/>
        <w:rPr>
          <w:rFonts w:asciiTheme="minorHAnsi" w:hAnsiTheme="minorHAnsi" w:cstheme="minorHAnsi"/>
          <w:bCs/>
          <w:sz w:val="18"/>
          <w:szCs w:val="18"/>
          <w:lang w:val="fr-CH"/>
        </w:rPr>
      </w:pPr>
      <w:r w:rsidRPr="000249A7">
        <w:rPr>
          <w:rFonts w:asciiTheme="minorHAnsi" w:hAnsiTheme="minorHAnsi" w:cstheme="minorHAnsi"/>
          <w:bCs/>
          <w:sz w:val="18"/>
          <w:szCs w:val="18"/>
          <w:lang w:val="fr-CH"/>
        </w:rPr>
        <w:t>Distribution:</w:t>
      </w:r>
    </w:p>
    <w:p w:rsidR="00E42C03" w:rsidRPr="000249A7" w:rsidRDefault="00E42C03" w:rsidP="00F140EE">
      <w:pPr>
        <w:tabs>
          <w:tab w:val="clear" w:pos="794"/>
          <w:tab w:val="clear" w:pos="1191"/>
          <w:tab w:val="left" w:pos="426"/>
        </w:tabs>
        <w:spacing w:before="120" w:line="240" w:lineRule="auto"/>
        <w:jc w:val="left"/>
        <w:rPr>
          <w:sz w:val="18"/>
          <w:szCs w:val="18"/>
          <w:lang w:val="fr-CH"/>
        </w:rPr>
      </w:pPr>
      <w:r w:rsidRPr="000249A7">
        <w:rPr>
          <w:sz w:val="18"/>
          <w:szCs w:val="18"/>
          <w:lang w:val="fr-CH"/>
        </w:rPr>
        <w:t>–</w:t>
      </w:r>
      <w:r w:rsidRPr="000249A7">
        <w:rPr>
          <w:sz w:val="18"/>
          <w:szCs w:val="18"/>
          <w:lang w:val="fr-CH"/>
        </w:rPr>
        <w:tab/>
        <w:t>Administrations des États Membres de l'UAT</w:t>
      </w:r>
      <w:r w:rsidRPr="000249A7">
        <w:rPr>
          <w:sz w:val="18"/>
          <w:szCs w:val="18"/>
          <w:lang w:val="fr-CH"/>
        </w:rPr>
        <w:br/>
        <w:t>–</w:t>
      </w:r>
      <w:r w:rsidRPr="000249A7">
        <w:rPr>
          <w:sz w:val="18"/>
          <w:szCs w:val="18"/>
          <w:lang w:val="fr-CH"/>
        </w:rPr>
        <w:tab/>
        <w:t>Union africaine des télécommunications (UAT)</w:t>
      </w:r>
    </w:p>
    <w:p w:rsidR="00E42C03" w:rsidRPr="000249A7" w:rsidRDefault="000249A7" w:rsidP="00F140EE">
      <w:pPr>
        <w:tabs>
          <w:tab w:val="clear" w:pos="794"/>
          <w:tab w:val="clear" w:pos="1191"/>
          <w:tab w:val="left" w:pos="426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0249A7">
        <w:rPr>
          <w:sz w:val="18"/>
          <w:szCs w:val="18"/>
          <w:lang w:val="fr-CH"/>
        </w:rPr>
        <w:tab/>
      </w:r>
      <w:r w:rsidR="00E42C03" w:rsidRPr="000249A7">
        <w:rPr>
          <w:sz w:val="18"/>
          <w:szCs w:val="18"/>
          <w:lang w:val="fr-CH"/>
        </w:rPr>
        <w:t>P.O. Box 35282</w:t>
      </w:r>
    </w:p>
    <w:p w:rsidR="00E42C03" w:rsidRPr="000249A7" w:rsidRDefault="00E42C03" w:rsidP="00F140EE">
      <w:pPr>
        <w:tabs>
          <w:tab w:val="clear" w:pos="794"/>
          <w:tab w:val="clear" w:pos="1191"/>
          <w:tab w:val="left" w:pos="426"/>
        </w:tabs>
        <w:spacing w:before="0" w:line="240" w:lineRule="auto"/>
        <w:contextualSpacing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0249A7">
        <w:rPr>
          <w:sz w:val="18"/>
          <w:szCs w:val="18"/>
          <w:lang w:val="fr-CH"/>
        </w:rPr>
        <w:tab/>
      </w:r>
      <w:r w:rsidRPr="000249A7">
        <w:rPr>
          <w:rFonts w:asciiTheme="minorHAnsi" w:hAnsiTheme="minorHAnsi" w:cstheme="minorHAnsi"/>
          <w:sz w:val="18"/>
          <w:szCs w:val="18"/>
          <w:lang w:val="fr-CH"/>
        </w:rPr>
        <w:t>00200 Nairobi</w:t>
      </w:r>
    </w:p>
    <w:p w:rsidR="00E42C03" w:rsidRPr="000249A7" w:rsidRDefault="00E42C03" w:rsidP="00F140EE">
      <w:pPr>
        <w:tabs>
          <w:tab w:val="clear" w:pos="794"/>
          <w:tab w:val="clear" w:pos="1191"/>
          <w:tab w:val="left" w:pos="426"/>
        </w:tabs>
        <w:spacing w:before="0" w:line="240" w:lineRule="auto"/>
        <w:contextualSpacing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0249A7">
        <w:rPr>
          <w:rFonts w:asciiTheme="minorHAnsi" w:hAnsiTheme="minorHAnsi" w:cstheme="minorHAnsi"/>
          <w:sz w:val="18"/>
          <w:szCs w:val="18"/>
          <w:lang w:val="fr-CH"/>
        </w:rPr>
        <w:tab/>
        <w:t>Kenya</w:t>
      </w:r>
    </w:p>
    <w:p w:rsidR="00E42C03" w:rsidRPr="000249A7" w:rsidRDefault="00E42C03" w:rsidP="00F140EE">
      <w:pPr>
        <w:tabs>
          <w:tab w:val="clear" w:pos="794"/>
          <w:tab w:val="clear" w:pos="1191"/>
          <w:tab w:val="left" w:pos="426"/>
        </w:tabs>
        <w:spacing w:before="0" w:line="240" w:lineRule="auto"/>
        <w:contextualSpacing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0249A7">
        <w:rPr>
          <w:rFonts w:asciiTheme="minorHAnsi" w:hAnsiTheme="minorHAnsi" w:cstheme="minorHAnsi"/>
          <w:sz w:val="18"/>
          <w:szCs w:val="18"/>
          <w:lang w:val="fr-CH"/>
        </w:rPr>
        <w:tab/>
        <w:t>Télécopie: +254 20 2322124</w:t>
      </w:r>
    </w:p>
    <w:p w:rsidR="00E42C03" w:rsidRPr="000249A7" w:rsidRDefault="00E42C03" w:rsidP="00F140EE">
      <w:pPr>
        <w:tabs>
          <w:tab w:val="clear" w:pos="794"/>
          <w:tab w:val="clear" w:pos="1191"/>
          <w:tab w:val="left" w:pos="426"/>
        </w:tabs>
        <w:spacing w:before="0" w:line="240" w:lineRule="auto"/>
        <w:contextualSpacing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0249A7">
        <w:rPr>
          <w:rFonts w:asciiTheme="minorHAnsi" w:hAnsiTheme="minorHAnsi" w:cstheme="minorHAnsi"/>
          <w:sz w:val="18"/>
          <w:szCs w:val="18"/>
          <w:lang w:val="fr-CH"/>
        </w:rPr>
        <w:tab/>
        <w:t xml:space="preserve">Courriel: </w:t>
      </w:r>
      <w:hyperlink r:id="rId9" w:history="1">
        <w:r w:rsidRPr="000249A7">
          <w:rPr>
            <w:rStyle w:val="Hyperlink"/>
            <w:rFonts w:asciiTheme="minorHAnsi" w:hAnsiTheme="minorHAnsi" w:cstheme="minorHAnsi"/>
            <w:sz w:val="18"/>
            <w:szCs w:val="18"/>
            <w:lang w:val="fr-CH"/>
          </w:rPr>
          <w:t>sg@atu-uat.org</w:t>
        </w:r>
      </w:hyperlink>
    </w:p>
    <w:sectPr w:rsidR="00E42C03" w:rsidRPr="000249A7" w:rsidSect="00D02C5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851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A7" w:rsidRDefault="00521FA7">
      <w:r>
        <w:separator/>
      </w:r>
    </w:p>
  </w:endnote>
  <w:endnote w:type="continuationSeparator" w:id="0">
    <w:p w:rsidR="00521FA7" w:rsidRDefault="005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744535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A7" w:rsidRDefault="00521FA7">
      <w:r>
        <w:t>____________________</w:t>
      </w:r>
    </w:p>
  </w:footnote>
  <w:footnote w:type="continuationSeparator" w:id="0">
    <w:p w:rsidR="00521FA7" w:rsidRDefault="005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77421E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4" name="Picture 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5" name="Picture 5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22C56"/>
    <w:rsid w:val="00006A31"/>
    <w:rsid w:val="00006C82"/>
    <w:rsid w:val="00010E30"/>
    <w:rsid w:val="00015C76"/>
    <w:rsid w:val="000249A7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839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C0A"/>
    <w:rsid w:val="002302B3"/>
    <w:rsid w:val="00230C66"/>
    <w:rsid w:val="00235A29"/>
    <w:rsid w:val="00241526"/>
    <w:rsid w:val="002443A2"/>
    <w:rsid w:val="002569F7"/>
    <w:rsid w:val="00266E74"/>
    <w:rsid w:val="0027495C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FF5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1FA7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1C28"/>
    <w:rsid w:val="005D3669"/>
    <w:rsid w:val="005E42F8"/>
    <w:rsid w:val="005E5EB3"/>
    <w:rsid w:val="005F3CB6"/>
    <w:rsid w:val="005F657C"/>
    <w:rsid w:val="00602D53"/>
    <w:rsid w:val="006047E5"/>
    <w:rsid w:val="00631080"/>
    <w:rsid w:val="00640456"/>
    <w:rsid w:val="00642050"/>
    <w:rsid w:val="0064371D"/>
    <w:rsid w:val="00650543"/>
    <w:rsid w:val="00650B2A"/>
    <w:rsid w:val="00651777"/>
    <w:rsid w:val="006550F8"/>
    <w:rsid w:val="00672166"/>
    <w:rsid w:val="006829F3"/>
    <w:rsid w:val="006A1C22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4535"/>
    <w:rsid w:val="00750CFA"/>
    <w:rsid w:val="007553DA"/>
    <w:rsid w:val="00773F7E"/>
    <w:rsid w:val="0077421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B65EB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21C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2C5A"/>
    <w:rsid w:val="00D10BA0"/>
    <w:rsid w:val="00D21694"/>
    <w:rsid w:val="00D22C56"/>
    <w:rsid w:val="00D24EB5"/>
    <w:rsid w:val="00D35AB9"/>
    <w:rsid w:val="00D41571"/>
    <w:rsid w:val="00D416A0"/>
    <w:rsid w:val="00D47672"/>
    <w:rsid w:val="00D5123C"/>
    <w:rsid w:val="00D55560"/>
    <w:rsid w:val="00D61677"/>
    <w:rsid w:val="00D61C5A"/>
    <w:rsid w:val="00D62111"/>
    <w:rsid w:val="00D6287C"/>
    <w:rsid w:val="00D6790C"/>
    <w:rsid w:val="00D73277"/>
    <w:rsid w:val="00D76586"/>
    <w:rsid w:val="00D812EF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C03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40EE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9CDEB7"/>
  <w15:docId w15:val="{4A298B5F-BCCC-401F-B7A9-2B1DBBA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74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@atu-uat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DDD7-6AC4-4F98-BFFB-40DF369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</TotalTime>
  <Pages>2</Pages>
  <Words>333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Portocarrero, Monica</cp:lastModifiedBy>
  <cp:revision>10</cp:revision>
  <cp:lastPrinted>2019-08-01T08:40:00Z</cp:lastPrinted>
  <dcterms:created xsi:type="dcterms:W3CDTF">2019-08-08T14:11:00Z</dcterms:created>
  <dcterms:modified xsi:type="dcterms:W3CDTF">2019-08-28T08:00:00Z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