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12"/>
        <w:gridCol w:w="5526"/>
        <w:gridCol w:w="2851"/>
      </w:tblGrid>
      <w:tr w:rsidR="00E53DCE" w:rsidRPr="007B3DB1" w14:paraId="4A1685CC" w14:textId="77777777" w:rsidTr="004228FA">
        <w:trPr>
          <w:jc w:val="center"/>
        </w:trPr>
        <w:tc>
          <w:tcPr>
            <w:tcW w:w="9889" w:type="dxa"/>
            <w:gridSpan w:val="3"/>
            <w:shd w:val="clear" w:color="auto" w:fill="auto"/>
          </w:tcPr>
          <w:p w14:paraId="11315247" w14:textId="77777777" w:rsidR="00E53DCE" w:rsidRDefault="00E53DCE" w:rsidP="0098236A">
            <w:pPr>
              <w:spacing w:before="0" w:line="240" w:lineRule="auto"/>
              <w:jc w:val="left"/>
              <w:rPr>
                <w:rFonts w:cstheme="minorHAnsi"/>
                <w:b/>
                <w:bCs/>
                <w:color w:val="808080"/>
                <w:sz w:val="28"/>
                <w:szCs w:val="28"/>
                <w:lang w:val="en-GB"/>
              </w:rPr>
            </w:pPr>
            <w:bookmarkStart w:id="0" w:name="_GoBack"/>
            <w:bookmarkEnd w:id="0"/>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14:paraId="2C2E1B47" w14:textId="77777777" w:rsidR="00E53DCE" w:rsidRDefault="00E53DCE" w:rsidP="0098236A">
            <w:pPr>
              <w:spacing w:before="0" w:line="240" w:lineRule="auto"/>
              <w:jc w:val="left"/>
              <w:rPr>
                <w:rFonts w:cstheme="minorHAnsi"/>
                <w:b/>
                <w:bCs/>
                <w:color w:val="808080"/>
                <w:sz w:val="28"/>
                <w:szCs w:val="28"/>
                <w:lang w:val="en-GB"/>
              </w:rPr>
            </w:pPr>
          </w:p>
          <w:p w14:paraId="7FD93015" w14:textId="77777777" w:rsidR="00E53DCE" w:rsidRPr="00AF70DA" w:rsidRDefault="00E53DCE" w:rsidP="0098236A">
            <w:pPr>
              <w:spacing w:before="0" w:line="240" w:lineRule="auto"/>
              <w:jc w:val="left"/>
              <w:rPr>
                <w:rFonts w:cs="Times New Roman Bold"/>
                <w:b/>
                <w:bCs/>
                <w:color w:val="808080"/>
                <w:sz w:val="28"/>
                <w:szCs w:val="28"/>
                <w:lang w:val="en-GB"/>
              </w:rPr>
            </w:pPr>
          </w:p>
        </w:tc>
      </w:tr>
      <w:tr w:rsidR="00E53DCE" w:rsidRPr="00773F7E" w14:paraId="49059BE8" w14:textId="77777777" w:rsidTr="00014DB9">
        <w:trPr>
          <w:jc w:val="center"/>
        </w:trPr>
        <w:tc>
          <w:tcPr>
            <w:tcW w:w="7038" w:type="dxa"/>
            <w:gridSpan w:val="2"/>
            <w:shd w:val="clear" w:color="auto" w:fill="auto"/>
          </w:tcPr>
          <w:p w14:paraId="5D17B9CD" w14:textId="20C74C07" w:rsidR="00E53DCE" w:rsidRPr="00773F7E" w:rsidRDefault="00AA781A" w:rsidP="0098236A">
            <w:pPr>
              <w:spacing w:before="0" w:line="240" w:lineRule="auto"/>
              <w:jc w:val="left"/>
              <w:rPr>
                <w:sz w:val="28"/>
                <w:szCs w:val="28"/>
                <w:lang w:val="fr-CH"/>
              </w:rPr>
            </w:pPr>
            <w:r>
              <w:rPr>
                <w:szCs w:val="24"/>
                <w:lang w:val="fr-CH"/>
              </w:rPr>
              <w:t>Lettre circulaire</w:t>
            </w:r>
          </w:p>
          <w:p w14:paraId="723FCD61" w14:textId="486ACE66" w:rsidR="00E53DCE" w:rsidRPr="00773F7E" w:rsidRDefault="00AA781A" w:rsidP="0098236A">
            <w:pPr>
              <w:spacing w:before="0" w:line="240" w:lineRule="auto"/>
              <w:jc w:val="left"/>
              <w:rPr>
                <w:b/>
                <w:bCs/>
                <w:sz w:val="28"/>
                <w:szCs w:val="28"/>
                <w:lang w:val="fr-CH"/>
              </w:rPr>
            </w:pPr>
            <w:r>
              <w:rPr>
                <w:b/>
                <w:bCs/>
                <w:szCs w:val="24"/>
                <w:lang w:val="fr-CH"/>
              </w:rPr>
              <w:t>CR</w:t>
            </w:r>
            <w:r w:rsidR="00014DB9">
              <w:rPr>
                <w:b/>
                <w:bCs/>
                <w:szCs w:val="24"/>
                <w:lang w:val="fr-CH"/>
              </w:rPr>
              <w:t>/453</w:t>
            </w:r>
          </w:p>
        </w:tc>
        <w:tc>
          <w:tcPr>
            <w:tcW w:w="2851" w:type="dxa"/>
            <w:shd w:val="clear" w:color="auto" w:fill="auto"/>
          </w:tcPr>
          <w:p w14:paraId="14B6EF43" w14:textId="73FC4328" w:rsidR="00E53DCE" w:rsidRPr="00773F7E" w:rsidRDefault="00DA7AE8" w:rsidP="0098236A">
            <w:pPr>
              <w:spacing w:before="0" w:line="240" w:lineRule="auto"/>
              <w:jc w:val="right"/>
              <w:rPr>
                <w:sz w:val="28"/>
                <w:szCs w:val="28"/>
                <w:lang w:val="en-GB"/>
              </w:rPr>
            </w:pPr>
            <w:r>
              <w:rPr>
                <w:szCs w:val="24"/>
              </w:rPr>
              <w:t>Le 29</w:t>
            </w:r>
            <w:r w:rsidR="0098236A">
              <w:rPr>
                <w:szCs w:val="24"/>
              </w:rPr>
              <w:t xml:space="preserve"> </w:t>
            </w:r>
            <w:proofErr w:type="spellStart"/>
            <w:r w:rsidR="0098236A">
              <w:rPr>
                <w:szCs w:val="24"/>
              </w:rPr>
              <w:t>novembre</w:t>
            </w:r>
            <w:proofErr w:type="spellEnd"/>
            <w:r w:rsidR="0098236A">
              <w:rPr>
                <w:szCs w:val="24"/>
              </w:rPr>
              <w:t xml:space="preserve"> 2019</w:t>
            </w:r>
          </w:p>
        </w:tc>
      </w:tr>
      <w:tr w:rsidR="00E53DCE" w:rsidRPr="00773F7E" w14:paraId="28C1C5CB" w14:textId="77777777" w:rsidTr="004228FA">
        <w:trPr>
          <w:jc w:val="center"/>
        </w:trPr>
        <w:tc>
          <w:tcPr>
            <w:tcW w:w="9889" w:type="dxa"/>
            <w:gridSpan w:val="3"/>
            <w:shd w:val="clear" w:color="auto" w:fill="auto"/>
          </w:tcPr>
          <w:p w14:paraId="773AE074" w14:textId="77777777" w:rsidR="00E53DCE" w:rsidRPr="00773F7E" w:rsidRDefault="00E53DCE" w:rsidP="0098236A">
            <w:pPr>
              <w:spacing w:before="0" w:line="240" w:lineRule="auto"/>
              <w:jc w:val="left"/>
              <w:rPr>
                <w:rFonts w:cs="Arial"/>
                <w:szCs w:val="24"/>
                <w:lang w:val="en-GB"/>
              </w:rPr>
            </w:pPr>
          </w:p>
        </w:tc>
      </w:tr>
      <w:tr w:rsidR="00E53DCE" w:rsidRPr="00773F7E" w14:paraId="6AC302CE" w14:textId="77777777" w:rsidTr="004228FA">
        <w:trPr>
          <w:jc w:val="center"/>
        </w:trPr>
        <w:tc>
          <w:tcPr>
            <w:tcW w:w="9889" w:type="dxa"/>
            <w:gridSpan w:val="3"/>
            <w:shd w:val="clear" w:color="auto" w:fill="auto"/>
          </w:tcPr>
          <w:p w14:paraId="2CCDB5C5" w14:textId="77777777" w:rsidR="00E53DCE" w:rsidRPr="00773F7E" w:rsidRDefault="00E53DCE" w:rsidP="0098236A">
            <w:pPr>
              <w:spacing w:before="0" w:line="240" w:lineRule="auto"/>
              <w:jc w:val="left"/>
              <w:rPr>
                <w:szCs w:val="24"/>
              </w:rPr>
            </w:pPr>
          </w:p>
        </w:tc>
      </w:tr>
      <w:tr w:rsidR="00E53DCE" w:rsidRPr="00FB799B" w14:paraId="5C465D8A" w14:textId="77777777" w:rsidTr="004228FA">
        <w:trPr>
          <w:jc w:val="center"/>
        </w:trPr>
        <w:tc>
          <w:tcPr>
            <w:tcW w:w="9889" w:type="dxa"/>
            <w:gridSpan w:val="3"/>
            <w:shd w:val="clear" w:color="auto" w:fill="auto"/>
          </w:tcPr>
          <w:p w14:paraId="46E863B8" w14:textId="40BB7FC4" w:rsidR="00E53DCE" w:rsidRPr="00773F7E" w:rsidRDefault="00014DB9" w:rsidP="0098236A">
            <w:pPr>
              <w:spacing w:before="240" w:after="240" w:line="240" w:lineRule="auto"/>
              <w:jc w:val="left"/>
              <w:rPr>
                <w:b/>
                <w:bCs/>
                <w:szCs w:val="24"/>
                <w:lang w:val="fr-CH"/>
              </w:rPr>
            </w:pPr>
            <w:r w:rsidRPr="007A0CD7">
              <w:rPr>
                <w:b/>
                <w:bCs/>
                <w:szCs w:val="24"/>
                <w:lang w:val="fr-FR"/>
              </w:rPr>
              <w:t>Aux administrations des États Membres de l'UIT et aux Membres du Secteur de l'UIT-R</w:t>
            </w:r>
            <w:r w:rsidRPr="00773F7E">
              <w:rPr>
                <w:b/>
                <w:bCs/>
                <w:szCs w:val="24"/>
                <w:lang w:val="fr-CH"/>
              </w:rPr>
              <w:t xml:space="preserve"> </w:t>
            </w:r>
          </w:p>
        </w:tc>
      </w:tr>
      <w:tr w:rsidR="00E53DCE" w:rsidRPr="00FB799B" w14:paraId="38B4193E" w14:textId="77777777" w:rsidTr="004228FA">
        <w:trPr>
          <w:jc w:val="center"/>
        </w:trPr>
        <w:tc>
          <w:tcPr>
            <w:tcW w:w="9889" w:type="dxa"/>
            <w:gridSpan w:val="3"/>
            <w:shd w:val="clear" w:color="auto" w:fill="auto"/>
          </w:tcPr>
          <w:p w14:paraId="127F4CDB" w14:textId="77777777" w:rsidR="00E53DCE" w:rsidRPr="00773F7E" w:rsidRDefault="00E53DCE" w:rsidP="0098236A">
            <w:pPr>
              <w:spacing w:before="0" w:line="240" w:lineRule="auto"/>
              <w:jc w:val="left"/>
              <w:rPr>
                <w:szCs w:val="24"/>
                <w:lang w:val="fr-CH"/>
              </w:rPr>
            </w:pPr>
          </w:p>
        </w:tc>
      </w:tr>
      <w:tr w:rsidR="00E53DCE" w:rsidRPr="00FB799B" w14:paraId="5DC21D4F" w14:textId="77777777" w:rsidTr="004228FA">
        <w:trPr>
          <w:jc w:val="center"/>
        </w:trPr>
        <w:tc>
          <w:tcPr>
            <w:tcW w:w="9889" w:type="dxa"/>
            <w:gridSpan w:val="3"/>
            <w:shd w:val="clear" w:color="auto" w:fill="auto"/>
          </w:tcPr>
          <w:p w14:paraId="70393563" w14:textId="77777777" w:rsidR="00E53DCE" w:rsidRPr="00773F7E" w:rsidRDefault="00E53DCE" w:rsidP="0098236A">
            <w:pPr>
              <w:spacing w:before="0" w:line="240" w:lineRule="auto"/>
              <w:jc w:val="left"/>
              <w:rPr>
                <w:szCs w:val="24"/>
                <w:lang w:val="fr-CH"/>
              </w:rPr>
            </w:pPr>
          </w:p>
        </w:tc>
      </w:tr>
      <w:tr w:rsidR="00E53DCE" w:rsidRPr="00FB799B" w14:paraId="663A61F5" w14:textId="77777777" w:rsidTr="00014DB9">
        <w:trPr>
          <w:jc w:val="center"/>
        </w:trPr>
        <w:tc>
          <w:tcPr>
            <w:tcW w:w="1512" w:type="dxa"/>
            <w:shd w:val="clear" w:color="auto" w:fill="auto"/>
          </w:tcPr>
          <w:p w14:paraId="7AEB53C3" w14:textId="77777777" w:rsidR="00E53DCE" w:rsidRPr="00773F7E" w:rsidRDefault="003471C9" w:rsidP="0098236A">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77" w:type="dxa"/>
            <w:gridSpan w:val="2"/>
            <w:vMerge w:val="restart"/>
            <w:shd w:val="clear" w:color="auto" w:fill="auto"/>
          </w:tcPr>
          <w:p w14:paraId="30F9478B" w14:textId="54F721FC" w:rsidR="00E53DCE" w:rsidRPr="00014DB9" w:rsidRDefault="00014DB9" w:rsidP="0098236A">
            <w:pPr>
              <w:tabs>
                <w:tab w:val="clear" w:pos="1588"/>
                <w:tab w:val="left" w:pos="1560"/>
              </w:tabs>
              <w:spacing w:before="0" w:line="240" w:lineRule="auto"/>
              <w:rPr>
                <w:b/>
                <w:bCs/>
                <w:szCs w:val="24"/>
                <w:lang w:val="fr-CH"/>
              </w:rPr>
            </w:pPr>
            <w:r w:rsidRPr="007A0CD7">
              <w:rPr>
                <w:b/>
                <w:bCs/>
                <w:szCs w:val="24"/>
                <w:lang w:val="fr-FR"/>
              </w:rPr>
              <w:t>Utilisation des symboles de classe de station E1, E2, E3 et E4 pour les capteurs actifs et les capteurs passifs</w:t>
            </w:r>
          </w:p>
        </w:tc>
      </w:tr>
      <w:tr w:rsidR="00E53DCE" w:rsidRPr="00FB799B" w14:paraId="08FD0B05" w14:textId="77777777" w:rsidTr="00014DB9">
        <w:trPr>
          <w:jc w:val="center"/>
        </w:trPr>
        <w:tc>
          <w:tcPr>
            <w:tcW w:w="1512" w:type="dxa"/>
            <w:shd w:val="clear" w:color="auto" w:fill="auto"/>
          </w:tcPr>
          <w:p w14:paraId="68CCD243" w14:textId="77777777" w:rsidR="00E53DCE" w:rsidRPr="00014DB9" w:rsidRDefault="00E53DCE" w:rsidP="0098236A">
            <w:pPr>
              <w:tabs>
                <w:tab w:val="clear" w:pos="1588"/>
                <w:tab w:val="left" w:pos="1560"/>
              </w:tabs>
              <w:spacing w:before="0" w:line="240" w:lineRule="auto"/>
              <w:jc w:val="left"/>
              <w:rPr>
                <w:b/>
                <w:bCs/>
                <w:szCs w:val="24"/>
                <w:lang w:val="fr-CH"/>
              </w:rPr>
            </w:pPr>
          </w:p>
        </w:tc>
        <w:tc>
          <w:tcPr>
            <w:tcW w:w="8377" w:type="dxa"/>
            <w:gridSpan w:val="2"/>
            <w:vMerge/>
            <w:shd w:val="clear" w:color="auto" w:fill="auto"/>
          </w:tcPr>
          <w:p w14:paraId="14AB4183" w14:textId="77777777" w:rsidR="00E53DCE" w:rsidRPr="00014DB9" w:rsidRDefault="00E53DCE" w:rsidP="0098236A">
            <w:pPr>
              <w:tabs>
                <w:tab w:val="clear" w:pos="1588"/>
                <w:tab w:val="left" w:pos="1560"/>
              </w:tabs>
              <w:spacing w:before="0" w:line="240" w:lineRule="auto"/>
              <w:rPr>
                <w:b/>
                <w:bCs/>
                <w:szCs w:val="24"/>
                <w:lang w:val="fr-CH"/>
              </w:rPr>
            </w:pPr>
          </w:p>
        </w:tc>
      </w:tr>
      <w:tr w:rsidR="00E53DCE" w:rsidRPr="00FB799B" w14:paraId="3A82919B" w14:textId="77777777" w:rsidTr="00014DB9">
        <w:trPr>
          <w:jc w:val="center"/>
        </w:trPr>
        <w:tc>
          <w:tcPr>
            <w:tcW w:w="1512" w:type="dxa"/>
            <w:shd w:val="clear" w:color="auto" w:fill="auto"/>
          </w:tcPr>
          <w:p w14:paraId="6E9C7CC8" w14:textId="77777777" w:rsidR="00E53DCE" w:rsidRPr="00014DB9" w:rsidRDefault="00E53DCE" w:rsidP="0098236A">
            <w:pPr>
              <w:tabs>
                <w:tab w:val="clear" w:pos="1588"/>
                <w:tab w:val="left" w:pos="1560"/>
              </w:tabs>
              <w:spacing w:before="0" w:line="240" w:lineRule="auto"/>
              <w:jc w:val="left"/>
              <w:rPr>
                <w:b/>
                <w:bCs/>
                <w:szCs w:val="24"/>
                <w:lang w:val="fr-CH"/>
              </w:rPr>
            </w:pPr>
          </w:p>
        </w:tc>
        <w:tc>
          <w:tcPr>
            <w:tcW w:w="8377" w:type="dxa"/>
            <w:gridSpan w:val="2"/>
            <w:vMerge/>
            <w:shd w:val="clear" w:color="auto" w:fill="auto"/>
          </w:tcPr>
          <w:p w14:paraId="046BE6D1" w14:textId="77777777" w:rsidR="00E53DCE" w:rsidRPr="00014DB9" w:rsidRDefault="00E53DCE" w:rsidP="0098236A">
            <w:pPr>
              <w:tabs>
                <w:tab w:val="clear" w:pos="1588"/>
                <w:tab w:val="left" w:pos="1560"/>
              </w:tabs>
              <w:spacing w:before="0" w:line="240" w:lineRule="auto"/>
              <w:rPr>
                <w:b/>
                <w:bCs/>
                <w:szCs w:val="24"/>
                <w:lang w:val="fr-CH"/>
              </w:rPr>
            </w:pPr>
          </w:p>
        </w:tc>
      </w:tr>
      <w:tr w:rsidR="00014DB9" w:rsidRPr="00FB799B" w14:paraId="536C665E" w14:textId="77777777" w:rsidTr="00014DB9">
        <w:trPr>
          <w:jc w:val="center"/>
        </w:trPr>
        <w:tc>
          <w:tcPr>
            <w:tcW w:w="1512" w:type="dxa"/>
            <w:shd w:val="clear" w:color="auto" w:fill="auto"/>
          </w:tcPr>
          <w:p w14:paraId="45645492" w14:textId="6D162D62" w:rsidR="00014DB9" w:rsidRPr="00014DB9" w:rsidRDefault="00014DB9" w:rsidP="0098236A">
            <w:pPr>
              <w:tabs>
                <w:tab w:val="clear" w:pos="1588"/>
                <w:tab w:val="left" w:pos="1560"/>
              </w:tabs>
              <w:spacing w:before="0" w:line="240" w:lineRule="auto"/>
              <w:jc w:val="left"/>
              <w:rPr>
                <w:szCs w:val="24"/>
                <w:lang w:val="fr-CH"/>
              </w:rPr>
            </w:pPr>
            <w:r>
              <w:rPr>
                <w:szCs w:val="24"/>
                <w:lang w:val="fr-CH"/>
              </w:rPr>
              <w:t>Références</w:t>
            </w:r>
          </w:p>
        </w:tc>
        <w:tc>
          <w:tcPr>
            <w:tcW w:w="8377" w:type="dxa"/>
            <w:gridSpan w:val="2"/>
            <w:shd w:val="clear" w:color="auto" w:fill="auto"/>
          </w:tcPr>
          <w:p w14:paraId="0477AFD2" w14:textId="77777777" w:rsidR="00A90AD7" w:rsidRDefault="00014DB9" w:rsidP="0098236A">
            <w:pPr>
              <w:tabs>
                <w:tab w:val="clear" w:pos="794"/>
                <w:tab w:val="clear" w:pos="1588"/>
                <w:tab w:val="left" w:pos="507"/>
              </w:tabs>
              <w:spacing w:before="0" w:after="120" w:line="240" w:lineRule="auto"/>
              <w:jc w:val="left"/>
              <w:rPr>
                <w:szCs w:val="24"/>
                <w:lang w:val="fr-FR"/>
              </w:rPr>
            </w:pPr>
            <w:r w:rsidRPr="007A0CD7">
              <w:rPr>
                <w:szCs w:val="24"/>
                <w:lang w:val="fr-FR"/>
              </w:rPr>
              <w:t>a)</w:t>
            </w:r>
            <w:r>
              <w:rPr>
                <w:szCs w:val="24"/>
                <w:lang w:val="fr-FR"/>
              </w:rPr>
              <w:tab/>
            </w:r>
            <w:r w:rsidRPr="007A0CD7">
              <w:rPr>
                <w:szCs w:val="24"/>
                <w:lang w:val="fr-FR"/>
              </w:rPr>
              <w:t>Préface à la BR IFIC (services spatiaux)</w:t>
            </w:r>
          </w:p>
          <w:p w14:paraId="0CDFE5CF" w14:textId="77777777" w:rsidR="00A90AD7" w:rsidRDefault="00014DB9" w:rsidP="0098236A">
            <w:pPr>
              <w:tabs>
                <w:tab w:val="clear" w:pos="794"/>
                <w:tab w:val="clear" w:pos="1588"/>
                <w:tab w:val="left" w:pos="507"/>
              </w:tabs>
              <w:spacing w:before="0" w:after="120" w:line="240" w:lineRule="auto"/>
              <w:jc w:val="left"/>
              <w:rPr>
                <w:bCs/>
                <w:szCs w:val="24"/>
                <w:lang w:val="fr-FR"/>
              </w:rPr>
            </w:pPr>
            <w:r w:rsidRPr="007A0CD7">
              <w:rPr>
                <w:bCs/>
                <w:szCs w:val="24"/>
                <w:lang w:val="fr-FR"/>
              </w:rPr>
              <w:t>b)</w:t>
            </w:r>
            <w:r>
              <w:rPr>
                <w:bCs/>
                <w:szCs w:val="24"/>
                <w:lang w:val="fr-FR"/>
              </w:rPr>
              <w:tab/>
            </w:r>
            <w:r w:rsidRPr="007A0CD7">
              <w:rPr>
                <w:bCs/>
                <w:szCs w:val="24"/>
                <w:lang w:val="fr-FR"/>
              </w:rPr>
              <w:t>Lettre circulaire CR/137 datée du 14 février 2000</w:t>
            </w:r>
          </w:p>
          <w:p w14:paraId="3E18AB32" w14:textId="7A1EDBB7" w:rsidR="00014DB9" w:rsidRPr="00014DB9" w:rsidRDefault="00014DB9" w:rsidP="0098236A">
            <w:pPr>
              <w:tabs>
                <w:tab w:val="clear" w:pos="794"/>
                <w:tab w:val="clear" w:pos="1588"/>
                <w:tab w:val="left" w:pos="507"/>
              </w:tabs>
              <w:spacing w:before="0" w:after="120" w:line="240" w:lineRule="auto"/>
              <w:jc w:val="left"/>
              <w:rPr>
                <w:szCs w:val="24"/>
                <w:lang w:val="fr-CH"/>
              </w:rPr>
            </w:pPr>
            <w:r w:rsidRPr="007A0CD7">
              <w:rPr>
                <w:bCs/>
                <w:szCs w:val="24"/>
                <w:lang w:val="fr-FR"/>
              </w:rPr>
              <w:t>c)</w:t>
            </w:r>
            <w:r>
              <w:rPr>
                <w:bCs/>
                <w:szCs w:val="24"/>
                <w:lang w:val="fr-FR"/>
              </w:rPr>
              <w:tab/>
            </w:r>
            <w:r w:rsidRPr="007A0CD7">
              <w:rPr>
                <w:bCs/>
                <w:szCs w:val="24"/>
                <w:lang w:val="fr-FR"/>
              </w:rPr>
              <w:t>Lettre circulaire CR/256 datée du 15 mai 2006</w:t>
            </w:r>
          </w:p>
        </w:tc>
      </w:tr>
      <w:tr w:rsidR="00E53DCE" w:rsidRPr="00FB799B" w14:paraId="1788E5EF" w14:textId="77777777" w:rsidTr="004228FA">
        <w:trPr>
          <w:jc w:val="center"/>
        </w:trPr>
        <w:tc>
          <w:tcPr>
            <w:tcW w:w="9889" w:type="dxa"/>
            <w:gridSpan w:val="3"/>
            <w:shd w:val="clear" w:color="auto" w:fill="auto"/>
          </w:tcPr>
          <w:p w14:paraId="00A00FC0" w14:textId="77777777" w:rsidR="00E53DCE" w:rsidRPr="00014DB9" w:rsidRDefault="00E53DCE" w:rsidP="0098236A">
            <w:pPr>
              <w:spacing w:before="0" w:line="240" w:lineRule="auto"/>
              <w:jc w:val="left"/>
              <w:rPr>
                <w:b/>
                <w:bCs/>
                <w:szCs w:val="24"/>
                <w:lang w:val="fr-CH"/>
              </w:rPr>
            </w:pPr>
          </w:p>
        </w:tc>
      </w:tr>
    </w:tbl>
    <w:p w14:paraId="1455BB0C" w14:textId="7D4EB4F2" w:rsidR="0098236A" w:rsidRPr="007A0CD7" w:rsidRDefault="0098236A" w:rsidP="00A90AD7">
      <w:pPr>
        <w:spacing w:before="600" w:after="120" w:line="240" w:lineRule="auto"/>
        <w:rPr>
          <w:rFonts w:cstheme="minorHAnsi"/>
          <w:szCs w:val="24"/>
          <w:lang w:val="fr-FR"/>
        </w:rPr>
      </w:pPr>
      <w:r w:rsidRPr="007A0CD7">
        <w:rPr>
          <w:rFonts w:cstheme="minorHAnsi"/>
          <w:szCs w:val="24"/>
          <w:lang w:val="fr-FR"/>
        </w:rPr>
        <w:t xml:space="preserve">Dans la Lettre circulaire </w:t>
      </w:r>
      <w:hyperlink r:id="rId8" w:history="1">
        <w:r w:rsidRPr="007A0CD7">
          <w:rPr>
            <w:rStyle w:val="Hyperlink"/>
            <w:rFonts w:cstheme="minorHAnsi"/>
            <w:szCs w:val="24"/>
            <w:lang w:val="fr-FR"/>
          </w:rPr>
          <w:t>CR/256</w:t>
        </w:r>
      </w:hyperlink>
      <w:r w:rsidRPr="007A0CD7">
        <w:rPr>
          <w:rFonts w:cstheme="minorHAnsi"/>
          <w:szCs w:val="24"/>
          <w:lang w:val="fr-FR"/>
        </w:rPr>
        <w:t xml:space="preserve"> datée du 15 mai 2006, des informations et des indications ont été fournies aux administrations sur l'utilisation des symboles de classe de station s'appliquant aux capteurs actifs et aux capteurs passifs du service d'exploration de la Terre par satellite (SETS) et du service de recherche spatiale. </w:t>
      </w:r>
      <w:r>
        <w:rPr>
          <w:rFonts w:cstheme="minorHAnsi"/>
          <w:szCs w:val="24"/>
          <w:lang w:val="fr-FR"/>
        </w:rPr>
        <w:t>L</w:t>
      </w:r>
      <w:r w:rsidRPr="007A0CD7">
        <w:rPr>
          <w:rFonts w:cstheme="minorHAnsi"/>
          <w:szCs w:val="24"/>
          <w:lang w:val="fr-FR"/>
        </w:rPr>
        <w:t>es administrations ont en outre été invitées à utiliser ces symboles de classe de station pour la soumission au Bureau de fiches de notification portant sur des applications de capteur actif ou de capteur passif.</w:t>
      </w:r>
    </w:p>
    <w:p w14:paraId="37F58816" w14:textId="7136803F" w:rsidR="0098236A" w:rsidRPr="007A0CD7" w:rsidRDefault="0098236A" w:rsidP="0098236A">
      <w:pPr>
        <w:spacing w:line="240" w:lineRule="auto"/>
        <w:rPr>
          <w:rFonts w:cstheme="minorHAnsi"/>
          <w:szCs w:val="24"/>
          <w:lang w:val="fr-FR"/>
        </w:rPr>
      </w:pPr>
      <w:r w:rsidRPr="007A0CD7">
        <w:rPr>
          <w:rFonts w:cstheme="minorHAnsi"/>
          <w:szCs w:val="24"/>
          <w:lang w:val="fr-FR"/>
        </w:rPr>
        <w:t>Ces symboles de classe de station E1, E2, E3 et E4, tels que définis dans la Préface à la BR IFIC (services spatiaux), ont été créés à la demande des scientifiques et des chercheurs dans le cadre de la Commission d'études 7 de l'UIT-R</w:t>
      </w:r>
      <w:r>
        <w:rPr>
          <w:rFonts w:cstheme="minorHAnsi"/>
          <w:szCs w:val="24"/>
          <w:lang w:val="fr-FR"/>
        </w:rPr>
        <w:t xml:space="preserve">, afin de pouvoir distinguer les </w:t>
      </w:r>
      <w:r w:rsidRPr="007A0CD7">
        <w:rPr>
          <w:rFonts w:cstheme="minorHAnsi"/>
          <w:szCs w:val="24"/>
          <w:lang w:val="fr-FR"/>
        </w:rPr>
        <w:t xml:space="preserve">capteurs actifs et les capteurs passifs des autres applications du SETS/service de recherche spatiale dans les renseignements pour la publication anticipée (API) et les renseignements de notification. </w:t>
      </w:r>
    </w:p>
    <w:p w14:paraId="61728DD4" w14:textId="2E8A420E" w:rsidR="0098236A" w:rsidRPr="007A0CD7" w:rsidRDefault="0098236A" w:rsidP="0098236A">
      <w:pPr>
        <w:spacing w:after="120" w:line="240" w:lineRule="auto"/>
        <w:rPr>
          <w:rFonts w:cstheme="minorHAnsi"/>
          <w:szCs w:val="24"/>
          <w:lang w:val="fr-FR"/>
        </w:rPr>
      </w:pPr>
      <w:r w:rsidRPr="007A0CD7">
        <w:rPr>
          <w:rFonts w:cstheme="minorHAnsi"/>
          <w:szCs w:val="24"/>
          <w:lang w:val="fr-FR"/>
        </w:rPr>
        <w:t xml:space="preserve">Par la présente lettre circulaire, le Bureau a l'honneur d'informer les administrations que, lors de l'examen au titre du numéro </w:t>
      </w:r>
      <w:r w:rsidRPr="007A0CD7">
        <w:rPr>
          <w:rFonts w:cstheme="minorHAnsi"/>
          <w:b/>
          <w:bCs/>
          <w:szCs w:val="24"/>
          <w:lang w:val="fr-FR"/>
        </w:rPr>
        <w:t>11.31</w:t>
      </w:r>
      <w:r w:rsidRPr="007A0CD7">
        <w:rPr>
          <w:rFonts w:cstheme="minorHAnsi"/>
          <w:szCs w:val="24"/>
          <w:lang w:val="fr-FR"/>
        </w:rPr>
        <w:t xml:space="preserve"> dans les bandes de fréquences attribuées spécifiquement au SETS/service de recherche spatiale (active/passive), les réseaux à satellite notifiés avec une classe de station liée au SETS ou au service de recherche spatiale mais ne se limit</w:t>
      </w:r>
      <w:r>
        <w:rPr>
          <w:rFonts w:cstheme="minorHAnsi"/>
          <w:szCs w:val="24"/>
          <w:lang w:val="fr-FR"/>
        </w:rPr>
        <w:t>ant</w:t>
      </w:r>
      <w:r w:rsidRPr="007A0CD7">
        <w:rPr>
          <w:rFonts w:cstheme="minorHAnsi"/>
          <w:szCs w:val="24"/>
          <w:lang w:val="fr-FR"/>
        </w:rPr>
        <w:t xml:space="preserve"> pas à l'utilisation de capteurs actifs ou de capteurs passifs (par exemple, EH, EW) ne seront plus considérés comme conformes au Tableau d'attribution des bandes de fréquences. </w:t>
      </w:r>
    </w:p>
    <w:p w14:paraId="63A5CCB3" w14:textId="77777777" w:rsidR="00A90AD7" w:rsidRDefault="00A90AD7" w:rsidP="0098236A">
      <w:pPr>
        <w:spacing w:after="120" w:line="240" w:lineRule="auto"/>
        <w:rPr>
          <w:rFonts w:cstheme="minorHAnsi"/>
          <w:szCs w:val="24"/>
          <w:lang w:val="fr-FR"/>
        </w:rPr>
      </w:pPr>
      <w:r>
        <w:rPr>
          <w:rFonts w:cstheme="minorHAnsi"/>
          <w:szCs w:val="24"/>
          <w:lang w:val="fr-FR"/>
        </w:rPr>
        <w:br w:type="page"/>
      </w:r>
    </w:p>
    <w:p w14:paraId="02B7F60E" w14:textId="38C47413" w:rsidR="0098236A" w:rsidRPr="007A0CD7" w:rsidRDefault="0098236A" w:rsidP="0098236A">
      <w:pPr>
        <w:spacing w:after="120" w:line="240" w:lineRule="auto"/>
        <w:rPr>
          <w:rFonts w:cstheme="minorHAnsi"/>
          <w:szCs w:val="24"/>
          <w:lang w:val="fr-FR"/>
        </w:rPr>
      </w:pPr>
      <w:r w:rsidRPr="007A0CD7">
        <w:rPr>
          <w:rFonts w:cstheme="minorHAnsi"/>
          <w:szCs w:val="24"/>
          <w:lang w:val="fr-FR"/>
        </w:rPr>
        <w:lastRenderedPageBreak/>
        <w:t xml:space="preserve">Dans les bandes de fréquences attribuées au SETS/service de recherche spatiale (active/passive), seules les classes de station appropriées pour les capteurs actifs et les capteurs passifs (E1, E2, E3 et E4) seront considérées comme conformes au Tableau d'attribution des bandes de fréquences et </w:t>
      </w:r>
      <w:r>
        <w:rPr>
          <w:rFonts w:cstheme="minorHAnsi"/>
          <w:szCs w:val="24"/>
          <w:lang w:val="fr-FR"/>
        </w:rPr>
        <w:t xml:space="preserve">donneront lieu à </w:t>
      </w:r>
      <w:r w:rsidRPr="007A0CD7">
        <w:rPr>
          <w:rFonts w:cstheme="minorHAnsi"/>
          <w:szCs w:val="24"/>
          <w:lang w:val="fr-FR"/>
        </w:rPr>
        <w:t xml:space="preserve">une conclusion favorable en vertu du numéro </w:t>
      </w:r>
      <w:r w:rsidRPr="007A0CD7">
        <w:rPr>
          <w:rFonts w:cstheme="minorHAnsi"/>
          <w:b/>
          <w:bCs/>
          <w:szCs w:val="24"/>
          <w:lang w:val="fr-FR"/>
        </w:rPr>
        <w:t>11.31</w:t>
      </w:r>
      <w:r w:rsidRPr="007A0CD7">
        <w:rPr>
          <w:rFonts w:cstheme="minorHAnsi"/>
          <w:szCs w:val="24"/>
          <w:lang w:val="fr-FR"/>
        </w:rPr>
        <w:t xml:space="preserve">. À cet égard, les assignations utilisées pour l'étalonnage des signaux de capteurs actifs dans ces bandes de fréquences et exploitées avec une station terrienne associée devraient être notifiées avec la classe de la station EH ou EW et </w:t>
      </w:r>
      <w:r>
        <w:rPr>
          <w:rFonts w:cstheme="minorHAnsi"/>
          <w:szCs w:val="24"/>
          <w:lang w:val="fr-FR"/>
        </w:rPr>
        <w:t>être assorties</w:t>
      </w:r>
      <w:r w:rsidRPr="007A0CD7">
        <w:rPr>
          <w:rFonts w:cstheme="minorHAnsi"/>
          <w:szCs w:val="24"/>
          <w:lang w:val="fr-FR"/>
        </w:rPr>
        <w:t xml:space="preserve"> d'une demande d'inscription </w:t>
      </w:r>
      <w:r>
        <w:rPr>
          <w:rFonts w:cstheme="minorHAnsi"/>
          <w:szCs w:val="24"/>
          <w:lang w:val="fr-FR"/>
        </w:rPr>
        <w:t>selon</w:t>
      </w:r>
      <w:r w:rsidRPr="007A0CD7">
        <w:rPr>
          <w:rFonts w:cstheme="minorHAnsi"/>
          <w:szCs w:val="24"/>
          <w:lang w:val="fr-FR"/>
        </w:rPr>
        <w:t xml:space="preserve"> les conditions du numéro </w:t>
      </w:r>
      <w:r w:rsidRPr="007A0CD7">
        <w:rPr>
          <w:rFonts w:cstheme="minorHAnsi"/>
          <w:b/>
          <w:bCs/>
          <w:szCs w:val="24"/>
          <w:lang w:val="fr-FR"/>
        </w:rPr>
        <w:t>4.4</w:t>
      </w:r>
      <w:r w:rsidRPr="007A0CD7">
        <w:rPr>
          <w:rFonts w:cstheme="minorHAnsi"/>
          <w:szCs w:val="24"/>
          <w:lang w:val="fr-FR"/>
        </w:rPr>
        <w:t xml:space="preserve">. </w:t>
      </w:r>
    </w:p>
    <w:p w14:paraId="66672A1C" w14:textId="015870D5" w:rsidR="0098236A" w:rsidRPr="007A0CD7" w:rsidRDefault="0098236A" w:rsidP="0098236A">
      <w:pPr>
        <w:spacing w:after="120" w:line="240" w:lineRule="auto"/>
        <w:rPr>
          <w:rFonts w:cstheme="minorHAnsi"/>
          <w:szCs w:val="24"/>
          <w:lang w:val="fr-FR"/>
        </w:rPr>
      </w:pPr>
      <w:r w:rsidRPr="007A0CD7">
        <w:rPr>
          <w:rFonts w:cstheme="minorHAnsi"/>
          <w:szCs w:val="24"/>
          <w:lang w:val="fr-FR"/>
        </w:rPr>
        <w:t>On trouvera en annexe à la présente lettre circulaire les symboles de classe de station possibles qui doivent être associé</w:t>
      </w:r>
      <w:r>
        <w:rPr>
          <w:rFonts w:cstheme="minorHAnsi"/>
          <w:szCs w:val="24"/>
          <w:lang w:val="fr-FR"/>
        </w:rPr>
        <w:t>s</w:t>
      </w:r>
      <w:r w:rsidRPr="007A0CD7">
        <w:rPr>
          <w:rFonts w:cstheme="minorHAnsi"/>
          <w:szCs w:val="24"/>
          <w:lang w:val="fr-FR"/>
        </w:rPr>
        <w:t xml:space="preserve"> aux différentes sous-catégories du SETS/service de recherche spatiale pour qu'une conclusion favorable soit formulée en vertu du numéro </w:t>
      </w:r>
      <w:r w:rsidRPr="007A0CD7">
        <w:rPr>
          <w:rFonts w:cstheme="minorHAnsi"/>
          <w:b/>
          <w:bCs/>
          <w:szCs w:val="24"/>
          <w:lang w:val="fr-FR"/>
        </w:rPr>
        <w:t>11.31</w:t>
      </w:r>
      <w:r w:rsidRPr="007A0CD7">
        <w:rPr>
          <w:rFonts w:cstheme="minorHAnsi"/>
          <w:szCs w:val="24"/>
          <w:lang w:val="fr-FR"/>
        </w:rPr>
        <w:t xml:space="preserve">. Il est toutefois rappelé aux administrations que les symboles de classe de station doivent être choisis en fonction de l'exploitation réelle des assignations de fréquence. </w:t>
      </w:r>
    </w:p>
    <w:p w14:paraId="1EC768C4" w14:textId="498F9D1E" w:rsidR="0098236A" w:rsidRPr="007A0CD7" w:rsidRDefault="0098236A" w:rsidP="0098236A">
      <w:pPr>
        <w:spacing w:after="120" w:line="240" w:lineRule="auto"/>
        <w:rPr>
          <w:rFonts w:cstheme="minorHAnsi"/>
          <w:szCs w:val="24"/>
          <w:lang w:val="fr-FR"/>
        </w:rPr>
      </w:pPr>
      <w:r w:rsidRPr="007A0CD7">
        <w:rPr>
          <w:rFonts w:cstheme="minorHAnsi"/>
          <w:szCs w:val="24"/>
          <w:lang w:val="fr-FR"/>
        </w:rPr>
        <w:t xml:space="preserve">Les administrations sont encouragées à soumettre des modifications des assignations actuellement inscrites dans le Fichier de référence international des fréquences pour les applications des capteurs actifs et des capteurs passifs, pour passer de la classe de station EW ou EH à E1, E2, E3 </w:t>
      </w:r>
      <w:r>
        <w:rPr>
          <w:rFonts w:cstheme="minorHAnsi"/>
          <w:szCs w:val="24"/>
          <w:lang w:val="fr-FR"/>
        </w:rPr>
        <w:t>ou</w:t>
      </w:r>
      <w:r w:rsidRPr="007A0CD7">
        <w:rPr>
          <w:rFonts w:cstheme="minorHAnsi"/>
          <w:szCs w:val="24"/>
          <w:lang w:val="fr-FR"/>
        </w:rPr>
        <w:t xml:space="preserve"> E4, selon le cas. Étant donné que ce type de modifications n'entraînera pas d'augmentation potentielle du brouillage causé par les assignations modifiées ou des besoins de protection de ces assignations, leur date de protection restera inchangée par suite de la modification. </w:t>
      </w:r>
    </w:p>
    <w:p w14:paraId="630AE398" w14:textId="77777777" w:rsidR="0098236A" w:rsidRPr="007A0CD7" w:rsidRDefault="0098236A" w:rsidP="0098236A">
      <w:pPr>
        <w:spacing w:after="120" w:line="240" w:lineRule="auto"/>
        <w:rPr>
          <w:rFonts w:cstheme="minorHAnsi"/>
          <w:szCs w:val="24"/>
          <w:lang w:val="fr-FR"/>
        </w:rPr>
      </w:pPr>
      <w:r w:rsidRPr="007A0CD7">
        <w:rPr>
          <w:rFonts w:cstheme="minorHAnsi"/>
          <w:szCs w:val="24"/>
          <w:lang w:val="fr-FR"/>
        </w:rPr>
        <w:t xml:space="preserve">En outre, comme ce type de modifications n'exige pas d'examen réglementaire ou technique détaillé de la part du Bureau, ces demandes ne seront pas assujetties au recouvrement des coûts. </w:t>
      </w:r>
    </w:p>
    <w:p w14:paraId="33CA277E" w14:textId="77777777" w:rsidR="0098236A" w:rsidRPr="007A0CD7" w:rsidRDefault="0098236A" w:rsidP="0098236A">
      <w:pPr>
        <w:spacing w:line="240" w:lineRule="auto"/>
        <w:rPr>
          <w:rFonts w:cstheme="minorHAnsi"/>
          <w:szCs w:val="24"/>
          <w:lang w:val="fr-FR"/>
        </w:rPr>
      </w:pPr>
      <w:r w:rsidRPr="007A0CD7">
        <w:rPr>
          <w:rFonts w:cstheme="minorHAnsi"/>
          <w:szCs w:val="24"/>
          <w:lang w:val="fr-FR"/>
        </w:rPr>
        <w:t xml:space="preserve">Le Bureau reste à la disposition de votre Administration, via l'adresse </w:t>
      </w:r>
      <w:hyperlink r:id="rId9" w:history="1">
        <w:r w:rsidRPr="007A0CD7">
          <w:rPr>
            <w:rStyle w:val="Hyperlink"/>
            <w:rFonts w:cstheme="minorHAnsi"/>
            <w:szCs w:val="24"/>
            <w:lang w:val="fr-FR"/>
          </w:rPr>
          <w:t>brmail@itu.int</w:t>
        </w:r>
      </w:hyperlink>
      <w:r w:rsidRPr="007A0CD7">
        <w:rPr>
          <w:rFonts w:cstheme="minorHAnsi"/>
          <w:szCs w:val="24"/>
          <w:lang w:val="fr-FR"/>
        </w:rPr>
        <w:t>, pour toute précision dont elle pourrait avoir besoin concernant la présente Lettre circulaire.</w:t>
      </w:r>
    </w:p>
    <w:p w14:paraId="7ED029D3" w14:textId="77777777" w:rsidR="0098236A" w:rsidRPr="007A0CD7" w:rsidRDefault="0098236A" w:rsidP="00A90AD7">
      <w:pPr>
        <w:tabs>
          <w:tab w:val="clear" w:pos="794"/>
          <w:tab w:val="clear" w:pos="1191"/>
          <w:tab w:val="clear" w:pos="1588"/>
        </w:tabs>
        <w:spacing w:before="840" w:line="240" w:lineRule="auto"/>
        <w:jc w:val="lowKashida"/>
        <w:rPr>
          <w:rFonts w:asciiTheme="minorHAnsi" w:eastAsiaTheme="majorEastAsia" w:hAnsiTheme="minorHAnsi" w:cstheme="minorHAnsi"/>
          <w:szCs w:val="24"/>
          <w:lang w:val="fr-FR"/>
        </w:rPr>
      </w:pPr>
      <w:r w:rsidRPr="007A0CD7">
        <w:rPr>
          <w:rFonts w:asciiTheme="minorHAnsi" w:eastAsiaTheme="majorEastAsia" w:hAnsiTheme="minorHAnsi" w:cstheme="minorHAnsi"/>
          <w:szCs w:val="24"/>
          <w:lang w:val="fr-FR"/>
        </w:rPr>
        <w:t>Mario Maniewicz</w:t>
      </w:r>
    </w:p>
    <w:p w14:paraId="12E17FA9" w14:textId="77777777" w:rsidR="0098236A" w:rsidRPr="007A0CD7" w:rsidRDefault="0098236A" w:rsidP="0098236A">
      <w:pPr>
        <w:tabs>
          <w:tab w:val="clear" w:pos="794"/>
          <w:tab w:val="clear" w:pos="1191"/>
          <w:tab w:val="clear" w:pos="1588"/>
        </w:tabs>
        <w:spacing w:before="0" w:after="240" w:line="240" w:lineRule="auto"/>
        <w:jc w:val="lowKashida"/>
        <w:rPr>
          <w:rFonts w:asciiTheme="minorHAnsi" w:eastAsiaTheme="majorEastAsia" w:hAnsiTheme="minorHAnsi" w:cstheme="minorHAnsi"/>
          <w:szCs w:val="24"/>
          <w:lang w:val="fr-FR"/>
        </w:rPr>
      </w:pPr>
      <w:r w:rsidRPr="007A0CD7">
        <w:rPr>
          <w:rFonts w:asciiTheme="minorHAnsi" w:eastAsiaTheme="majorEastAsia" w:hAnsiTheme="minorHAnsi" w:cstheme="minorHAnsi"/>
          <w:szCs w:val="24"/>
          <w:lang w:val="fr-FR"/>
        </w:rPr>
        <w:t>Directeur</w:t>
      </w:r>
    </w:p>
    <w:p w14:paraId="2F3E78D1" w14:textId="77777777" w:rsidR="0098236A" w:rsidRPr="007A0CD7" w:rsidRDefault="0098236A" w:rsidP="00A90AD7">
      <w:pPr>
        <w:keepLines/>
        <w:tabs>
          <w:tab w:val="clear" w:pos="794"/>
          <w:tab w:val="clear" w:pos="1191"/>
          <w:tab w:val="clear" w:pos="1588"/>
          <w:tab w:val="right" w:pos="9639"/>
        </w:tabs>
        <w:spacing w:before="1080" w:line="240" w:lineRule="auto"/>
        <w:jc w:val="lowKashida"/>
        <w:rPr>
          <w:rFonts w:asciiTheme="minorHAnsi" w:eastAsiaTheme="majorEastAsia" w:hAnsiTheme="minorHAnsi" w:cstheme="minorHAnsi"/>
          <w:szCs w:val="24"/>
          <w:lang w:val="fr-FR"/>
        </w:rPr>
      </w:pPr>
      <w:r w:rsidRPr="007A0CD7">
        <w:rPr>
          <w:rFonts w:asciiTheme="minorHAnsi" w:eastAsiaTheme="majorEastAsia" w:hAnsiTheme="minorHAnsi" w:cstheme="minorHAnsi"/>
          <w:szCs w:val="24"/>
          <w:lang w:val="fr-FR"/>
        </w:rPr>
        <w:t>Annexe (1 page)</w:t>
      </w:r>
    </w:p>
    <w:p w14:paraId="78CC6736" w14:textId="77777777" w:rsidR="0098236A" w:rsidRPr="007A0CD7" w:rsidRDefault="0098236A" w:rsidP="00A90AD7">
      <w:pPr>
        <w:pStyle w:val="toc0"/>
        <w:tabs>
          <w:tab w:val="left" w:pos="1985"/>
        </w:tabs>
        <w:spacing w:before="720" w:after="120" w:line="240" w:lineRule="auto"/>
        <w:jc w:val="lowKashida"/>
        <w:rPr>
          <w:rFonts w:asciiTheme="minorHAnsi" w:eastAsiaTheme="majorEastAsia" w:hAnsiTheme="minorHAnsi" w:cstheme="minorHAnsi"/>
          <w:bCs/>
          <w:sz w:val="18"/>
          <w:szCs w:val="18"/>
          <w:u w:val="single"/>
          <w:lang w:val="fr-FR"/>
        </w:rPr>
      </w:pPr>
      <w:r w:rsidRPr="007A0CD7">
        <w:rPr>
          <w:rFonts w:asciiTheme="minorHAnsi" w:eastAsiaTheme="majorEastAsia" w:hAnsiTheme="minorHAnsi" w:cstheme="minorHAnsi"/>
          <w:bCs/>
          <w:sz w:val="18"/>
          <w:szCs w:val="18"/>
          <w:u w:val="single"/>
          <w:lang w:val="fr-FR"/>
        </w:rPr>
        <w:t>Distribution</w:t>
      </w:r>
      <w:r w:rsidRPr="00A90AD7">
        <w:rPr>
          <w:rFonts w:asciiTheme="minorHAnsi" w:eastAsiaTheme="majorEastAsia" w:hAnsiTheme="minorHAnsi" w:cstheme="minorHAnsi"/>
          <w:bCs/>
          <w:sz w:val="18"/>
          <w:szCs w:val="18"/>
          <w:lang w:val="fr-FR"/>
        </w:rPr>
        <w:t>:</w:t>
      </w:r>
    </w:p>
    <w:p w14:paraId="54A06A18" w14:textId="6D675E85" w:rsidR="0098236A" w:rsidRPr="00FC2651" w:rsidRDefault="001960A4" w:rsidP="0098236A">
      <w:pPr>
        <w:pStyle w:val="enumlev1"/>
        <w:spacing w:before="0"/>
        <w:rPr>
          <w:rFonts w:eastAsiaTheme="majorEastAsia"/>
          <w:sz w:val="20"/>
          <w:szCs w:val="20"/>
          <w:lang w:val="fr-CH"/>
        </w:rPr>
      </w:pPr>
      <w:r>
        <w:rPr>
          <w:rFonts w:eastAsiaTheme="majorEastAsia"/>
          <w:sz w:val="20"/>
          <w:szCs w:val="20"/>
          <w:lang w:val="fr-CH"/>
        </w:rPr>
        <w:t>–</w:t>
      </w:r>
      <w:r>
        <w:rPr>
          <w:rFonts w:eastAsiaTheme="majorEastAsia"/>
          <w:sz w:val="20"/>
          <w:szCs w:val="20"/>
          <w:lang w:val="fr-CH"/>
        </w:rPr>
        <w:tab/>
      </w:r>
      <w:r w:rsidR="0098236A" w:rsidRPr="00FC2651">
        <w:rPr>
          <w:rFonts w:eastAsiaTheme="majorEastAsia"/>
          <w:sz w:val="20"/>
          <w:szCs w:val="20"/>
          <w:lang w:val="fr-CH"/>
        </w:rPr>
        <w:t>Administrations des États Membres de l'UIT</w:t>
      </w:r>
    </w:p>
    <w:p w14:paraId="2912EEB7" w14:textId="2D28DB9F" w:rsidR="0098236A" w:rsidRPr="00FC2651" w:rsidRDefault="001960A4" w:rsidP="0098236A">
      <w:pPr>
        <w:pStyle w:val="enumlev1"/>
        <w:spacing w:before="0"/>
        <w:rPr>
          <w:rFonts w:eastAsiaTheme="majorEastAsia"/>
          <w:sz w:val="20"/>
          <w:szCs w:val="20"/>
          <w:lang w:val="fr-CH"/>
        </w:rPr>
      </w:pPr>
      <w:r>
        <w:rPr>
          <w:rFonts w:eastAsiaTheme="majorEastAsia"/>
          <w:sz w:val="20"/>
          <w:szCs w:val="20"/>
          <w:lang w:val="fr-CH"/>
        </w:rPr>
        <w:t>–</w:t>
      </w:r>
      <w:r>
        <w:rPr>
          <w:rFonts w:eastAsiaTheme="majorEastAsia"/>
          <w:sz w:val="20"/>
          <w:szCs w:val="20"/>
          <w:lang w:val="fr-CH"/>
        </w:rPr>
        <w:tab/>
      </w:r>
      <w:r w:rsidR="0098236A" w:rsidRPr="00FC2651">
        <w:rPr>
          <w:rFonts w:eastAsiaTheme="majorEastAsia"/>
          <w:sz w:val="20"/>
          <w:szCs w:val="20"/>
          <w:lang w:val="fr-CH"/>
        </w:rPr>
        <w:t>Membres du Comité du Règlement des radiocommunications</w:t>
      </w:r>
    </w:p>
    <w:p w14:paraId="565CADB5" w14:textId="69A8F6FD" w:rsidR="0098236A" w:rsidRPr="00FC2651" w:rsidRDefault="001960A4" w:rsidP="0098236A">
      <w:pPr>
        <w:pStyle w:val="enumlev1"/>
        <w:spacing w:before="0"/>
        <w:rPr>
          <w:rFonts w:eastAsiaTheme="majorEastAsia"/>
          <w:sz w:val="20"/>
          <w:szCs w:val="20"/>
          <w:lang w:val="fr-CH"/>
        </w:rPr>
      </w:pPr>
      <w:r>
        <w:rPr>
          <w:rFonts w:eastAsiaTheme="majorEastAsia"/>
          <w:sz w:val="20"/>
          <w:szCs w:val="20"/>
          <w:lang w:val="fr-CH"/>
        </w:rPr>
        <w:t>–</w:t>
      </w:r>
      <w:r>
        <w:rPr>
          <w:rFonts w:eastAsiaTheme="majorEastAsia"/>
          <w:sz w:val="20"/>
          <w:szCs w:val="20"/>
          <w:lang w:val="fr-CH"/>
        </w:rPr>
        <w:tab/>
      </w:r>
      <w:r w:rsidR="0098236A" w:rsidRPr="00FC2651">
        <w:rPr>
          <w:rFonts w:eastAsiaTheme="majorEastAsia"/>
          <w:sz w:val="20"/>
          <w:szCs w:val="20"/>
          <w:lang w:val="fr-CH"/>
        </w:rPr>
        <w:t>Membres du Secteur de l'UIT-R</w:t>
      </w:r>
    </w:p>
    <w:p w14:paraId="3C80E0AE" w14:textId="77777777" w:rsidR="0098236A" w:rsidRPr="007A0CD7" w:rsidRDefault="0098236A" w:rsidP="0098236A">
      <w:pPr>
        <w:pStyle w:val="enumlev1"/>
        <w:numPr>
          <w:ilvl w:val="0"/>
          <w:numId w:val="3"/>
        </w:numPr>
        <w:tabs>
          <w:tab w:val="clear" w:pos="794"/>
          <w:tab w:val="clear" w:pos="1191"/>
          <w:tab w:val="clear" w:pos="1588"/>
          <w:tab w:val="clear" w:pos="1985"/>
        </w:tabs>
        <w:overflowPunct/>
        <w:autoSpaceDE/>
        <w:autoSpaceDN/>
        <w:adjustRightInd/>
        <w:spacing w:before="0" w:line="240" w:lineRule="auto"/>
        <w:ind w:left="0" w:hanging="142"/>
        <w:jc w:val="lowKashida"/>
        <w:textAlignment w:val="auto"/>
        <w:rPr>
          <w:rFonts w:asciiTheme="minorHAnsi" w:eastAsiaTheme="majorEastAsia" w:hAnsiTheme="minorHAnsi" w:cstheme="minorHAnsi"/>
          <w:sz w:val="18"/>
          <w:szCs w:val="18"/>
          <w:lang w:val="fr-FR"/>
        </w:rPr>
      </w:pPr>
      <w:r w:rsidRPr="007A0CD7">
        <w:rPr>
          <w:rFonts w:asciiTheme="minorHAnsi" w:eastAsiaTheme="majorEastAsia" w:hAnsiTheme="minorHAnsi" w:cstheme="minorHAnsi"/>
          <w:sz w:val="18"/>
          <w:szCs w:val="18"/>
          <w:lang w:val="fr-FR"/>
        </w:rPr>
        <w:br w:type="page"/>
      </w:r>
    </w:p>
    <w:p w14:paraId="37384A94" w14:textId="77777777" w:rsidR="0098236A" w:rsidRPr="007A0CD7" w:rsidRDefault="0098236A" w:rsidP="009934D4">
      <w:pPr>
        <w:pStyle w:val="AnnexNoTitle"/>
        <w:rPr>
          <w:rFonts w:eastAsiaTheme="majorEastAsia"/>
          <w:lang w:val="fr-FR"/>
        </w:rPr>
      </w:pPr>
      <w:r w:rsidRPr="007A0CD7">
        <w:rPr>
          <w:rFonts w:eastAsiaTheme="majorEastAsia"/>
          <w:lang w:val="fr-FR"/>
        </w:rPr>
        <w:lastRenderedPageBreak/>
        <w:t>ANNEXE</w:t>
      </w:r>
    </w:p>
    <w:p w14:paraId="0591E1AB" w14:textId="77777777" w:rsidR="0098236A" w:rsidRPr="007A0CD7" w:rsidRDefault="0098236A" w:rsidP="00833DB2">
      <w:pPr>
        <w:pStyle w:val="AnnexNoTitle"/>
        <w:spacing w:before="360" w:line="240" w:lineRule="auto"/>
        <w:rPr>
          <w:rFonts w:asciiTheme="minorHAnsi" w:eastAsiaTheme="majorEastAsia" w:hAnsiTheme="minorHAnsi"/>
          <w:lang w:val="fr-FR"/>
        </w:rPr>
      </w:pPr>
      <w:r w:rsidRPr="007A0CD7">
        <w:rPr>
          <w:lang w:val="fr-FR"/>
        </w:rPr>
        <w:t xml:space="preserve">Symboles de classe de station à associer aux diverses sous-catégories </w:t>
      </w:r>
      <w:r w:rsidRPr="007A0CD7">
        <w:rPr>
          <w:lang w:val="fr-FR"/>
        </w:rPr>
        <w:br/>
        <w:t>du SETS/service de recherche spatiale</w:t>
      </w:r>
    </w:p>
    <w:p w14:paraId="61AFAE22" w14:textId="5438DF00" w:rsidR="0098236A" w:rsidRPr="007A0CD7" w:rsidRDefault="0098236A" w:rsidP="00A90AD7">
      <w:pPr>
        <w:pStyle w:val="ListParagraph"/>
        <w:spacing w:after="360"/>
        <w:jc w:val="center"/>
        <w:rPr>
          <w:b/>
          <w:bCs/>
          <w:lang w:val="fr-FR"/>
        </w:rPr>
      </w:pPr>
      <w:r w:rsidRPr="007A0CD7">
        <w:rPr>
          <w:color w:val="000000" w:themeColor="text1"/>
          <w:lang w:val="fr-FR"/>
        </w:rPr>
        <w:t>(Valable</w:t>
      </w:r>
      <w:r w:rsidR="009934D4">
        <w:rPr>
          <w:color w:val="000000" w:themeColor="text1"/>
          <w:lang w:val="fr-FR"/>
        </w:rPr>
        <w:t>s</w:t>
      </w:r>
      <w:r w:rsidRPr="007A0CD7">
        <w:rPr>
          <w:color w:val="000000" w:themeColor="text1"/>
          <w:lang w:val="fr-FR"/>
        </w:rPr>
        <w:t xml:space="preserve"> à compter de la date de la présente lettre circulaire)</w:t>
      </w:r>
    </w:p>
    <w:tbl>
      <w:tblPr>
        <w:tblW w:w="7783" w:type="dxa"/>
        <w:tblInd w:w="841" w:type="dxa"/>
        <w:tblCellMar>
          <w:left w:w="0" w:type="dxa"/>
          <w:right w:w="0" w:type="dxa"/>
        </w:tblCellMar>
        <w:tblLook w:val="04A0" w:firstRow="1" w:lastRow="0" w:firstColumn="1" w:lastColumn="0" w:noHBand="0" w:noVBand="1"/>
      </w:tblPr>
      <w:tblGrid>
        <w:gridCol w:w="4098"/>
        <w:gridCol w:w="3685"/>
      </w:tblGrid>
      <w:tr w:rsidR="0098236A" w:rsidRPr="00A90AD7" w14:paraId="2FD03803" w14:textId="77777777" w:rsidTr="007C087C">
        <w:trPr>
          <w:trHeight w:val="300"/>
        </w:trPr>
        <w:tc>
          <w:tcPr>
            <w:tcW w:w="409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B83621" w14:textId="77777777" w:rsidR="0098236A" w:rsidRPr="00A90AD7" w:rsidRDefault="0098236A" w:rsidP="00A90AD7">
            <w:pPr>
              <w:pStyle w:val="Tablehead"/>
              <w:rPr>
                <w:sz w:val="22"/>
                <w:lang w:val="fr-FR"/>
              </w:rPr>
            </w:pPr>
            <w:r w:rsidRPr="00A90AD7">
              <w:rPr>
                <w:sz w:val="22"/>
                <w:lang w:val="fr-FR"/>
              </w:rPr>
              <w:t xml:space="preserve">Attribution dans l'Article 5 </w:t>
            </w:r>
          </w:p>
        </w:tc>
        <w:tc>
          <w:tcPr>
            <w:tcW w:w="36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01596B" w14:textId="77777777" w:rsidR="0098236A" w:rsidRPr="00A90AD7" w:rsidRDefault="0098236A" w:rsidP="00A90AD7">
            <w:pPr>
              <w:pStyle w:val="Tablehead"/>
              <w:rPr>
                <w:sz w:val="22"/>
                <w:lang w:val="fr-FR"/>
              </w:rPr>
            </w:pPr>
            <w:r w:rsidRPr="00A90AD7">
              <w:rPr>
                <w:sz w:val="22"/>
                <w:lang w:val="fr-FR"/>
              </w:rPr>
              <w:t>Classe de station</w:t>
            </w:r>
          </w:p>
        </w:tc>
      </w:tr>
      <w:tr w:rsidR="0098236A" w:rsidRPr="00FB799B" w14:paraId="70F7C2F7"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019245" w14:textId="77777777" w:rsidR="0098236A" w:rsidRPr="00A90AD7" w:rsidRDefault="0098236A" w:rsidP="00A90AD7">
            <w:pPr>
              <w:pStyle w:val="Tabletext"/>
              <w:jc w:val="center"/>
              <w:rPr>
                <w:sz w:val="22"/>
                <w:lang w:val="fr-FR"/>
              </w:rPr>
            </w:pPr>
            <w:r w:rsidRPr="00A90AD7">
              <w:rPr>
                <w:sz w:val="22"/>
                <w:lang w:val="fr-FR"/>
              </w:rPr>
              <w:t>Exploration de la Terre par satellite sans indication du sens de transmission</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555055" w14:textId="77777777" w:rsidR="0098236A" w:rsidRPr="00D905CE" w:rsidRDefault="0098236A" w:rsidP="00A90AD7">
            <w:pPr>
              <w:pStyle w:val="Tabletext"/>
              <w:jc w:val="center"/>
              <w:rPr>
                <w:sz w:val="22"/>
                <w:lang w:val="es-ES"/>
              </w:rPr>
            </w:pPr>
            <w:r w:rsidRPr="00D905CE">
              <w:rPr>
                <w:sz w:val="22"/>
                <w:lang w:val="es-ES"/>
              </w:rPr>
              <w:t xml:space="preserve">E3, E4, EM, EW </w:t>
            </w:r>
            <w:r w:rsidRPr="00D905CE">
              <w:rPr>
                <w:sz w:val="22"/>
                <w:lang w:val="es-ES"/>
              </w:rPr>
              <w:br/>
              <w:t>(ED, EK, ER)</w:t>
            </w:r>
          </w:p>
        </w:tc>
      </w:tr>
      <w:tr w:rsidR="0098236A" w:rsidRPr="00A90AD7" w14:paraId="6A503995"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FF61C2" w14:textId="6D5EECBC" w:rsidR="0098236A" w:rsidRPr="00A90AD7" w:rsidRDefault="0098236A" w:rsidP="00A90AD7">
            <w:pPr>
              <w:pStyle w:val="Tabletext"/>
              <w:jc w:val="center"/>
              <w:rPr>
                <w:sz w:val="22"/>
                <w:lang w:val="fr-FR"/>
              </w:rPr>
            </w:pPr>
            <w:r w:rsidRPr="00A90AD7">
              <w:rPr>
                <w:sz w:val="22"/>
                <w:lang w:val="fr-FR"/>
              </w:rPr>
              <w:t>Exploration de la Terre par satellite (Terre</w:t>
            </w:r>
            <w:r w:rsidR="00A90AD7">
              <w:rPr>
                <w:sz w:val="22"/>
                <w:lang w:val="fr-FR"/>
              </w:rPr>
              <w:t> </w:t>
            </w:r>
            <w:r w:rsidRPr="00A90AD7">
              <w:rPr>
                <w:sz w:val="22"/>
                <w:lang w:val="fr-FR"/>
              </w:rPr>
              <w:t>vers espace)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563C33" w14:textId="77777777" w:rsidR="0098236A" w:rsidRPr="00A90AD7" w:rsidRDefault="0098236A" w:rsidP="00A90AD7">
            <w:pPr>
              <w:pStyle w:val="Tabletext"/>
              <w:jc w:val="center"/>
              <w:rPr>
                <w:sz w:val="22"/>
                <w:lang w:val="fr-FR"/>
              </w:rPr>
            </w:pPr>
            <w:r w:rsidRPr="00A90AD7">
              <w:rPr>
                <w:sz w:val="22"/>
                <w:lang w:val="fr-FR"/>
              </w:rPr>
              <w:t xml:space="preserve">EM, EW </w:t>
            </w:r>
            <w:r w:rsidRPr="00A90AD7">
              <w:rPr>
                <w:sz w:val="22"/>
                <w:lang w:val="fr-FR"/>
              </w:rPr>
              <w:br/>
              <w:t>(ED, EK)</w:t>
            </w:r>
          </w:p>
        </w:tc>
      </w:tr>
      <w:tr w:rsidR="0098236A" w:rsidRPr="00A90AD7" w14:paraId="748BF203"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BDE6CB" w14:textId="003978F4" w:rsidR="0098236A" w:rsidRPr="00A90AD7" w:rsidRDefault="0098236A" w:rsidP="00A90AD7">
            <w:pPr>
              <w:pStyle w:val="Tabletext"/>
              <w:jc w:val="center"/>
              <w:rPr>
                <w:sz w:val="22"/>
                <w:lang w:val="fr-FR"/>
              </w:rPr>
            </w:pPr>
            <w:r w:rsidRPr="00A90AD7">
              <w:rPr>
                <w:sz w:val="22"/>
                <w:lang w:val="fr-FR"/>
              </w:rPr>
              <w:t>Exploration de la Terre par satellite (espace</w:t>
            </w:r>
            <w:r w:rsidR="00A90AD7">
              <w:rPr>
                <w:sz w:val="22"/>
                <w:lang w:val="fr-FR"/>
              </w:rPr>
              <w:t> </w:t>
            </w:r>
            <w:r w:rsidRPr="00A90AD7">
              <w:rPr>
                <w:sz w:val="22"/>
                <w:lang w:val="fr-FR"/>
              </w:rPr>
              <w:t>vers Terre)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4BAF2B" w14:textId="0B47D9D6" w:rsidR="0098236A" w:rsidRPr="00A90AD7" w:rsidRDefault="0098236A" w:rsidP="00A90AD7">
            <w:pPr>
              <w:pStyle w:val="Tabletext"/>
              <w:jc w:val="center"/>
              <w:rPr>
                <w:sz w:val="22"/>
                <w:lang w:val="fr-FR"/>
              </w:rPr>
            </w:pPr>
            <w:r w:rsidRPr="00A90AD7">
              <w:rPr>
                <w:sz w:val="22"/>
                <w:lang w:val="fr-FR"/>
              </w:rPr>
              <w:t xml:space="preserve">EM, </w:t>
            </w:r>
            <w:proofErr w:type="gramStart"/>
            <w:r w:rsidRPr="00A90AD7">
              <w:rPr>
                <w:sz w:val="22"/>
                <w:lang w:val="fr-FR"/>
              </w:rPr>
              <w:t>EW</w:t>
            </w:r>
            <w:proofErr w:type="gramEnd"/>
            <w:r w:rsidRPr="00A90AD7">
              <w:rPr>
                <w:sz w:val="22"/>
                <w:lang w:val="fr-FR"/>
              </w:rPr>
              <w:br/>
              <w:t>(EK, ER)</w:t>
            </w:r>
          </w:p>
        </w:tc>
      </w:tr>
      <w:tr w:rsidR="0098236A" w:rsidRPr="00A90AD7" w14:paraId="22C768B3"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064C9" w14:textId="77777777" w:rsidR="0098236A" w:rsidRPr="00A90AD7" w:rsidRDefault="0098236A" w:rsidP="00A90AD7">
            <w:pPr>
              <w:pStyle w:val="Tabletext"/>
              <w:jc w:val="center"/>
              <w:rPr>
                <w:sz w:val="22"/>
                <w:lang w:val="fr-FR"/>
              </w:rPr>
            </w:pPr>
            <w:r w:rsidRPr="00A90AD7">
              <w:rPr>
                <w:sz w:val="22"/>
                <w:lang w:val="fr-FR"/>
              </w:rPr>
              <w:t>Exploration de la Terre par satellite (espace-espace)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B74B0F" w14:textId="5E7CA6E1" w:rsidR="0098236A" w:rsidRPr="00A90AD7" w:rsidRDefault="0098236A" w:rsidP="00A90AD7">
            <w:pPr>
              <w:pStyle w:val="Tabletext"/>
              <w:jc w:val="center"/>
              <w:rPr>
                <w:sz w:val="22"/>
                <w:lang w:val="en-GB"/>
              </w:rPr>
            </w:pPr>
            <w:r w:rsidRPr="00A90AD7">
              <w:rPr>
                <w:sz w:val="22"/>
                <w:lang w:val="en-GB"/>
              </w:rPr>
              <w:t>EM, EW</w:t>
            </w:r>
            <w:r w:rsidRPr="00A90AD7">
              <w:rPr>
                <w:sz w:val="22"/>
                <w:lang w:val="en-GB"/>
              </w:rPr>
              <w:br/>
              <w:t>(ED, EK, ER)</w:t>
            </w:r>
          </w:p>
        </w:tc>
      </w:tr>
      <w:tr w:rsidR="0098236A" w:rsidRPr="00A90AD7" w14:paraId="50526173"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08643B" w14:textId="77777777" w:rsidR="0098236A" w:rsidRPr="00A90AD7" w:rsidRDefault="0098236A" w:rsidP="00A90AD7">
            <w:pPr>
              <w:pStyle w:val="Tabletext"/>
              <w:jc w:val="center"/>
              <w:rPr>
                <w:sz w:val="22"/>
                <w:lang w:val="fr-FR"/>
              </w:rPr>
            </w:pPr>
            <w:r w:rsidRPr="00A90AD7">
              <w:rPr>
                <w:sz w:val="22"/>
                <w:lang w:val="fr-FR"/>
              </w:rPr>
              <w:t>Exploration de la Terre par satellite (passive)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FA1707" w14:textId="6F1AF228" w:rsidR="0098236A" w:rsidRPr="00A90AD7" w:rsidRDefault="0098236A" w:rsidP="00A90AD7">
            <w:pPr>
              <w:pStyle w:val="Tabletext"/>
              <w:jc w:val="center"/>
              <w:rPr>
                <w:sz w:val="22"/>
                <w:lang w:val="fr-FR"/>
              </w:rPr>
            </w:pPr>
            <w:r w:rsidRPr="00A90AD7">
              <w:rPr>
                <w:sz w:val="22"/>
                <w:lang w:val="fr-FR"/>
              </w:rPr>
              <w:t>E4</w:t>
            </w:r>
          </w:p>
        </w:tc>
      </w:tr>
      <w:tr w:rsidR="0098236A" w:rsidRPr="00A90AD7" w14:paraId="187F9331"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16700" w14:textId="77777777" w:rsidR="0098236A" w:rsidRPr="00A90AD7" w:rsidRDefault="0098236A" w:rsidP="00A90AD7">
            <w:pPr>
              <w:pStyle w:val="Tabletext"/>
              <w:jc w:val="center"/>
              <w:rPr>
                <w:sz w:val="22"/>
                <w:lang w:val="fr-FR"/>
              </w:rPr>
            </w:pPr>
            <w:r w:rsidRPr="00A90AD7">
              <w:rPr>
                <w:sz w:val="22"/>
                <w:lang w:val="fr-FR"/>
              </w:rPr>
              <w:t>Exploration de la Terre par satellite (active)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8925E5" w14:textId="77C8E25D" w:rsidR="0098236A" w:rsidRPr="00A90AD7" w:rsidRDefault="0098236A" w:rsidP="00A90AD7">
            <w:pPr>
              <w:pStyle w:val="Tabletext"/>
              <w:jc w:val="center"/>
              <w:rPr>
                <w:sz w:val="22"/>
                <w:lang w:val="fr-FR"/>
              </w:rPr>
            </w:pPr>
            <w:r w:rsidRPr="00A90AD7">
              <w:rPr>
                <w:sz w:val="22"/>
                <w:lang w:val="fr-FR"/>
              </w:rPr>
              <w:t>E3</w:t>
            </w:r>
          </w:p>
        </w:tc>
      </w:tr>
      <w:tr w:rsidR="0098236A" w:rsidRPr="00A90AD7" w14:paraId="77FC8FE7"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3E7FD6" w14:textId="70A0F11C" w:rsidR="0098236A" w:rsidRPr="00A90AD7" w:rsidRDefault="0098236A" w:rsidP="00A90AD7">
            <w:pPr>
              <w:pStyle w:val="Tabletext"/>
              <w:jc w:val="center"/>
              <w:rPr>
                <w:sz w:val="22"/>
                <w:lang w:val="fr-FR"/>
              </w:rPr>
            </w:pPr>
            <w:r w:rsidRPr="00A90AD7">
              <w:rPr>
                <w:sz w:val="22"/>
                <w:lang w:val="fr-FR"/>
              </w:rPr>
              <w:t>Météorologie par satellite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BB2810" w14:textId="77777777" w:rsidR="0098236A" w:rsidRPr="00A90AD7" w:rsidRDefault="0098236A" w:rsidP="00A90AD7">
            <w:pPr>
              <w:pStyle w:val="Tabletext"/>
              <w:jc w:val="center"/>
              <w:rPr>
                <w:sz w:val="22"/>
                <w:lang w:val="fr-FR"/>
              </w:rPr>
            </w:pPr>
            <w:r w:rsidRPr="00A90AD7">
              <w:rPr>
                <w:sz w:val="22"/>
                <w:lang w:val="fr-FR"/>
              </w:rPr>
              <w:t xml:space="preserve">EM </w:t>
            </w:r>
            <w:r w:rsidRPr="00A90AD7">
              <w:rPr>
                <w:sz w:val="22"/>
                <w:lang w:val="fr-FR"/>
              </w:rPr>
              <w:br/>
              <w:t>(ED, EK, ER)</w:t>
            </w:r>
          </w:p>
        </w:tc>
      </w:tr>
      <w:tr w:rsidR="0098236A" w:rsidRPr="00FB799B" w14:paraId="76F942BE"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29838F" w14:textId="77777777" w:rsidR="0098236A" w:rsidRPr="00A90AD7" w:rsidRDefault="0098236A" w:rsidP="00A90AD7">
            <w:pPr>
              <w:pStyle w:val="Tabletext"/>
              <w:jc w:val="center"/>
              <w:rPr>
                <w:sz w:val="22"/>
                <w:lang w:val="fr-FR"/>
              </w:rPr>
            </w:pPr>
            <w:r w:rsidRPr="00A90AD7">
              <w:rPr>
                <w:sz w:val="22"/>
                <w:lang w:val="fr-FR"/>
              </w:rPr>
              <w:t>Recherche spatiale sans indication du sens de transmission</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A8DB7D" w14:textId="77777777" w:rsidR="0098236A" w:rsidRPr="00D905CE" w:rsidRDefault="0098236A" w:rsidP="00A90AD7">
            <w:pPr>
              <w:pStyle w:val="Tabletext"/>
              <w:jc w:val="center"/>
              <w:rPr>
                <w:sz w:val="22"/>
                <w:lang w:val="es-ES"/>
              </w:rPr>
            </w:pPr>
            <w:r w:rsidRPr="00D905CE">
              <w:rPr>
                <w:sz w:val="22"/>
                <w:lang w:val="es-ES"/>
              </w:rPr>
              <w:t xml:space="preserve">E1, E2, EH </w:t>
            </w:r>
            <w:r w:rsidRPr="00D905CE">
              <w:rPr>
                <w:sz w:val="22"/>
                <w:lang w:val="es-ES"/>
              </w:rPr>
              <w:br/>
              <w:t>(ED, EK, ER)</w:t>
            </w:r>
          </w:p>
        </w:tc>
      </w:tr>
      <w:tr w:rsidR="0098236A" w:rsidRPr="00A90AD7" w14:paraId="6C73533F"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826849" w14:textId="77777777" w:rsidR="0098236A" w:rsidRPr="00A90AD7" w:rsidRDefault="0098236A" w:rsidP="00A90AD7">
            <w:pPr>
              <w:pStyle w:val="Tabletext"/>
              <w:jc w:val="center"/>
              <w:rPr>
                <w:sz w:val="22"/>
                <w:lang w:val="fr-FR"/>
              </w:rPr>
            </w:pPr>
            <w:r w:rsidRPr="00A90AD7">
              <w:rPr>
                <w:sz w:val="22"/>
                <w:lang w:val="fr-FR"/>
              </w:rPr>
              <w:t>Recherche spatiale (Terre vers espace)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E79CB3" w14:textId="77777777" w:rsidR="0098236A" w:rsidRPr="00A90AD7" w:rsidRDefault="0098236A" w:rsidP="00A90AD7">
            <w:pPr>
              <w:pStyle w:val="Tabletext"/>
              <w:jc w:val="center"/>
              <w:rPr>
                <w:sz w:val="22"/>
                <w:lang w:val="fr-FR"/>
              </w:rPr>
            </w:pPr>
            <w:r w:rsidRPr="00A90AD7">
              <w:rPr>
                <w:sz w:val="22"/>
                <w:lang w:val="fr-FR"/>
              </w:rPr>
              <w:t xml:space="preserve">EH </w:t>
            </w:r>
            <w:r w:rsidRPr="00A90AD7">
              <w:rPr>
                <w:sz w:val="22"/>
                <w:lang w:val="fr-FR"/>
              </w:rPr>
              <w:br/>
              <w:t>(ED, EK)</w:t>
            </w:r>
          </w:p>
        </w:tc>
      </w:tr>
      <w:tr w:rsidR="0098236A" w:rsidRPr="00A90AD7" w14:paraId="417CC899"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4D7806" w14:textId="77777777" w:rsidR="0098236A" w:rsidRPr="00A90AD7" w:rsidRDefault="0098236A" w:rsidP="00A90AD7">
            <w:pPr>
              <w:pStyle w:val="Tabletext"/>
              <w:jc w:val="center"/>
              <w:rPr>
                <w:sz w:val="22"/>
                <w:lang w:val="fr-FR"/>
              </w:rPr>
            </w:pPr>
            <w:r w:rsidRPr="00A90AD7">
              <w:rPr>
                <w:sz w:val="22"/>
                <w:lang w:val="fr-FR"/>
              </w:rPr>
              <w:t>Recherche spatiale (espace vers Terre)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023373" w14:textId="77777777" w:rsidR="0098236A" w:rsidRPr="00A90AD7" w:rsidRDefault="0098236A" w:rsidP="00A90AD7">
            <w:pPr>
              <w:pStyle w:val="Tabletext"/>
              <w:jc w:val="center"/>
              <w:rPr>
                <w:sz w:val="22"/>
                <w:lang w:val="fr-FR"/>
              </w:rPr>
            </w:pPr>
            <w:r w:rsidRPr="00A90AD7">
              <w:rPr>
                <w:sz w:val="22"/>
                <w:lang w:val="fr-FR"/>
              </w:rPr>
              <w:t xml:space="preserve">EH </w:t>
            </w:r>
            <w:r w:rsidRPr="00A90AD7">
              <w:rPr>
                <w:sz w:val="22"/>
                <w:lang w:val="fr-FR"/>
              </w:rPr>
              <w:br/>
              <w:t>(EK, ER)</w:t>
            </w:r>
          </w:p>
        </w:tc>
      </w:tr>
      <w:tr w:rsidR="0098236A" w:rsidRPr="00A90AD7" w14:paraId="62BA75A4"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287F4E" w14:textId="77777777" w:rsidR="0098236A" w:rsidRPr="00A90AD7" w:rsidRDefault="0098236A" w:rsidP="00A90AD7">
            <w:pPr>
              <w:pStyle w:val="Tabletext"/>
              <w:jc w:val="center"/>
              <w:rPr>
                <w:sz w:val="22"/>
                <w:lang w:val="fr-FR"/>
              </w:rPr>
            </w:pPr>
            <w:r w:rsidRPr="00A90AD7">
              <w:rPr>
                <w:sz w:val="22"/>
                <w:lang w:val="fr-FR"/>
              </w:rPr>
              <w:t>Recherche spatiale (espace-espace)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A8B87E" w14:textId="77777777" w:rsidR="0098236A" w:rsidRPr="00A90AD7" w:rsidRDefault="0098236A" w:rsidP="00A90AD7">
            <w:pPr>
              <w:pStyle w:val="Tabletext"/>
              <w:jc w:val="center"/>
              <w:rPr>
                <w:sz w:val="22"/>
                <w:lang w:val="fr-FR"/>
              </w:rPr>
            </w:pPr>
            <w:r w:rsidRPr="00A90AD7">
              <w:rPr>
                <w:sz w:val="22"/>
                <w:lang w:val="fr-FR"/>
              </w:rPr>
              <w:t xml:space="preserve">EH </w:t>
            </w:r>
            <w:r w:rsidRPr="00A90AD7">
              <w:rPr>
                <w:sz w:val="22"/>
                <w:lang w:val="fr-FR"/>
              </w:rPr>
              <w:br/>
              <w:t>(ED, EK, ER)</w:t>
            </w:r>
          </w:p>
        </w:tc>
      </w:tr>
      <w:tr w:rsidR="0098236A" w:rsidRPr="00A90AD7" w14:paraId="664E748F"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3FF370" w14:textId="77777777" w:rsidR="0098236A" w:rsidRPr="00A90AD7" w:rsidRDefault="0098236A" w:rsidP="00A90AD7">
            <w:pPr>
              <w:pStyle w:val="Tabletext"/>
              <w:jc w:val="center"/>
              <w:rPr>
                <w:sz w:val="22"/>
                <w:lang w:val="fr-FR"/>
              </w:rPr>
            </w:pPr>
            <w:r w:rsidRPr="00A90AD7">
              <w:rPr>
                <w:sz w:val="22"/>
                <w:lang w:val="fr-FR"/>
              </w:rPr>
              <w:t>Recherche spatiale (passive)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6AE7E0" w14:textId="694EAB97" w:rsidR="0098236A" w:rsidRPr="00A90AD7" w:rsidRDefault="0098236A" w:rsidP="00A90AD7">
            <w:pPr>
              <w:pStyle w:val="Tabletext"/>
              <w:jc w:val="center"/>
              <w:rPr>
                <w:sz w:val="22"/>
                <w:lang w:val="fr-FR"/>
              </w:rPr>
            </w:pPr>
            <w:r w:rsidRPr="00A90AD7">
              <w:rPr>
                <w:sz w:val="22"/>
                <w:lang w:val="fr-FR"/>
              </w:rPr>
              <w:t>E2</w:t>
            </w:r>
          </w:p>
        </w:tc>
      </w:tr>
      <w:tr w:rsidR="0098236A" w:rsidRPr="00A90AD7" w14:paraId="641FC4F1" w14:textId="77777777" w:rsidTr="007C087C">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A7946" w14:textId="77777777" w:rsidR="0098236A" w:rsidRPr="00A90AD7" w:rsidRDefault="0098236A" w:rsidP="00A90AD7">
            <w:pPr>
              <w:pStyle w:val="Tabletext"/>
              <w:jc w:val="center"/>
              <w:rPr>
                <w:sz w:val="22"/>
                <w:lang w:val="fr-FR"/>
              </w:rPr>
            </w:pPr>
            <w:r w:rsidRPr="00A90AD7">
              <w:rPr>
                <w:sz w:val="22"/>
                <w:lang w:val="fr-FR"/>
              </w:rPr>
              <w:t>Recherche spatiale (active)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B5EC6" w14:textId="0A19B9C4" w:rsidR="0098236A" w:rsidRPr="00A90AD7" w:rsidRDefault="0098236A" w:rsidP="00A90AD7">
            <w:pPr>
              <w:pStyle w:val="Tabletext"/>
              <w:jc w:val="center"/>
              <w:rPr>
                <w:sz w:val="22"/>
                <w:lang w:val="fr-FR"/>
              </w:rPr>
            </w:pPr>
            <w:r w:rsidRPr="00A90AD7">
              <w:rPr>
                <w:sz w:val="22"/>
                <w:lang w:val="fr-FR"/>
              </w:rPr>
              <w:t>E1</w:t>
            </w:r>
          </w:p>
        </w:tc>
      </w:tr>
    </w:tbl>
    <w:p w14:paraId="12184964" w14:textId="77777777" w:rsidR="001960A4" w:rsidRDefault="001960A4" w:rsidP="00411C49">
      <w:pPr>
        <w:pStyle w:val="Reasons"/>
      </w:pPr>
    </w:p>
    <w:p w14:paraId="31D34AC9" w14:textId="29729CC9" w:rsidR="0098236A" w:rsidRPr="001960A4" w:rsidRDefault="001960A4" w:rsidP="001960A4">
      <w:pPr>
        <w:jc w:val="center"/>
      </w:pPr>
      <w:r>
        <w:t>______________</w:t>
      </w:r>
    </w:p>
    <w:sectPr w:rsidR="0098236A" w:rsidRPr="001960A4"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0057F" w14:textId="77777777" w:rsidR="00014DB9" w:rsidRDefault="00014DB9">
      <w:r>
        <w:separator/>
      </w:r>
    </w:p>
  </w:endnote>
  <w:endnote w:type="continuationSeparator" w:id="0">
    <w:p w14:paraId="42DA6CBF" w14:textId="77777777" w:rsidR="00014DB9" w:rsidRDefault="000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48F89" w14:textId="6B21D3F0"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98236A">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F6B32" w14:textId="77777777" w:rsidR="00014DB9" w:rsidRDefault="00014DB9">
      <w:r>
        <w:t>____________________</w:t>
      </w:r>
    </w:p>
  </w:footnote>
  <w:footnote w:type="continuationSeparator" w:id="0">
    <w:p w14:paraId="597A10FB" w14:textId="77777777" w:rsidR="00014DB9" w:rsidRDefault="00014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C5130"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580B9" w14:textId="50184DE8" w:rsidR="003F2F34" w:rsidRPr="003F2F34" w:rsidRDefault="00D905CE" w:rsidP="003F2F34">
    <w:pPr>
      <w:pStyle w:val="Header"/>
      <w:jc w:val="center"/>
      <w:rPr>
        <w:sz w:val="18"/>
        <w:szCs w:val="16"/>
      </w:rPr>
    </w:pPr>
    <w:r>
      <w:rPr>
        <w:sz w:val="18"/>
        <w:szCs w:val="16"/>
      </w:rPr>
      <w:t>-</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873823">
      <w:rPr>
        <w:noProof/>
        <w:sz w:val="18"/>
        <w:szCs w:val="16"/>
      </w:rPr>
      <w:t>3</w:t>
    </w:r>
    <w:r w:rsidR="003F2F34" w:rsidRPr="003F2F34">
      <w:rPr>
        <w:sz w:val="18"/>
        <w:szCs w:val="16"/>
      </w:rPr>
      <w:fldChar w:fldCharType="end"/>
    </w:r>
    <w:r>
      <w:rP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FB799B" w14:paraId="7568407C" w14:textId="77777777" w:rsidTr="00FB799B">
      <w:tc>
        <w:tcPr>
          <w:tcW w:w="4792" w:type="dxa"/>
          <w:tcMar>
            <w:top w:w="0" w:type="dxa"/>
            <w:left w:w="0" w:type="dxa"/>
            <w:bottom w:w="0" w:type="dxa"/>
            <w:right w:w="108" w:type="dxa"/>
          </w:tcMar>
          <w:hideMark/>
        </w:tcPr>
        <w:p w14:paraId="41B9DC8D" w14:textId="0A4B7CBB" w:rsidR="00FB799B" w:rsidRDefault="00FB799B" w:rsidP="00FB799B">
          <w:pPr>
            <w:pStyle w:val="Header"/>
            <w:spacing w:before="120" w:line="360" w:lineRule="auto"/>
          </w:pPr>
          <w:r>
            <w:rPr>
              <w:noProof/>
              <w:color w:val="3399FF"/>
              <w:lang w:val="en-GB" w:eastAsia="zh-CN"/>
            </w:rPr>
            <w:drawing>
              <wp:inline distT="0" distB="0" distL="0" distR="0" wp14:anchorId="21769835" wp14:editId="2A5B43F9">
                <wp:extent cx="838200" cy="838200"/>
                <wp:effectExtent l="0" t="0" r="0" b="0"/>
                <wp:docPr id="2" name="Picture 2"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U official logo_blu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hideMark/>
        </w:tcPr>
        <w:p w14:paraId="124ED5AE" w14:textId="5512C52D" w:rsidR="00FB799B" w:rsidRDefault="00FB799B" w:rsidP="00FB799B">
          <w:pPr>
            <w:pStyle w:val="Header"/>
            <w:spacing w:before="240" w:line="360" w:lineRule="auto"/>
            <w:jc w:val="right"/>
          </w:pPr>
          <w:r>
            <w:rPr>
              <w:noProof/>
              <w:lang w:val="en-GB" w:eastAsia="zh-CN"/>
            </w:rPr>
            <w:drawing>
              <wp:inline distT="0" distB="0" distL="0" distR="0" wp14:anchorId="5DB9F35B" wp14:editId="3091666A">
                <wp:extent cx="1924050" cy="657225"/>
                <wp:effectExtent l="0" t="0" r="0" b="9525"/>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657225"/>
                        </a:xfrm>
                        <a:prstGeom prst="rect">
                          <a:avLst/>
                        </a:prstGeom>
                        <a:noFill/>
                        <a:ln>
                          <a:noFill/>
                        </a:ln>
                      </pic:spPr>
                    </pic:pic>
                  </a:graphicData>
                </a:graphic>
              </wp:inline>
            </w:drawing>
          </w:r>
        </w:p>
      </w:tc>
    </w:tr>
  </w:tbl>
  <w:p w14:paraId="663AF0B5" w14:textId="77777777" w:rsidR="00E915AF" w:rsidRPr="004F47EA" w:rsidRDefault="00E915AF" w:rsidP="004F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14DB9"/>
    <w:rsid w:val="00006A31"/>
    <w:rsid w:val="00006C82"/>
    <w:rsid w:val="00010E30"/>
    <w:rsid w:val="00014DB9"/>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0A4"/>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33DB2"/>
    <w:rsid w:val="00854131"/>
    <w:rsid w:val="0085652D"/>
    <w:rsid w:val="0086723A"/>
    <w:rsid w:val="00873823"/>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236A"/>
    <w:rsid w:val="009842C3"/>
    <w:rsid w:val="009934D4"/>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0AD7"/>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905CE"/>
    <w:rsid w:val="00DA4037"/>
    <w:rsid w:val="00DA7AE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602"/>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99B"/>
    <w:rsid w:val="00FB7A2C"/>
    <w:rsid w:val="00FC2651"/>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8067BFC"/>
  <w15:docId w15:val="{0D51446D-FBFC-4483-BCEF-874AD4F2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Reasons">
    <w:name w:val="Reasons"/>
    <w:basedOn w:val="Normal"/>
    <w:qFormat/>
    <w:rsid w:val="001960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003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256/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527E-9DBF-4880-96A7-592F24BB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3</Pages>
  <Words>811</Words>
  <Characters>4608</Characters>
  <Application>Microsoft Office Word</Application>
  <DocSecurity>4</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BR</cp:lastModifiedBy>
  <cp:revision>2</cp:revision>
  <cp:lastPrinted>2019-11-28T12:30:00Z</cp:lastPrinted>
  <dcterms:created xsi:type="dcterms:W3CDTF">2019-11-29T13:01:00Z</dcterms:created>
  <dcterms:modified xsi:type="dcterms:W3CDTF">2019-11-29T13:01:00Z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