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6119E4A" w14:textId="77777777" w:rsidTr="00306452">
        <w:trPr>
          <w:jc w:val="center"/>
        </w:trPr>
        <w:tc>
          <w:tcPr>
            <w:tcW w:w="9889" w:type="dxa"/>
            <w:gridSpan w:val="3"/>
            <w:shd w:val="clear" w:color="auto" w:fill="auto"/>
          </w:tcPr>
          <w:p w14:paraId="5D0898CE" w14:textId="77777777" w:rsidR="00E53DCE" w:rsidRDefault="00A96D3A" w:rsidP="006160CB">
            <w:pPr>
              <w:spacing w:before="0"/>
              <w:jc w:val="left"/>
              <w:rPr>
                <w:rFonts w:cstheme="minorHAnsi"/>
                <w:b/>
                <w:bCs/>
                <w:color w:val="808080"/>
                <w:sz w:val="28"/>
                <w:szCs w:val="28"/>
                <w:lang w:val="en-GB"/>
              </w:rPr>
            </w:pPr>
            <w:bookmarkStart w:id="0" w:name="_GoBack"/>
            <w:bookmarkEnd w:id="0"/>
            <w:r w:rsidRPr="00415CFA">
              <w:rPr>
                <w:rFonts w:cstheme="minorHAnsi"/>
                <w:b/>
                <w:bCs/>
                <w:color w:val="808080"/>
                <w:sz w:val="28"/>
                <w:szCs w:val="28"/>
                <w:lang w:val="es-ES_tradnl"/>
              </w:rPr>
              <w:t>Oficina de Radiocomunicaciones (BR)</w:t>
            </w:r>
          </w:p>
          <w:p w14:paraId="2DDAF1A7" w14:textId="77777777" w:rsidR="00E53DCE" w:rsidRDefault="00E53DCE" w:rsidP="006160CB">
            <w:pPr>
              <w:spacing w:before="0"/>
              <w:jc w:val="left"/>
              <w:rPr>
                <w:rFonts w:cstheme="minorHAnsi"/>
                <w:b/>
                <w:bCs/>
                <w:color w:val="808080"/>
                <w:sz w:val="28"/>
                <w:szCs w:val="28"/>
                <w:lang w:val="en-GB"/>
              </w:rPr>
            </w:pPr>
          </w:p>
          <w:p w14:paraId="43754CD7"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2FAFDB26" w14:textId="77777777" w:rsidTr="00306452">
        <w:trPr>
          <w:jc w:val="center"/>
        </w:trPr>
        <w:tc>
          <w:tcPr>
            <w:tcW w:w="7054" w:type="dxa"/>
            <w:gridSpan w:val="2"/>
            <w:shd w:val="clear" w:color="auto" w:fill="auto"/>
          </w:tcPr>
          <w:p w14:paraId="6CF2299D" w14:textId="0576E3BF" w:rsidR="00E53DCE" w:rsidRPr="001B3D4D" w:rsidRDefault="001B3D4D" w:rsidP="006160CB">
            <w:pPr>
              <w:spacing w:before="0"/>
              <w:jc w:val="left"/>
              <w:rPr>
                <w:szCs w:val="24"/>
                <w:lang w:val="es-ES"/>
              </w:rPr>
            </w:pPr>
            <w:r w:rsidRPr="0075124D">
              <w:rPr>
                <w:lang w:val="es-ES_tradnl"/>
              </w:rPr>
              <w:t>Carta Circular</w:t>
            </w:r>
          </w:p>
          <w:p w14:paraId="213356BC" w14:textId="22434012" w:rsidR="00E53DCE" w:rsidRPr="001B3D4D" w:rsidRDefault="001B3D4D" w:rsidP="006160CB">
            <w:pPr>
              <w:spacing w:before="0"/>
              <w:jc w:val="left"/>
              <w:rPr>
                <w:b/>
                <w:bCs/>
                <w:szCs w:val="24"/>
                <w:lang w:val="es-ES"/>
              </w:rPr>
            </w:pPr>
            <w:r w:rsidRPr="001B3D4D">
              <w:rPr>
                <w:b/>
                <w:bCs/>
                <w:szCs w:val="24"/>
                <w:lang w:val="es-ES"/>
              </w:rPr>
              <w:t>CR/</w:t>
            </w:r>
            <w:r w:rsidR="001927DC">
              <w:rPr>
                <w:b/>
                <w:bCs/>
                <w:szCs w:val="24"/>
                <w:lang w:val="es-ES"/>
              </w:rPr>
              <w:t>453</w:t>
            </w:r>
          </w:p>
        </w:tc>
        <w:tc>
          <w:tcPr>
            <w:tcW w:w="2835" w:type="dxa"/>
            <w:shd w:val="clear" w:color="auto" w:fill="auto"/>
          </w:tcPr>
          <w:p w14:paraId="499336F3" w14:textId="3A268231" w:rsidR="00E53DCE" w:rsidRPr="0033029C" w:rsidRDefault="001927DC" w:rsidP="00FC2C2B">
            <w:pPr>
              <w:spacing w:before="0"/>
              <w:jc w:val="right"/>
              <w:rPr>
                <w:szCs w:val="24"/>
                <w:lang w:val="en-GB"/>
              </w:rPr>
            </w:pPr>
            <w:r w:rsidRPr="001927DC">
              <w:rPr>
                <w:bCs/>
                <w:szCs w:val="24"/>
                <w:lang w:val="en-GB"/>
              </w:rPr>
              <w:t>2</w:t>
            </w:r>
            <w:r w:rsidR="00FC2C2B">
              <w:rPr>
                <w:bCs/>
                <w:szCs w:val="24"/>
                <w:lang w:val="en-GB"/>
              </w:rPr>
              <w:t>9</w:t>
            </w:r>
            <w:r w:rsidRPr="001927DC">
              <w:rPr>
                <w:bCs/>
                <w:szCs w:val="24"/>
                <w:lang w:val="en-GB"/>
              </w:rPr>
              <w:t xml:space="preserve"> de </w:t>
            </w:r>
            <w:proofErr w:type="spellStart"/>
            <w:r w:rsidRPr="001927DC">
              <w:rPr>
                <w:bCs/>
                <w:szCs w:val="24"/>
                <w:lang w:val="en-GB"/>
              </w:rPr>
              <w:t>noviembre</w:t>
            </w:r>
            <w:proofErr w:type="spellEnd"/>
            <w:r w:rsidRPr="001927DC">
              <w:rPr>
                <w:bCs/>
                <w:szCs w:val="24"/>
                <w:lang w:val="en-GB"/>
              </w:rPr>
              <w:t xml:space="preserve"> de 2019</w:t>
            </w:r>
          </w:p>
        </w:tc>
      </w:tr>
      <w:tr w:rsidR="00E53DCE" w:rsidRPr="0033029C" w14:paraId="5BAAC498" w14:textId="77777777" w:rsidTr="00306452">
        <w:trPr>
          <w:jc w:val="center"/>
        </w:trPr>
        <w:tc>
          <w:tcPr>
            <w:tcW w:w="9889" w:type="dxa"/>
            <w:gridSpan w:val="3"/>
            <w:shd w:val="clear" w:color="auto" w:fill="auto"/>
          </w:tcPr>
          <w:p w14:paraId="0877169A" w14:textId="77777777" w:rsidR="00E53DCE" w:rsidRPr="0033029C" w:rsidRDefault="00E53DCE" w:rsidP="006160CB">
            <w:pPr>
              <w:spacing w:before="0"/>
              <w:jc w:val="left"/>
              <w:rPr>
                <w:rFonts w:cs="Arial"/>
                <w:szCs w:val="24"/>
                <w:lang w:val="en-GB"/>
              </w:rPr>
            </w:pPr>
          </w:p>
        </w:tc>
      </w:tr>
      <w:tr w:rsidR="00E53DCE" w:rsidRPr="0033029C" w14:paraId="0D37BDE0" w14:textId="77777777" w:rsidTr="00306452">
        <w:trPr>
          <w:jc w:val="center"/>
        </w:trPr>
        <w:tc>
          <w:tcPr>
            <w:tcW w:w="9889" w:type="dxa"/>
            <w:gridSpan w:val="3"/>
            <w:shd w:val="clear" w:color="auto" w:fill="auto"/>
          </w:tcPr>
          <w:p w14:paraId="4144F354" w14:textId="77777777" w:rsidR="00E53DCE" w:rsidRPr="0033029C" w:rsidRDefault="00E53DCE" w:rsidP="006160CB">
            <w:pPr>
              <w:spacing w:before="0"/>
              <w:jc w:val="left"/>
              <w:rPr>
                <w:szCs w:val="24"/>
              </w:rPr>
            </w:pPr>
          </w:p>
        </w:tc>
      </w:tr>
      <w:tr w:rsidR="00E53DCE" w:rsidRPr="00F95694" w14:paraId="22732A05" w14:textId="77777777" w:rsidTr="00306452">
        <w:trPr>
          <w:jc w:val="center"/>
        </w:trPr>
        <w:tc>
          <w:tcPr>
            <w:tcW w:w="9889" w:type="dxa"/>
            <w:gridSpan w:val="3"/>
            <w:shd w:val="clear" w:color="auto" w:fill="auto"/>
          </w:tcPr>
          <w:p w14:paraId="2E7C047B" w14:textId="0C578082" w:rsidR="00E53DCE" w:rsidRPr="0033029C" w:rsidRDefault="001927DC" w:rsidP="006160CB">
            <w:pPr>
              <w:spacing w:before="0"/>
              <w:jc w:val="left"/>
              <w:rPr>
                <w:b/>
                <w:bCs/>
                <w:szCs w:val="24"/>
                <w:lang w:val="es-ES"/>
              </w:rPr>
            </w:pPr>
            <w:r w:rsidRPr="001927DC">
              <w:rPr>
                <w:b/>
                <w:bCs/>
                <w:szCs w:val="24"/>
                <w:lang w:val="es-ES"/>
              </w:rPr>
              <w:t>A las Administraciones de los Estados Miembros de la UIT y los Miembros del Sector UIT-R</w:t>
            </w:r>
          </w:p>
          <w:p w14:paraId="66C4AECF" w14:textId="77777777" w:rsidR="00E53DCE" w:rsidRPr="0033029C" w:rsidRDefault="00E53DCE" w:rsidP="006160CB">
            <w:pPr>
              <w:spacing w:before="0"/>
              <w:jc w:val="left"/>
              <w:rPr>
                <w:b/>
                <w:bCs/>
                <w:szCs w:val="24"/>
                <w:lang w:val="es-ES"/>
              </w:rPr>
            </w:pPr>
          </w:p>
        </w:tc>
      </w:tr>
      <w:tr w:rsidR="00E53DCE" w:rsidRPr="00F95694" w14:paraId="5A32451C" w14:textId="77777777" w:rsidTr="00306452">
        <w:trPr>
          <w:jc w:val="center"/>
        </w:trPr>
        <w:tc>
          <w:tcPr>
            <w:tcW w:w="9889" w:type="dxa"/>
            <w:gridSpan w:val="3"/>
            <w:shd w:val="clear" w:color="auto" w:fill="auto"/>
          </w:tcPr>
          <w:p w14:paraId="371FCE18" w14:textId="77777777" w:rsidR="00E53DCE" w:rsidRPr="0033029C" w:rsidRDefault="00E53DCE" w:rsidP="006160CB">
            <w:pPr>
              <w:spacing w:before="0"/>
              <w:jc w:val="left"/>
              <w:rPr>
                <w:szCs w:val="24"/>
                <w:lang w:val="es-ES"/>
              </w:rPr>
            </w:pPr>
          </w:p>
        </w:tc>
      </w:tr>
      <w:tr w:rsidR="00E53DCE" w:rsidRPr="00F95694" w14:paraId="63EB112E" w14:textId="77777777" w:rsidTr="00306452">
        <w:trPr>
          <w:jc w:val="center"/>
        </w:trPr>
        <w:tc>
          <w:tcPr>
            <w:tcW w:w="9889" w:type="dxa"/>
            <w:gridSpan w:val="3"/>
            <w:shd w:val="clear" w:color="auto" w:fill="auto"/>
          </w:tcPr>
          <w:p w14:paraId="55922D92" w14:textId="77777777" w:rsidR="00E53DCE" w:rsidRPr="0033029C" w:rsidRDefault="00E53DCE" w:rsidP="006160CB">
            <w:pPr>
              <w:spacing w:before="0"/>
              <w:jc w:val="left"/>
              <w:rPr>
                <w:szCs w:val="24"/>
                <w:lang w:val="es-ES"/>
              </w:rPr>
            </w:pPr>
          </w:p>
        </w:tc>
      </w:tr>
      <w:tr w:rsidR="00E53DCE" w:rsidRPr="00F95694" w14:paraId="69041FB1" w14:textId="77777777" w:rsidTr="00306452">
        <w:trPr>
          <w:jc w:val="center"/>
        </w:trPr>
        <w:tc>
          <w:tcPr>
            <w:tcW w:w="1526" w:type="dxa"/>
            <w:shd w:val="clear" w:color="auto" w:fill="auto"/>
          </w:tcPr>
          <w:p w14:paraId="4BFEF511" w14:textId="77777777" w:rsidR="00E53DCE" w:rsidRPr="0033029C" w:rsidRDefault="00311970" w:rsidP="006160CB">
            <w:pPr>
              <w:tabs>
                <w:tab w:val="clear" w:pos="1588"/>
                <w:tab w:val="left" w:pos="1560"/>
              </w:tabs>
              <w:spacing w:before="0"/>
              <w:jc w:val="left"/>
              <w:rPr>
                <w:szCs w:val="24"/>
              </w:rPr>
            </w:pPr>
            <w:r>
              <w:rPr>
                <w:szCs w:val="24"/>
              </w:rPr>
              <w:t>Asunto</w:t>
            </w:r>
            <w:r w:rsidRPr="0033029C">
              <w:rPr>
                <w:szCs w:val="24"/>
              </w:rPr>
              <w:t>:</w:t>
            </w:r>
          </w:p>
        </w:tc>
        <w:tc>
          <w:tcPr>
            <w:tcW w:w="8363" w:type="dxa"/>
            <w:gridSpan w:val="2"/>
            <w:vMerge w:val="restart"/>
            <w:shd w:val="clear" w:color="auto" w:fill="auto"/>
          </w:tcPr>
          <w:p w14:paraId="0F0C6179" w14:textId="0E6F82DA" w:rsidR="00E53DCE" w:rsidRPr="001927DC" w:rsidRDefault="001927DC" w:rsidP="006160CB">
            <w:pPr>
              <w:tabs>
                <w:tab w:val="clear" w:pos="1588"/>
                <w:tab w:val="left" w:pos="1560"/>
              </w:tabs>
              <w:spacing w:before="0"/>
              <w:rPr>
                <w:b/>
                <w:bCs/>
                <w:szCs w:val="24"/>
                <w:lang w:val="es-ES"/>
              </w:rPr>
            </w:pPr>
            <w:r w:rsidRPr="001927DC">
              <w:rPr>
                <w:b/>
                <w:bCs/>
                <w:szCs w:val="24"/>
                <w:lang w:val="es-ES"/>
              </w:rPr>
              <w:t>Utilización de los símbolos de clase de estación para sensores activos y pasivos E1, E2, E3 y E4</w:t>
            </w:r>
          </w:p>
        </w:tc>
      </w:tr>
      <w:tr w:rsidR="00E53DCE" w:rsidRPr="00F95694" w14:paraId="3EE8C3A8" w14:textId="77777777" w:rsidTr="00306452">
        <w:trPr>
          <w:jc w:val="center"/>
        </w:trPr>
        <w:tc>
          <w:tcPr>
            <w:tcW w:w="1526" w:type="dxa"/>
            <w:shd w:val="clear" w:color="auto" w:fill="auto"/>
          </w:tcPr>
          <w:p w14:paraId="5E40C71B" w14:textId="77777777" w:rsidR="00E53DCE" w:rsidRPr="001927DC"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76232FAC" w14:textId="77777777" w:rsidR="00E53DCE" w:rsidRPr="001927DC" w:rsidRDefault="00E53DCE" w:rsidP="006160CB">
            <w:pPr>
              <w:tabs>
                <w:tab w:val="clear" w:pos="1588"/>
                <w:tab w:val="left" w:pos="1560"/>
              </w:tabs>
              <w:spacing w:before="0"/>
              <w:rPr>
                <w:b/>
                <w:bCs/>
                <w:szCs w:val="24"/>
                <w:lang w:val="es-ES"/>
              </w:rPr>
            </w:pPr>
          </w:p>
        </w:tc>
      </w:tr>
      <w:tr w:rsidR="00E53DCE" w:rsidRPr="00F95694" w14:paraId="4B7D4A51" w14:textId="77777777" w:rsidTr="00306452">
        <w:trPr>
          <w:jc w:val="center"/>
        </w:trPr>
        <w:tc>
          <w:tcPr>
            <w:tcW w:w="1526" w:type="dxa"/>
            <w:shd w:val="clear" w:color="auto" w:fill="auto"/>
          </w:tcPr>
          <w:p w14:paraId="02A6ECB6" w14:textId="77777777" w:rsidR="00E53DCE" w:rsidRPr="001927DC"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8D3AC13" w14:textId="77777777" w:rsidR="00E53DCE" w:rsidRPr="001927DC" w:rsidRDefault="00E53DCE" w:rsidP="006160CB">
            <w:pPr>
              <w:tabs>
                <w:tab w:val="clear" w:pos="1588"/>
                <w:tab w:val="left" w:pos="1560"/>
              </w:tabs>
              <w:spacing w:before="0"/>
              <w:rPr>
                <w:b/>
                <w:bCs/>
                <w:szCs w:val="24"/>
                <w:lang w:val="es-ES"/>
              </w:rPr>
            </w:pPr>
          </w:p>
        </w:tc>
      </w:tr>
      <w:tr w:rsidR="001927DC" w:rsidRPr="00F95694" w14:paraId="7845390D" w14:textId="77777777" w:rsidTr="00306452">
        <w:trPr>
          <w:jc w:val="center"/>
        </w:trPr>
        <w:tc>
          <w:tcPr>
            <w:tcW w:w="1526" w:type="dxa"/>
            <w:shd w:val="clear" w:color="auto" w:fill="auto"/>
          </w:tcPr>
          <w:p w14:paraId="21B5F8BF" w14:textId="62305103" w:rsidR="001927DC" w:rsidRPr="001927DC" w:rsidRDefault="001927DC" w:rsidP="006160CB">
            <w:pPr>
              <w:tabs>
                <w:tab w:val="clear" w:pos="1588"/>
                <w:tab w:val="left" w:pos="1560"/>
              </w:tabs>
              <w:spacing w:before="0"/>
              <w:jc w:val="left"/>
              <w:rPr>
                <w:szCs w:val="24"/>
                <w:lang w:val="es-ES"/>
              </w:rPr>
            </w:pPr>
            <w:r w:rsidRPr="001927DC">
              <w:rPr>
                <w:szCs w:val="24"/>
              </w:rPr>
              <w:t>Referencia:</w:t>
            </w:r>
          </w:p>
        </w:tc>
        <w:tc>
          <w:tcPr>
            <w:tcW w:w="8363" w:type="dxa"/>
            <w:gridSpan w:val="2"/>
            <w:shd w:val="clear" w:color="auto" w:fill="auto"/>
          </w:tcPr>
          <w:p w14:paraId="47E8B4DB" w14:textId="77777777" w:rsidR="001927DC" w:rsidRPr="00B64A71" w:rsidRDefault="001927DC" w:rsidP="001927DC">
            <w:pPr>
              <w:tabs>
                <w:tab w:val="left" w:pos="1440"/>
                <w:tab w:val="left" w:pos="1800"/>
              </w:tabs>
              <w:spacing w:before="0" w:after="120"/>
              <w:ind w:left="1622" w:hanging="1622"/>
              <w:rPr>
                <w:szCs w:val="24"/>
                <w:lang w:val="es-ES"/>
              </w:rPr>
            </w:pPr>
            <w:r w:rsidRPr="00B64A71">
              <w:rPr>
                <w:szCs w:val="24"/>
                <w:lang w:val="es-ES"/>
              </w:rPr>
              <w:t>a) Prefacio a la BR IFIC Servicios Espaciales</w:t>
            </w:r>
          </w:p>
          <w:p w14:paraId="456F1CE2" w14:textId="77777777" w:rsidR="001927DC" w:rsidRPr="00B64A71" w:rsidRDefault="001927DC" w:rsidP="001927DC">
            <w:pPr>
              <w:tabs>
                <w:tab w:val="left" w:pos="1440"/>
                <w:tab w:val="left" w:pos="1800"/>
              </w:tabs>
              <w:spacing w:after="120"/>
              <w:ind w:left="1622" w:hanging="1622"/>
              <w:rPr>
                <w:bCs/>
                <w:szCs w:val="24"/>
                <w:lang w:val="es-ES"/>
              </w:rPr>
            </w:pPr>
            <w:r w:rsidRPr="00B64A71">
              <w:rPr>
                <w:bCs/>
                <w:szCs w:val="24"/>
                <w:lang w:val="es-ES"/>
              </w:rPr>
              <w:t>b) Carta Circular CR/137 de 14 de febrero de 2000</w:t>
            </w:r>
          </w:p>
          <w:p w14:paraId="5D148BD4" w14:textId="52B3F672" w:rsidR="001927DC" w:rsidRPr="001927DC" w:rsidRDefault="001927DC" w:rsidP="001927DC">
            <w:pPr>
              <w:tabs>
                <w:tab w:val="clear" w:pos="1588"/>
                <w:tab w:val="left" w:pos="1560"/>
              </w:tabs>
              <w:spacing w:before="0"/>
              <w:rPr>
                <w:b/>
                <w:bCs/>
                <w:szCs w:val="24"/>
                <w:lang w:val="es-ES"/>
              </w:rPr>
            </w:pPr>
            <w:r w:rsidRPr="00B64A71">
              <w:rPr>
                <w:bCs/>
                <w:szCs w:val="24"/>
                <w:lang w:val="es-ES"/>
              </w:rPr>
              <w:t>c) Carta Circular CR/256 de 15 de mayo de 2006</w:t>
            </w:r>
          </w:p>
        </w:tc>
      </w:tr>
    </w:tbl>
    <w:p w14:paraId="1731AFF3" w14:textId="1538FF4A" w:rsidR="001927DC" w:rsidRPr="00B64A71" w:rsidRDefault="001927DC" w:rsidP="001927DC">
      <w:pPr>
        <w:spacing w:before="360" w:after="120"/>
        <w:rPr>
          <w:rFonts w:cstheme="minorHAnsi"/>
          <w:szCs w:val="24"/>
          <w:lang w:val="es-ES"/>
        </w:rPr>
      </w:pPr>
      <w:r w:rsidRPr="00B64A71">
        <w:rPr>
          <w:rFonts w:cstheme="minorHAnsi"/>
          <w:szCs w:val="24"/>
          <w:lang w:val="es-ES"/>
        </w:rPr>
        <w:t xml:space="preserve">En la Carta Circular </w:t>
      </w:r>
      <w:hyperlink r:id="rId8" w:history="1">
        <w:r w:rsidRPr="00B64A71">
          <w:rPr>
            <w:rStyle w:val="Hyperlink"/>
            <w:rFonts w:cstheme="minorHAnsi"/>
            <w:szCs w:val="24"/>
            <w:lang w:val="es-ES"/>
          </w:rPr>
          <w:t>CR/256</w:t>
        </w:r>
      </w:hyperlink>
      <w:r w:rsidRPr="00B64A71">
        <w:rPr>
          <w:rFonts w:cstheme="minorHAnsi"/>
          <w:szCs w:val="24"/>
          <w:lang w:val="es-ES"/>
        </w:rPr>
        <w:t xml:space="preserve"> de 15 de mayo de 2006 se proporcionaban informaciones y orientaciones a las administraciones sobre la utilización de los símbolos de </w:t>
      </w:r>
      <w:r>
        <w:rPr>
          <w:rFonts w:cstheme="minorHAnsi"/>
          <w:szCs w:val="24"/>
          <w:lang w:val="es-ES"/>
        </w:rPr>
        <w:t xml:space="preserve">clase de estación que se aplican a los sensores activos y pasivos del servicio de exploración de la Tierra por satélite (SETS) y el servicio de investigación espacial (SIE). </w:t>
      </w:r>
      <w:r w:rsidRPr="00B64A71">
        <w:rPr>
          <w:rFonts w:cstheme="minorHAnsi"/>
          <w:szCs w:val="24"/>
          <w:lang w:val="es-ES"/>
        </w:rPr>
        <w:t>En esa carta se invitaba a las administraciones a utilizar esos símbolos de clase de estación al present</w:t>
      </w:r>
      <w:r>
        <w:rPr>
          <w:rFonts w:cstheme="minorHAnsi"/>
          <w:szCs w:val="24"/>
          <w:lang w:val="es-ES"/>
        </w:rPr>
        <w:t>a</w:t>
      </w:r>
      <w:r w:rsidRPr="00B64A71">
        <w:rPr>
          <w:rFonts w:cstheme="minorHAnsi"/>
          <w:szCs w:val="24"/>
          <w:lang w:val="es-ES"/>
        </w:rPr>
        <w:t xml:space="preserve">r a la Oficina notificaciones sobre aplicaciones de </w:t>
      </w:r>
      <w:r>
        <w:rPr>
          <w:rFonts w:cstheme="minorHAnsi"/>
          <w:szCs w:val="24"/>
          <w:lang w:val="es-ES"/>
        </w:rPr>
        <w:t>sensores activos y pasivos</w:t>
      </w:r>
      <w:r w:rsidRPr="00B64A71">
        <w:rPr>
          <w:rFonts w:cstheme="minorHAnsi"/>
          <w:szCs w:val="24"/>
          <w:lang w:val="es-ES"/>
        </w:rPr>
        <w:t xml:space="preserve">. </w:t>
      </w:r>
    </w:p>
    <w:p w14:paraId="6837CB47" w14:textId="46A667F7" w:rsidR="001927DC" w:rsidRPr="00B64A71" w:rsidRDefault="001927DC" w:rsidP="001927DC">
      <w:pPr>
        <w:rPr>
          <w:rFonts w:cstheme="minorHAnsi"/>
          <w:szCs w:val="24"/>
          <w:lang w:val="es-ES"/>
        </w:rPr>
      </w:pPr>
      <w:r w:rsidRPr="00B64A71">
        <w:rPr>
          <w:rFonts w:cstheme="minorHAnsi"/>
          <w:szCs w:val="24"/>
          <w:lang w:val="es-ES"/>
        </w:rPr>
        <w:t>Estos símbolos de clase de estación, E1, E2, E3 y E4, definidos en el Prefacio a la BR IFIC (Se</w:t>
      </w:r>
      <w:r>
        <w:rPr>
          <w:rFonts w:cstheme="minorHAnsi"/>
          <w:szCs w:val="24"/>
          <w:lang w:val="es-ES"/>
        </w:rPr>
        <w:t xml:space="preserve">rvicios Espaciales), se crearon a petición de la comunidad científica e investigadora en el seno de la Comisión de Estudio 7 del UIT-R. </w:t>
      </w:r>
      <w:r w:rsidRPr="00B64A71">
        <w:rPr>
          <w:rFonts w:cstheme="minorHAnsi"/>
          <w:szCs w:val="24"/>
          <w:lang w:val="es-ES"/>
        </w:rPr>
        <w:t>De este modo es posible distinguir los sensor</w:t>
      </w:r>
      <w:r>
        <w:rPr>
          <w:rFonts w:cstheme="minorHAnsi"/>
          <w:szCs w:val="24"/>
          <w:lang w:val="es-ES"/>
        </w:rPr>
        <w:t>e</w:t>
      </w:r>
      <w:r w:rsidRPr="00B64A71">
        <w:rPr>
          <w:rFonts w:cstheme="minorHAnsi"/>
          <w:szCs w:val="24"/>
          <w:lang w:val="es-ES"/>
        </w:rPr>
        <w:t xml:space="preserve">s activos y pasivos de otras aplicaciones del SETS/SIE en la </w:t>
      </w:r>
      <w:r>
        <w:rPr>
          <w:rFonts w:cstheme="minorHAnsi"/>
          <w:szCs w:val="24"/>
          <w:lang w:val="es-ES"/>
        </w:rPr>
        <w:t>información de publicación anticipada</w:t>
      </w:r>
      <w:r w:rsidRPr="00B64A71">
        <w:rPr>
          <w:rFonts w:cstheme="minorHAnsi"/>
          <w:szCs w:val="24"/>
          <w:lang w:val="es-ES"/>
        </w:rPr>
        <w:t xml:space="preserve"> (API) y</w:t>
      </w:r>
      <w:r>
        <w:rPr>
          <w:rFonts w:cstheme="minorHAnsi"/>
          <w:szCs w:val="24"/>
          <w:lang w:val="es-ES"/>
        </w:rPr>
        <w:t xml:space="preserve"> la información de notificación</w:t>
      </w:r>
      <w:r w:rsidRPr="00B64A71">
        <w:rPr>
          <w:rFonts w:cstheme="minorHAnsi"/>
          <w:szCs w:val="24"/>
          <w:lang w:val="es-ES"/>
        </w:rPr>
        <w:t xml:space="preserve">. </w:t>
      </w:r>
    </w:p>
    <w:p w14:paraId="3F7E4001" w14:textId="77777777" w:rsidR="001927DC" w:rsidRPr="008F001A" w:rsidRDefault="001927DC" w:rsidP="001927DC">
      <w:pPr>
        <w:spacing w:after="120"/>
        <w:rPr>
          <w:rFonts w:cstheme="minorHAnsi"/>
          <w:szCs w:val="24"/>
          <w:lang w:val="es-ES"/>
        </w:rPr>
      </w:pPr>
      <w:r w:rsidRPr="008F001A">
        <w:rPr>
          <w:rFonts w:cstheme="minorHAnsi"/>
          <w:szCs w:val="24"/>
          <w:lang w:val="es-ES"/>
        </w:rPr>
        <w:t xml:space="preserve">Mediante la presente Carta Circular, la Oficina se complace en informar a las administraciones de que, al efectuar el examen en virtud del número </w:t>
      </w:r>
      <w:r w:rsidRPr="008F001A">
        <w:rPr>
          <w:rFonts w:cstheme="minorHAnsi"/>
          <w:b/>
          <w:bCs/>
          <w:szCs w:val="24"/>
          <w:lang w:val="es-ES"/>
        </w:rPr>
        <w:t>11.31</w:t>
      </w:r>
      <w:r w:rsidRPr="008F001A">
        <w:rPr>
          <w:rFonts w:cstheme="minorHAnsi"/>
          <w:szCs w:val="24"/>
          <w:lang w:val="es-ES"/>
        </w:rPr>
        <w:t xml:space="preserve"> en las bandas de frecuencias atribuidas específicamente al SETS/SI</w:t>
      </w:r>
      <w:r>
        <w:rPr>
          <w:rFonts w:cstheme="minorHAnsi"/>
          <w:szCs w:val="24"/>
          <w:lang w:val="es-ES"/>
        </w:rPr>
        <w:t>E (activo/pasivo</w:t>
      </w:r>
      <w:r w:rsidRPr="008F001A">
        <w:rPr>
          <w:rFonts w:cstheme="minorHAnsi"/>
          <w:szCs w:val="24"/>
          <w:lang w:val="es-ES"/>
        </w:rPr>
        <w:t xml:space="preserve">), </w:t>
      </w:r>
      <w:r>
        <w:rPr>
          <w:rFonts w:cstheme="minorHAnsi"/>
          <w:szCs w:val="24"/>
          <w:lang w:val="es-ES"/>
        </w:rPr>
        <w:t>las redes de satélites notificadas utilizando una clase de estación relacionada con el SETS o el SIE, pero no limitada a la utilización de sensores activos o pasivos</w:t>
      </w:r>
      <w:r w:rsidRPr="008F001A">
        <w:rPr>
          <w:rFonts w:cstheme="minorHAnsi"/>
          <w:szCs w:val="24"/>
          <w:lang w:val="es-ES"/>
        </w:rPr>
        <w:t xml:space="preserve"> (</w:t>
      </w:r>
      <w:r>
        <w:rPr>
          <w:rFonts w:cstheme="minorHAnsi"/>
          <w:szCs w:val="24"/>
          <w:lang w:val="es-ES"/>
        </w:rPr>
        <w:t>por ejemplo,</w:t>
      </w:r>
      <w:r w:rsidRPr="008F001A">
        <w:rPr>
          <w:rFonts w:cstheme="minorHAnsi"/>
          <w:szCs w:val="24"/>
          <w:lang w:val="es-ES"/>
        </w:rPr>
        <w:t xml:space="preserve"> EH, EW)</w:t>
      </w:r>
      <w:r>
        <w:rPr>
          <w:rFonts w:cstheme="minorHAnsi"/>
          <w:szCs w:val="24"/>
          <w:lang w:val="es-ES"/>
        </w:rPr>
        <w:t>, ya no se considerarán conformes con el Cuadro de atribución de bandas de frecuencias</w:t>
      </w:r>
      <w:r w:rsidRPr="008F001A">
        <w:rPr>
          <w:rFonts w:cstheme="minorHAnsi"/>
          <w:szCs w:val="24"/>
          <w:lang w:val="es-ES"/>
        </w:rPr>
        <w:t xml:space="preserve">. </w:t>
      </w:r>
    </w:p>
    <w:p w14:paraId="379A36C1" w14:textId="696A3EB4" w:rsidR="00E53DCE" w:rsidRPr="001927DC" w:rsidRDefault="001927DC" w:rsidP="001927DC">
      <w:pPr>
        <w:rPr>
          <w:szCs w:val="24"/>
          <w:lang w:val="es-ES"/>
        </w:rPr>
      </w:pPr>
      <w:r w:rsidRPr="008F001A">
        <w:rPr>
          <w:rFonts w:cstheme="minorHAnsi"/>
          <w:szCs w:val="24"/>
          <w:lang w:val="es-ES"/>
        </w:rPr>
        <w:t xml:space="preserve">En las bandas de frecuencias atribuidas al SETS/SIE (activo/pasivo) sólo se considerarán conformes con el Cuadro de atribución de bandas de </w:t>
      </w:r>
      <w:r>
        <w:rPr>
          <w:rFonts w:cstheme="minorHAnsi"/>
          <w:szCs w:val="24"/>
          <w:lang w:val="es-ES"/>
        </w:rPr>
        <w:t xml:space="preserve">frecuencias, y recibirán una conclusión favorable en virtud del número </w:t>
      </w:r>
      <w:r>
        <w:rPr>
          <w:rFonts w:cstheme="minorHAnsi"/>
          <w:b/>
          <w:bCs/>
          <w:szCs w:val="24"/>
          <w:lang w:val="es-ES"/>
        </w:rPr>
        <w:t>11.31</w:t>
      </w:r>
      <w:r>
        <w:rPr>
          <w:rFonts w:cstheme="minorHAnsi"/>
          <w:szCs w:val="24"/>
          <w:lang w:val="es-ES"/>
        </w:rPr>
        <w:t>, las clases de estaciones de sensores activos y pasivos adecuadas</w:t>
      </w:r>
      <w:r w:rsidRPr="008F001A">
        <w:rPr>
          <w:rFonts w:cstheme="minorHAnsi"/>
          <w:szCs w:val="24"/>
          <w:lang w:val="es-ES"/>
        </w:rPr>
        <w:t xml:space="preserve"> (E1, E2, E3 </w:t>
      </w:r>
      <w:r>
        <w:rPr>
          <w:rFonts w:cstheme="minorHAnsi"/>
          <w:szCs w:val="24"/>
          <w:lang w:val="es-ES"/>
        </w:rPr>
        <w:t>y</w:t>
      </w:r>
      <w:r w:rsidRPr="008F001A">
        <w:rPr>
          <w:rFonts w:cstheme="minorHAnsi"/>
          <w:szCs w:val="24"/>
          <w:lang w:val="es-ES"/>
        </w:rPr>
        <w:t xml:space="preserve"> E4)</w:t>
      </w:r>
      <w:r>
        <w:rPr>
          <w:rFonts w:cstheme="minorHAnsi"/>
          <w:szCs w:val="24"/>
          <w:lang w:val="es-ES"/>
        </w:rPr>
        <w:t xml:space="preserve">. </w:t>
      </w:r>
      <w:r w:rsidRPr="008F001A">
        <w:rPr>
          <w:rFonts w:cstheme="minorHAnsi"/>
          <w:szCs w:val="24"/>
          <w:lang w:val="es-ES"/>
        </w:rPr>
        <w:t>En este context</w:t>
      </w:r>
      <w:r>
        <w:rPr>
          <w:rFonts w:cstheme="minorHAnsi"/>
          <w:szCs w:val="24"/>
          <w:lang w:val="es-ES"/>
        </w:rPr>
        <w:t>o</w:t>
      </w:r>
      <w:r w:rsidRPr="008F001A">
        <w:rPr>
          <w:rFonts w:cstheme="minorHAnsi"/>
          <w:szCs w:val="24"/>
          <w:lang w:val="es-ES"/>
        </w:rPr>
        <w:t>, las asignaciones utilizadas para la calibración de las se</w:t>
      </w:r>
      <w:r>
        <w:rPr>
          <w:rFonts w:cstheme="minorHAnsi"/>
          <w:szCs w:val="24"/>
          <w:lang w:val="es-ES"/>
        </w:rPr>
        <w:t>ñales de sensores activos en estas bandas de frecuencias y que funcionen con una estación terrena asociada deberán, por tanto, notificarse utilizando la clase de estación</w:t>
      </w:r>
      <w:r w:rsidRPr="008F001A">
        <w:rPr>
          <w:rFonts w:cstheme="minorHAnsi"/>
          <w:szCs w:val="24"/>
          <w:lang w:val="es-ES"/>
        </w:rPr>
        <w:t xml:space="preserve"> EH o EW</w:t>
      </w:r>
      <w:r>
        <w:rPr>
          <w:rFonts w:cstheme="minorHAnsi"/>
          <w:szCs w:val="24"/>
          <w:lang w:val="es-ES"/>
        </w:rPr>
        <w:t>, notificación que deberá ir acompañada de una solicitud de inscripción bajo las condiciones prescritas en el número</w:t>
      </w:r>
      <w:r w:rsidRPr="008F001A">
        <w:rPr>
          <w:rFonts w:cstheme="minorHAnsi"/>
          <w:szCs w:val="24"/>
          <w:lang w:val="es-ES"/>
        </w:rPr>
        <w:t xml:space="preserve"> </w:t>
      </w:r>
      <w:r w:rsidRPr="008F001A">
        <w:rPr>
          <w:rFonts w:cstheme="minorHAnsi"/>
          <w:b/>
          <w:bCs/>
          <w:szCs w:val="24"/>
          <w:lang w:val="es-ES"/>
        </w:rPr>
        <w:t>4.4</w:t>
      </w:r>
      <w:r w:rsidRPr="008F001A">
        <w:rPr>
          <w:rFonts w:cstheme="minorHAnsi"/>
          <w:szCs w:val="24"/>
          <w:lang w:val="es-ES"/>
        </w:rPr>
        <w:t>.</w:t>
      </w:r>
    </w:p>
    <w:p w14:paraId="0D138DFC" w14:textId="77777777" w:rsidR="001927DC" w:rsidRDefault="001927DC">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szCs w:val="24"/>
          <w:lang w:val="es-ES"/>
        </w:rPr>
      </w:pPr>
      <w:r>
        <w:rPr>
          <w:rFonts w:cstheme="minorHAnsi"/>
          <w:szCs w:val="24"/>
          <w:lang w:val="es-ES"/>
        </w:rPr>
        <w:br w:type="page"/>
      </w:r>
    </w:p>
    <w:p w14:paraId="3BCD5F99" w14:textId="78EF3D67" w:rsidR="001927DC" w:rsidRPr="008F001A" w:rsidRDefault="001927DC" w:rsidP="001927DC">
      <w:pPr>
        <w:spacing w:after="120"/>
        <w:rPr>
          <w:rFonts w:cstheme="minorHAnsi"/>
          <w:szCs w:val="24"/>
          <w:lang w:val="es-ES"/>
        </w:rPr>
      </w:pPr>
      <w:r w:rsidRPr="008F001A">
        <w:rPr>
          <w:rFonts w:cstheme="minorHAnsi"/>
          <w:szCs w:val="24"/>
          <w:lang w:val="es-ES"/>
        </w:rPr>
        <w:lastRenderedPageBreak/>
        <w:t>En el Anexo a la presente Carta Circular se resumen los símbolos de clase de estación que deben as</w:t>
      </w:r>
      <w:r>
        <w:rPr>
          <w:rFonts w:cstheme="minorHAnsi"/>
          <w:szCs w:val="24"/>
          <w:lang w:val="es-ES"/>
        </w:rPr>
        <w:t>o</w:t>
      </w:r>
      <w:r w:rsidRPr="008F001A">
        <w:rPr>
          <w:rFonts w:cstheme="minorHAnsi"/>
          <w:szCs w:val="24"/>
          <w:lang w:val="es-ES"/>
        </w:rPr>
        <w:t>ciarse con las diversas subcategorías de SETS/SIE a fin de</w:t>
      </w:r>
      <w:r>
        <w:rPr>
          <w:rFonts w:cstheme="minorHAnsi"/>
          <w:szCs w:val="24"/>
          <w:lang w:val="es-ES"/>
        </w:rPr>
        <w:t xml:space="preserve"> obtener una conclusión favorable en virtud del número</w:t>
      </w:r>
      <w:r w:rsidRPr="008F001A">
        <w:rPr>
          <w:rFonts w:cstheme="minorHAnsi"/>
          <w:szCs w:val="24"/>
          <w:lang w:val="es-ES"/>
        </w:rPr>
        <w:t xml:space="preserve"> </w:t>
      </w:r>
      <w:r w:rsidRPr="008F001A">
        <w:rPr>
          <w:rFonts w:cstheme="minorHAnsi"/>
          <w:b/>
          <w:bCs/>
          <w:szCs w:val="24"/>
          <w:lang w:val="es-ES"/>
        </w:rPr>
        <w:t>11.31</w:t>
      </w:r>
      <w:r w:rsidRPr="008F001A">
        <w:rPr>
          <w:rFonts w:cstheme="minorHAnsi"/>
          <w:szCs w:val="24"/>
          <w:lang w:val="es-ES"/>
        </w:rPr>
        <w:t>. Sin embargo, se recuerda a las administraciones que los símbolos de clase de estación deben escogerse en función del func</w:t>
      </w:r>
      <w:r>
        <w:rPr>
          <w:rFonts w:cstheme="minorHAnsi"/>
          <w:szCs w:val="24"/>
          <w:lang w:val="es-ES"/>
        </w:rPr>
        <w:t>ionamiento real de las asignaciones de frecuencias</w:t>
      </w:r>
      <w:r w:rsidRPr="008F001A">
        <w:rPr>
          <w:rFonts w:cstheme="minorHAnsi"/>
          <w:szCs w:val="24"/>
          <w:lang w:val="es-ES"/>
        </w:rPr>
        <w:t xml:space="preserve">. </w:t>
      </w:r>
    </w:p>
    <w:p w14:paraId="50D94DA4" w14:textId="77777777" w:rsidR="001927DC" w:rsidRPr="005335AA" w:rsidRDefault="001927DC" w:rsidP="001927DC">
      <w:pPr>
        <w:spacing w:after="120"/>
        <w:rPr>
          <w:rFonts w:cstheme="minorHAnsi"/>
          <w:szCs w:val="24"/>
          <w:lang w:val="es-ES"/>
        </w:rPr>
      </w:pPr>
      <w:r w:rsidRPr="008F001A">
        <w:rPr>
          <w:rFonts w:cstheme="minorHAnsi"/>
          <w:szCs w:val="24"/>
          <w:lang w:val="es-ES"/>
        </w:rPr>
        <w:t xml:space="preserve">Se anima a las administraciones a </w:t>
      </w:r>
      <w:r>
        <w:rPr>
          <w:rFonts w:cstheme="minorHAnsi"/>
          <w:szCs w:val="24"/>
          <w:lang w:val="es-ES"/>
        </w:rPr>
        <w:t>actualizar</w:t>
      </w:r>
      <w:r w:rsidRPr="008F001A">
        <w:rPr>
          <w:rFonts w:cstheme="minorHAnsi"/>
          <w:szCs w:val="24"/>
          <w:lang w:val="es-ES"/>
        </w:rPr>
        <w:t xml:space="preserve"> las asignaciones actualmente inscritas en el Registro Internacional de Frecuencias para aplicaciones de sensores activos</w:t>
      </w:r>
      <w:r>
        <w:rPr>
          <w:rFonts w:cstheme="minorHAnsi"/>
          <w:szCs w:val="24"/>
          <w:lang w:val="es-ES"/>
        </w:rPr>
        <w:t xml:space="preserve"> y pasivos con la clase de estación</w:t>
      </w:r>
      <w:r w:rsidRPr="008F001A">
        <w:rPr>
          <w:rFonts w:cstheme="minorHAnsi"/>
          <w:szCs w:val="24"/>
          <w:lang w:val="es-ES"/>
        </w:rPr>
        <w:t xml:space="preserve"> EW o EH </w:t>
      </w:r>
      <w:r>
        <w:rPr>
          <w:rFonts w:cstheme="minorHAnsi"/>
          <w:szCs w:val="24"/>
          <w:lang w:val="es-ES"/>
        </w:rPr>
        <w:t>para indicar las clases de estación</w:t>
      </w:r>
      <w:r w:rsidRPr="008F001A">
        <w:rPr>
          <w:rFonts w:cstheme="minorHAnsi"/>
          <w:szCs w:val="24"/>
          <w:lang w:val="es-ES"/>
        </w:rPr>
        <w:t xml:space="preserve"> E1, E2, E3 </w:t>
      </w:r>
      <w:r>
        <w:rPr>
          <w:rFonts w:cstheme="minorHAnsi"/>
          <w:szCs w:val="24"/>
          <w:lang w:val="es-ES"/>
        </w:rPr>
        <w:t>y</w:t>
      </w:r>
      <w:r w:rsidRPr="008F001A">
        <w:rPr>
          <w:rFonts w:cstheme="minorHAnsi"/>
          <w:szCs w:val="24"/>
          <w:lang w:val="es-ES"/>
        </w:rPr>
        <w:t xml:space="preserve"> E4, </w:t>
      </w:r>
      <w:r>
        <w:rPr>
          <w:rFonts w:cstheme="minorHAnsi"/>
          <w:szCs w:val="24"/>
          <w:lang w:val="es-ES"/>
        </w:rPr>
        <w:t>según proceda. Dado que este tipo de modificación no conlleva un posible aumento de la interferencia causada por las asignaciones modificadas ni de sus criterios de protección, la fecha de protección de las asignaciones permanecerá intacta tras la modificación</w:t>
      </w:r>
      <w:r w:rsidRPr="005335AA">
        <w:rPr>
          <w:rFonts w:cstheme="minorHAnsi"/>
          <w:szCs w:val="24"/>
          <w:lang w:val="es-ES"/>
        </w:rPr>
        <w:t xml:space="preserve">. </w:t>
      </w:r>
    </w:p>
    <w:p w14:paraId="3B847D59" w14:textId="77777777" w:rsidR="001927DC" w:rsidRPr="005335AA" w:rsidRDefault="001927DC" w:rsidP="001927DC">
      <w:pPr>
        <w:spacing w:after="120"/>
        <w:rPr>
          <w:rFonts w:cstheme="minorHAnsi"/>
          <w:szCs w:val="24"/>
          <w:lang w:val="es-ES"/>
        </w:rPr>
      </w:pPr>
      <w:r w:rsidRPr="005335AA">
        <w:rPr>
          <w:rFonts w:cstheme="minorHAnsi"/>
          <w:szCs w:val="24"/>
          <w:lang w:val="es-ES"/>
        </w:rPr>
        <w:t>Además, este tipo de modificación no implica un examen técnico o reglamentario detallado por la Oficina, por lo que la</w:t>
      </w:r>
      <w:r>
        <w:rPr>
          <w:rFonts w:cstheme="minorHAnsi"/>
          <w:szCs w:val="24"/>
          <w:lang w:val="es-ES"/>
        </w:rPr>
        <w:t>s solicitudes de modificación no se someterán a la recuperación de costes</w:t>
      </w:r>
      <w:r w:rsidRPr="005335AA">
        <w:rPr>
          <w:rFonts w:cstheme="minorHAnsi"/>
          <w:szCs w:val="24"/>
          <w:lang w:val="es-ES"/>
        </w:rPr>
        <w:t xml:space="preserve">. </w:t>
      </w:r>
    </w:p>
    <w:p w14:paraId="62218A8E" w14:textId="73C267F7" w:rsidR="001927DC" w:rsidRDefault="001927DC" w:rsidP="001927DC">
      <w:pPr>
        <w:spacing w:before="0" w:line="240" w:lineRule="auto"/>
        <w:jc w:val="left"/>
        <w:rPr>
          <w:rFonts w:cstheme="minorHAnsi"/>
          <w:szCs w:val="24"/>
          <w:lang w:val="es-ES"/>
        </w:rPr>
      </w:pPr>
      <w:r w:rsidRPr="001927DC">
        <w:rPr>
          <w:rFonts w:cstheme="minorHAnsi"/>
          <w:szCs w:val="24"/>
          <w:lang w:val="es-ES"/>
        </w:rPr>
        <w:t xml:space="preserve">La Oficina queda a la disposición de su Administración. </w:t>
      </w:r>
      <w:r w:rsidRPr="005335AA">
        <w:rPr>
          <w:rFonts w:cstheme="minorHAnsi"/>
          <w:szCs w:val="24"/>
          <w:lang w:val="es-ES"/>
        </w:rPr>
        <w:t xml:space="preserve">Puede enviar sus dudas o peticiones de aclaración en relación con esta Carta Circular a la dirección </w:t>
      </w:r>
      <w:hyperlink r:id="rId9" w:history="1">
        <w:r w:rsidRPr="005335AA">
          <w:rPr>
            <w:rStyle w:val="Hyperlink"/>
            <w:rFonts w:cstheme="minorHAnsi"/>
            <w:szCs w:val="24"/>
            <w:lang w:val="es-ES"/>
          </w:rPr>
          <w:t>brmail@itu.int</w:t>
        </w:r>
      </w:hyperlink>
      <w:r w:rsidRPr="005335AA">
        <w:rPr>
          <w:rFonts w:cstheme="minorHAnsi"/>
          <w:szCs w:val="24"/>
          <w:lang w:val="es-ES"/>
        </w:rPr>
        <w:t>.</w:t>
      </w:r>
    </w:p>
    <w:p w14:paraId="19BE2590" w14:textId="77777777" w:rsidR="00031E64" w:rsidRDefault="001B3D4D" w:rsidP="001927DC">
      <w:pPr>
        <w:spacing w:before="840" w:line="240" w:lineRule="auto"/>
        <w:jc w:val="left"/>
        <w:rPr>
          <w:szCs w:val="24"/>
          <w:lang w:val="es-ES"/>
        </w:rPr>
      </w:pPr>
      <w:r w:rsidRPr="001927DC">
        <w:rPr>
          <w:rFonts w:asciiTheme="minorHAnsi" w:hAnsiTheme="minorHAnsi" w:cstheme="minorHAnsi"/>
          <w:lang w:val="es-ES"/>
        </w:rPr>
        <w:t>Mario Maniewicz</w:t>
      </w:r>
      <w:r w:rsidR="00E53DCE" w:rsidRPr="0033029C">
        <w:rPr>
          <w:szCs w:val="24"/>
          <w:lang w:val="es-ES"/>
        </w:rPr>
        <w:br/>
      </w:r>
      <w:r w:rsidR="00A96D3A" w:rsidRPr="0033029C">
        <w:rPr>
          <w:szCs w:val="24"/>
          <w:lang w:val="es-ES"/>
        </w:rPr>
        <w:t xml:space="preserve">Director </w:t>
      </w:r>
    </w:p>
    <w:p w14:paraId="6F7294EF" w14:textId="19C881B3" w:rsidR="00F62CB4" w:rsidRDefault="001927DC" w:rsidP="001927DC">
      <w:pPr>
        <w:spacing w:before="1080" w:line="240" w:lineRule="auto"/>
        <w:jc w:val="left"/>
        <w:rPr>
          <w:rFonts w:asciiTheme="minorHAnsi" w:hAnsiTheme="minorHAnsi" w:cstheme="minorHAnsi"/>
          <w:szCs w:val="24"/>
          <w:lang w:val="es-ES"/>
        </w:rPr>
      </w:pPr>
      <w:r>
        <w:rPr>
          <w:rFonts w:asciiTheme="minorHAnsi" w:hAnsiTheme="minorHAnsi" w:cstheme="minorHAnsi"/>
          <w:szCs w:val="24"/>
          <w:lang w:val="es-ES"/>
        </w:rPr>
        <w:t>Anexo (1 página)</w:t>
      </w:r>
    </w:p>
    <w:p w14:paraId="1D147497" w14:textId="77777777" w:rsidR="001927DC" w:rsidRPr="001927DC" w:rsidRDefault="001927DC" w:rsidP="001927DC">
      <w:pPr>
        <w:pStyle w:val="toc0"/>
        <w:tabs>
          <w:tab w:val="left" w:pos="1985"/>
        </w:tabs>
        <w:spacing w:before="720" w:after="120"/>
        <w:jc w:val="lowKashida"/>
        <w:rPr>
          <w:rFonts w:asciiTheme="minorHAnsi" w:eastAsiaTheme="majorEastAsia" w:hAnsiTheme="minorHAnsi" w:cstheme="minorHAnsi"/>
          <w:bCs/>
          <w:sz w:val="18"/>
          <w:szCs w:val="18"/>
          <w:u w:val="single"/>
          <w:lang w:val="es-ES"/>
        </w:rPr>
      </w:pPr>
      <w:r w:rsidRPr="001927DC">
        <w:rPr>
          <w:rFonts w:asciiTheme="minorHAnsi" w:eastAsiaTheme="majorEastAsia" w:hAnsiTheme="minorHAnsi" w:cstheme="minorHAnsi"/>
          <w:bCs/>
          <w:sz w:val="18"/>
          <w:szCs w:val="18"/>
          <w:u w:val="single"/>
          <w:lang w:val="es-ES"/>
        </w:rPr>
        <w:t>Distribución:</w:t>
      </w:r>
    </w:p>
    <w:p w14:paraId="34C973C3" w14:textId="77777777" w:rsidR="001927DC" w:rsidRPr="005335AA" w:rsidRDefault="001927DC" w:rsidP="001927DC">
      <w:pPr>
        <w:pStyle w:val="enumlev1"/>
        <w:numPr>
          <w:ilvl w:val="0"/>
          <w:numId w:val="3"/>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lang w:val="es-ES"/>
        </w:rPr>
      </w:pPr>
      <w:r w:rsidRPr="005335AA">
        <w:rPr>
          <w:rFonts w:asciiTheme="minorHAnsi" w:eastAsiaTheme="majorEastAsia" w:hAnsiTheme="minorHAnsi" w:cstheme="minorHAnsi"/>
          <w:sz w:val="18"/>
          <w:szCs w:val="18"/>
          <w:lang w:val="es-ES"/>
        </w:rPr>
        <w:t>Administraciones de los Estados Miembro</w:t>
      </w:r>
      <w:r>
        <w:rPr>
          <w:rFonts w:asciiTheme="minorHAnsi" w:eastAsiaTheme="majorEastAsia" w:hAnsiTheme="minorHAnsi" w:cstheme="minorHAnsi"/>
          <w:sz w:val="18"/>
          <w:szCs w:val="18"/>
          <w:lang w:val="es-ES"/>
        </w:rPr>
        <w:t>s de la UIT</w:t>
      </w:r>
    </w:p>
    <w:p w14:paraId="2F6ACE71" w14:textId="77777777" w:rsidR="001927DC" w:rsidRPr="005335AA" w:rsidRDefault="001927DC" w:rsidP="001927DC">
      <w:pPr>
        <w:pStyle w:val="enumlev1"/>
        <w:numPr>
          <w:ilvl w:val="0"/>
          <w:numId w:val="3"/>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lang w:val="es-ES"/>
        </w:rPr>
      </w:pPr>
      <w:r w:rsidRPr="005335AA">
        <w:rPr>
          <w:rFonts w:asciiTheme="minorHAnsi" w:eastAsiaTheme="majorEastAsia" w:hAnsiTheme="minorHAnsi" w:cstheme="minorHAnsi"/>
          <w:sz w:val="18"/>
          <w:szCs w:val="18"/>
          <w:lang w:val="es-ES"/>
        </w:rPr>
        <w:t>Miembros de la Junta del Reglamento de R</w:t>
      </w:r>
      <w:r>
        <w:rPr>
          <w:rFonts w:asciiTheme="minorHAnsi" w:eastAsiaTheme="majorEastAsia" w:hAnsiTheme="minorHAnsi" w:cstheme="minorHAnsi"/>
          <w:sz w:val="18"/>
          <w:szCs w:val="18"/>
          <w:lang w:val="es-ES"/>
        </w:rPr>
        <w:t>adiocomunicaciones</w:t>
      </w:r>
    </w:p>
    <w:p w14:paraId="2F7E8D48" w14:textId="77777777" w:rsidR="001927DC" w:rsidRPr="005335AA" w:rsidRDefault="001927DC" w:rsidP="001927DC">
      <w:pPr>
        <w:pStyle w:val="enumlev1"/>
        <w:numPr>
          <w:ilvl w:val="0"/>
          <w:numId w:val="3"/>
        </w:numPr>
        <w:tabs>
          <w:tab w:val="clear" w:pos="794"/>
          <w:tab w:val="clear" w:pos="1191"/>
          <w:tab w:val="clear" w:pos="1588"/>
          <w:tab w:val="clear" w:pos="1985"/>
        </w:tabs>
        <w:overflowPunct/>
        <w:autoSpaceDE/>
        <w:autoSpaceDN/>
        <w:adjustRightInd/>
        <w:spacing w:before="0" w:line="240" w:lineRule="auto"/>
        <w:ind w:left="0" w:hanging="142"/>
        <w:jc w:val="lowKashida"/>
        <w:textAlignment w:val="auto"/>
        <w:rPr>
          <w:rFonts w:asciiTheme="minorHAnsi" w:eastAsiaTheme="majorEastAsia" w:hAnsiTheme="minorHAnsi" w:cstheme="minorHAnsi"/>
          <w:sz w:val="18"/>
          <w:szCs w:val="18"/>
          <w:lang w:val="es-ES"/>
        </w:rPr>
      </w:pPr>
      <w:r w:rsidRPr="005335AA">
        <w:rPr>
          <w:rFonts w:asciiTheme="minorHAnsi" w:eastAsiaTheme="majorEastAsia" w:hAnsiTheme="minorHAnsi" w:cstheme="minorHAnsi"/>
          <w:sz w:val="18"/>
          <w:szCs w:val="18"/>
          <w:lang w:val="es-ES"/>
        </w:rPr>
        <w:t>Miembros del Sector UIT-R</w:t>
      </w:r>
    </w:p>
    <w:p w14:paraId="24FEE0E5" w14:textId="77777777" w:rsidR="001927DC" w:rsidRPr="005335AA" w:rsidRDefault="001927DC" w:rsidP="001927DC">
      <w:pPr>
        <w:pStyle w:val="enumlev1"/>
        <w:numPr>
          <w:ilvl w:val="0"/>
          <w:numId w:val="3"/>
        </w:numPr>
        <w:tabs>
          <w:tab w:val="clear" w:pos="794"/>
          <w:tab w:val="clear" w:pos="1191"/>
          <w:tab w:val="clear" w:pos="1588"/>
          <w:tab w:val="clear" w:pos="1985"/>
        </w:tabs>
        <w:overflowPunct/>
        <w:autoSpaceDE/>
        <w:autoSpaceDN/>
        <w:adjustRightInd/>
        <w:spacing w:before="0" w:line="240" w:lineRule="auto"/>
        <w:ind w:left="0" w:hanging="142"/>
        <w:jc w:val="lowKashida"/>
        <w:textAlignment w:val="auto"/>
        <w:rPr>
          <w:rFonts w:asciiTheme="minorHAnsi" w:eastAsiaTheme="majorEastAsia" w:hAnsiTheme="minorHAnsi" w:cstheme="minorHAnsi"/>
          <w:sz w:val="18"/>
          <w:szCs w:val="18"/>
          <w:lang w:val="es-ES"/>
        </w:rPr>
      </w:pPr>
      <w:r w:rsidRPr="005335AA">
        <w:rPr>
          <w:rFonts w:asciiTheme="minorHAnsi" w:eastAsiaTheme="majorEastAsia" w:hAnsiTheme="minorHAnsi" w:cstheme="minorHAnsi"/>
          <w:sz w:val="18"/>
          <w:szCs w:val="18"/>
          <w:lang w:val="es-ES"/>
        </w:rPr>
        <w:br w:type="page"/>
      </w:r>
    </w:p>
    <w:p w14:paraId="325D7BE8" w14:textId="77777777" w:rsidR="001927DC" w:rsidRPr="001927DC" w:rsidRDefault="001927DC" w:rsidP="001927DC">
      <w:pPr>
        <w:pStyle w:val="AnnexNoTitle"/>
        <w:rPr>
          <w:rFonts w:eastAsiaTheme="majorEastAsia"/>
        </w:rPr>
      </w:pPr>
      <w:r w:rsidRPr="001927DC">
        <w:rPr>
          <w:rFonts w:eastAsiaTheme="majorEastAsia"/>
        </w:rPr>
        <w:lastRenderedPageBreak/>
        <w:t>ANEXO</w:t>
      </w:r>
    </w:p>
    <w:p w14:paraId="476751C4" w14:textId="53362BA2" w:rsidR="001927DC" w:rsidRPr="001927DC" w:rsidRDefault="001927DC" w:rsidP="001927DC">
      <w:pPr>
        <w:pStyle w:val="AnnexNoTitle"/>
        <w:spacing w:before="360"/>
        <w:rPr>
          <w:rFonts w:asciiTheme="minorHAnsi" w:eastAsiaTheme="majorEastAsia" w:hAnsiTheme="minorHAnsi"/>
          <w:lang w:val="es-ES"/>
        </w:rPr>
      </w:pPr>
      <w:r w:rsidRPr="001927DC">
        <w:rPr>
          <w:lang w:val="es-ES"/>
        </w:rPr>
        <w:t>Símbolos de clase de estación asociados con las diversas subcategorías de SETS/SIE</w:t>
      </w:r>
    </w:p>
    <w:p w14:paraId="407A61C7" w14:textId="4833F794" w:rsidR="001927DC" w:rsidRPr="005335AA" w:rsidRDefault="001927DC" w:rsidP="001927DC">
      <w:pPr>
        <w:pStyle w:val="ListParagraph"/>
        <w:spacing w:after="360"/>
        <w:jc w:val="center"/>
        <w:rPr>
          <w:b/>
          <w:bCs/>
          <w:lang w:val="es-ES"/>
        </w:rPr>
      </w:pPr>
      <w:r w:rsidRPr="005335AA">
        <w:rPr>
          <w:lang w:val="es-ES"/>
        </w:rPr>
        <w:t xml:space="preserve">(Válidos a partir de la fecha de esta </w:t>
      </w:r>
      <w:r>
        <w:rPr>
          <w:lang w:val="es-ES"/>
        </w:rPr>
        <w:t>Carta Circular</w:t>
      </w:r>
      <w:r w:rsidRPr="005335AA">
        <w:rPr>
          <w:lang w:val="es-ES"/>
        </w:rPr>
        <w:t>)</w:t>
      </w:r>
    </w:p>
    <w:tbl>
      <w:tblPr>
        <w:tblW w:w="7783" w:type="dxa"/>
        <w:tblInd w:w="841" w:type="dxa"/>
        <w:tblCellMar>
          <w:left w:w="0" w:type="dxa"/>
          <w:right w:w="0" w:type="dxa"/>
        </w:tblCellMar>
        <w:tblLook w:val="04A0" w:firstRow="1" w:lastRow="0" w:firstColumn="1" w:lastColumn="0" w:noHBand="0" w:noVBand="1"/>
      </w:tblPr>
      <w:tblGrid>
        <w:gridCol w:w="4098"/>
        <w:gridCol w:w="3685"/>
      </w:tblGrid>
      <w:tr w:rsidR="001927DC" w14:paraId="27B449DA" w14:textId="77777777" w:rsidTr="00683D66">
        <w:trPr>
          <w:trHeight w:val="300"/>
        </w:trPr>
        <w:tc>
          <w:tcPr>
            <w:tcW w:w="409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05E6E3" w14:textId="77777777" w:rsidR="001927DC" w:rsidRPr="001927DC" w:rsidRDefault="001927DC" w:rsidP="001927DC">
            <w:pPr>
              <w:pStyle w:val="Tablehead"/>
              <w:rPr>
                <w:sz w:val="22"/>
              </w:rPr>
            </w:pPr>
            <w:r w:rsidRPr="001927DC">
              <w:rPr>
                <w:sz w:val="22"/>
                <w:lang w:val="es-ES"/>
              </w:rPr>
              <w:t>Atribución del Artículo</w:t>
            </w:r>
            <w:r w:rsidRPr="001927DC">
              <w:rPr>
                <w:sz w:val="22"/>
              </w:rPr>
              <w:t xml:space="preserve"> 5</w:t>
            </w:r>
          </w:p>
        </w:tc>
        <w:tc>
          <w:tcPr>
            <w:tcW w:w="36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7752E8" w14:textId="77777777" w:rsidR="001927DC" w:rsidRPr="001927DC" w:rsidRDefault="001927DC" w:rsidP="001927DC">
            <w:pPr>
              <w:pStyle w:val="Tablehead"/>
              <w:rPr>
                <w:sz w:val="22"/>
              </w:rPr>
            </w:pPr>
            <w:r w:rsidRPr="001927DC">
              <w:rPr>
                <w:sz w:val="22"/>
              </w:rPr>
              <w:t>Clases de estación</w:t>
            </w:r>
          </w:p>
        </w:tc>
      </w:tr>
      <w:tr w:rsidR="001927DC" w:rsidRPr="00F95694" w14:paraId="1F29EA4A"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1F32E" w14:textId="77777777" w:rsidR="001927DC" w:rsidRPr="001927DC" w:rsidRDefault="001927DC" w:rsidP="001927DC">
            <w:pPr>
              <w:pStyle w:val="Tabletext"/>
              <w:rPr>
                <w:sz w:val="22"/>
                <w:lang w:val="es-ES"/>
              </w:rPr>
            </w:pPr>
            <w:r w:rsidRPr="001927DC">
              <w:rPr>
                <w:sz w:val="22"/>
                <w:lang w:val="es-ES"/>
              </w:rPr>
              <w:t>Exploración de la Tierra por satélite sin indicación del sentido de la transmisión</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5B1462" w14:textId="77777777" w:rsidR="001927DC" w:rsidRPr="001927DC" w:rsidRDefault="001927DC" w:rsidP="001927DC">
            <w:pPr>
              <w:pStyle w:val="Tabletext"/>
              <w:rPr>
                <w:sz w:val="22"/>
                <w:lang w:val="es-ES"/>
              </w:rPr>
            </w:pPr>
            <w:r w:rsidRPr="001927DC">
              <w:rPr>
                <w:sz w:val="22"/>
                <w:lang w:val="es-ES"/>
              </w:rPr>
              <w:t xml:space="preserve">E3, E4, EM, EW </w:t>
            </w:r>
            <w:r w:rsidRPr="001927DC">
              <w:rPr>
                <w:sz w:val="22"/>
                <w:lang w:val="es-ES"/>
              </w:rPr>
              <w:br/>
              <w:t>(ED, EK, ER)</w:t>
            </w:r>
          </w:p>
        </w:tc>
      </w:tr>
      <w:tr w:rsidR="001927DC" w14:paraId="306624E0"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0DE7EF" w14:textId="77777777" w:rsidR="001927DC" w:rsidRPr="001927DC" w:rsidRDefault="001927DC" w:rsidP="001927DC">
            <w:pPr>
              <w:pStyle w:val="Tabletext"/>
              <w:rPr>
                <w:sz w:val="22"/>
                <w:lang w:val="es-ES"/>
              </w:rPr>
            </w:pPr>
            <w:r w:rsidRPr="001927DC">
              <w:rPr>
                <w:sz w:val="22"/>
                <w:lang w:val="es-ES"/>
              </w:rPr>
              <w:t>Exploración de la Tierra por satélite (Tierra-espacio)</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78780" w14:textId="77777777" w:rsidR="001927DC" w:rsidRPr="001927DC" w:rsidRDefault="001927DC" w:rsidP="001927DC">
            <w:pPr>
              <w:pStyle w:val="Tabletext"/>
              <w:rPr>
                <w:sz w:val="22"/>
              </w:rPr>
            </w:pPr>
            <w:r w:rsidRPr="001927DC">
              <w:rPr>
                <w:sz w:val="22"/>
              </w:rPr>
              <w:t xml:space="preserve">EM, EW </w:t>
            </w:r>
            <w:r w:rsidRPr="001927DC">
              <w:rPr>
                <w:sz w:val="22"/>
              </w:rPr>
              <w:br/>
              <w:t>(ED, EK)</w:t>
            </w:r>
          </w:p>
        </w:tc>
      </w:tr>
      <w:tr w:rsidR="001927DC" w14:paraId="7E044DA2"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16417" w14:textId="77777777" w:rsidR="001927DC" w:rsidRPr="001927DC" w:rsidRDefault="001927DC" w:rsidP="001927DC">
            <w:pPr>
              <w:pStyle w:val="Tabletext"/>
              <w:rPr>
                <w:sz w:val="22"/>
                <w:lang w:val="es-ES"/>
              </w:rPr>
            </w:pPr>
            <w:r w:rsidRPr="001927DC">
              <w:rPr>
                <w:sz w:val="22"/>
                <w:lang w:val="es-ES"/>
              </w:rPr>
              <w:t>Exploración de la Tierra por satélite (espacio-Tierra)</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89A178" w14:textId="77777777" w:rsidR="001927DC" w:rsidRPr="001927DC" w:rsidRDefault="001927DC" w:rsidP="001927DC">
            <w:pPr>
              <w:pStyle w:val="Tabletext"/>
              <w:rPr>
                <w:sz w:val="22"/>
              </w:rPr>
            </w:pPr>
            <w:r w:rsidRPr="001927DC">
              <w:rPr>
                <w:sz w:val="22"/>
              </w:rPr>
              <w:t>EM, EW</w:t>
            </w:r>
            <w:r w:rsidRPr="001927DC">
              <w:rPr>
                <w:sz w:val="22"/>
              </w:rPr>
              <w:br/>
              <w:t xml:space="preserve">(EK, ER) </w:t>
            </w:r>
          </w:p>
        </w:tc>
      </w:tr>
      <w:tr w:rsidR="001927DC" w14:paraId="7F184287"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34647" w14:textId="77777777" w:rsidR="001927DC" w:rsidRPr="001927DC" w:rsidRDefault="001927DC" w:rsidP="001927DC">
            <w:pPr>
              <w:pStyle w:val="Tabletext"/>
              <w:rPr>
                <w:sz w:val="22"/>
                <w:lang w:val="es-ES"/>
              </w:rPr>
            </w:pPr>
            <w:r w:rsidRPr="001927DC">
              <w:rPr>
                <w:sz w:val="22"/>
                <w:lang w:val="es-ES"/>
              </w:rPr>
              <w:t>Exploración de la Tierra por satélite (espacio-espacio)</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BC02D" w14:textId="77777777" w:rsidR="001927DC" w:rsidRPr="001927DC" w:rsidRDefault="001927DC" w:rsidP="001927DC">
            <w:pPr>
              <w:pStyle w:val="Tabletext"/>
              <w:rPr>
                <w:sz w:val="22"/>
              </w:rPr>
            </w:pPr>
            <w:r w:rsidRPr="001927DC">
              <w:rPr>
                <w:sz w:val="22"/>
              </w:rPr>
              <w:t>EM, EW</w:t>
            </w:r>
            <w:r w:rsidRPr="001927DC">
              <w:rPr>
                <w:sz w:val="22"/>
              </w:rPr>
              <w:br/>
              <w:t xml:space="preserve">(ED, EK, ER) </w:t>
            </w:r>
          </w:p>
        </w:tc>
      </w:tr>
      <w:tr w:rsidR="001927DC" w14:paraId="0CF8C9D0"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BD407C" w14:textId="77777777" w:rsidR="001927DC" w:rsidRPr="001927DC" w:rsidRDefault="001927DC" w:rsidP="001927DC">
            <w:pPr>
              <w:pStyle w:val="Tabletext"/>
              <w:rPr>
                <w:sz w:val="22"/>
                <w:lang w:val="es-ES"/>
              </w:rPr>
            </w:pPr>
            <w:r w:rsidRPr="001927DC">
              <w:rPr>
                <w:sz w:val="22"/>
                <w:lang w:val="es-ES"/>
              </w:rPr>
              <w:t>Exploración de la Tierra por satélite (pasivo)</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5FB03C" w14:textId="77777777" w:rsidR="001927DC" w:rsidRPr="001927DC" w:rsidRDefault="001927DC" w:rsidP="001927DC">
            <w:pPr>
              <w:pStyle w:val="Tabletext"/>
              <w:rPr>
                <w:sz w:val="22"/>
              </w:rPr>
            </w:pPr>
            <w:r w:rsidRPr="001927DC">
              <w:rPr>
                <w:sz w:val="22"/>
              </w:rPr>
              <w:t xml:space="preserve">E4 </w:t>
            </w:r>
          </w:p>
        </w:tc>
      </w:tr>
      <w:tr w:rsidR="001927DC" w14:paraId="01FE8FAB"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2E623" w14:textId="77777777" w:rsidR="001927DC" w:rsidRPr="001927DC" w:rsidRDefault="001927DC" w:rsidP="001927DC">
            <w:pPr>
              <w:pStyle w:val="Tabletext"/>
              <w:rPr>
                <w:sz w:val="22"/>
                <w:lang w:val="es-ES"/>
              </w:rPr>
            </w:pPr>
            <w:r w:rsidRPr="001927DC">
              <w:rPr>
                <w:sz w:val="22"/>
                <w:lang w:val="es-ES"/>
              </w:rPr>
              <w:t>Exploración de la Tierra por satélite (activo)</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3A1AF" w14:textId="77777777" w:rsidR="001927DC" w:rsidRPr="001927DC" w:rsidRDefault="001927DC" w:rsidP="001927DC">
            <w:pPr>
              <w:pStyle w:val="Tabletext"/>
              <w:rPr>
                <w:sz w:val="22"/>
              </w:rPr>
            </w:pPr>
            <w:r w:rsidRPr="001927DC">
              <w:rPr>
                <w:sz w:val="22"/>
              </w:rPr>
              <w:t xml:space="preserve">E3 </w:t>
            </w:r>
          </w:p>
        </w:tc>
      </w:tr>
      <w:tr w:rsidR="001927DC" w14:paraId="1F5BD2A6"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DA457A" w14:textId="77777777" w:rsidR="001927DC" w:rsidRPr="001927DC" w:rsidRDefault="001927DC" w:rsidP="001927DC">
            <w:pPr>
              <w:pStyle w:val="Tabletext"/>
              <w:rPr>
                <w:sz w:val="22"/>
              </w:rPr>
            </w:pPr>
            <w:r w:rsidRPr="001927DC">
              <w:rPr>
                <w:sz w:val="22"/>
              </w:rPr>
              <w:t>Meteorología por satélite</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A80F32" w14:textId="77777777" w:rsidR="001927DC" w:rsidRPr="001927DC" w:rsidRDefault="001927DC" w:rsidP="001927DC">
            <w:pPr>
              <w:pStyle w:val="Tabletext"/>
              <w:rPr>
                <w:sz w:val="22"/>
              </w:rPr>
            </w:pPr>
            <w:r w:rsidRPr="001927DC">
              <w:rPr>
                <w:sz w:val="22"/>
              </w:rPr>
              <w:t xml:space="preserve">EM </w:t>
            </w:r>
            <w:r w:rsidRPr="001927DC">
              <w:rPr>
                <w:sz w:val="22"/>
              </w:rPr>
              <w:br/>
              <w:t>(ED, EK, ER)</w:t>
            </w:r>
          </w:p>
        </w:tc>
      </w:tr>
      <w:tr w:rsidR="001927DC" w:rsidRPr="00F95694" w14:paraId="57CBEF4D"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CE9D9" w14:textId="77777777" w:rsidR="001927DC" w:rsidRPr="001927DC" w:rsidRDefault="001927DC" w:rsidP="001927DC">
            <w:pPr>
              <w:pStyle w:val="Tabletext"/>
              <w:rPr>
                <w:sz w:val="22"/>
                <w:lang w:val="es-ES"/>
              </w:rPr>
            </w:pPr>
            <w:r w:rsidRPr="001927DC">
              <w:rPr>
                <w:sz w:val="22"/>
                <w:lang w:val="es-ES"/>
              </w:rPr>
              <w:t>Investigación especial sin indicación del sentido de la transmisión</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93DE82" w14:textId="77777777" w:rsidR="001927DC" w:rsidRPr="001927DC" w:rsidRDefault="001927DC" w:rsidP="001927DC">
            <w:pPr>
              <w:pStyle w:val="Tabletext"/>
              <w:rPr>
                <w:sz w:val="22"/>
                <w:lang w:val="es-ES"/>
              </w:rPr>
            </w:pPr>
            <w:r w:rsidRPr="001927DC">
              <w:rPr>
                <w:sz w:val="22"/>
                <w:lang w:val="es-ES"/>
              </w:rPr>
              <w:t xml:space="preserve">E1, E2, EH </w:t>
            </w:r>
            <w:r w:rsidRPr="001927DC">
              <w:rPr>
                <w:sz w:val="22"/>
                <w:lang w:val="es-ES"/>
              </w:rPr>
              <w:br/>
              <w:t>(ED, EK, ER)</w:t>
            </w:r>
          </w:p>
        </w:tc>
      </w:tr>
      <w:tr w:rsidR="001927DC" w14:paraId="1E843B1A"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A84127" w14:textId="77777777" w:rsidR="001927DC" w:rsidRPr="001927DC" w:rsidRDefault="001927DC" w:rsidP="001927DC">
            <w:pPr>
              <w:pStyle w:val="Tabletext"/>
              <w:rPr>
                <w:sz w:val="22"/>
              </w:rPr>
            </w:pPr>
            <w:proofErr w:type="spellStart"/>
            <w:r w:rsidRPr="001927DC">
              <w:rPr>
                <w:sz w:val="22"/>
              </w:rPr>
              <w:t>Investigación</w:t>
            </w:r>
            <w:proofErr w:type="spellEnd"/>
            <w:r w:rsidRPr="001927DC">
              <w:rPr>
                <w:sz w:val="22"/>
              </w:rPr>
              <w:t xml:space="preserve"> </w:t>
            </w:r>
            <w:proofErr w:type="spellStart"/>
            <w:r w:rsidRPr="001927DC">
              <w:rPr>
                <w:sz w:val="22"/>
              </w:rPr>
              <w:t>espacial</w:t>
            </w:r>
            <w:proofErr w:type="spellEnd"/>
            <w:r w:rsidRPr="001927DC">
              <w:rPr>
                <w:sz w:val="22"/>
              </w:rPr>
              <w:t xml:space="preserve"> (Tierra-</w:t>
            </w:r>
            <w:proofErr w:type="spellStart"/>
            <w:r w:rsidRPr="001927DC">
              <w:rPr>
                <w:sz w:val="22"/>
              </w:rPr>
              <w:t>espacio</w:t>
            </w:r>
            <w:proofErr w:type="spellEnd"/>
            <w:r w:rsidRPr="001927DC">
              <w:rPr>
                <w:sz w:val="22"/>
              </w:rPr>
              <w:t>)</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84963" w14:textId="77777777" w:rsidR="001927DC" w:rsidRPr="001927DC" w:rsidRDefault="001927DC" w:rsidP="001927DC">
            <w:pPr>
              <w:pStyle w:val="Tabletext"/>
              <w:rPr>
                <w:sz w:val="22"/>
              </w:rPr>
            </w:pPr>
            <w:r w:rsidRPr="001927DC">
              <w:rPr>
                <w:sz w:val="22"/>
              </w:rPr>
              <w:t xml:space="preserve">EH </w:t>
            </w:r>
            <w:r w:rsidRPr="001927DC">
              <w:rPr>
                <w:sz w:val="22"/>
              </w:rPr>
              <w:br/>
              <w:t>(ED, EK)</w:t>
            </w:r>
          </w:p>
        </w:tc>
      </w:tr>
      <w:tr w:rsidR="001927DC" w14:paraId="7AD784A7"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C09A5" w14:textId="77777777" w:rsidR="001927DC" w:rsidRPr="001927DC" w:rsidRDefault="001927DC" w:rsidP="001927DC">
            <w:pPr>
              <w:pStyle w:val="Tabletext"/>
              <w:rPr>
                <w:sz w:val="22"/>
              </w:rPr>
            </w:pPr>
            <w:r w:rsidRPr="001927DC">
              <w:rPr>
                <w:sz w:val="22"/>
              </w:rPr>
              <w:t>Investigación espacial (espacio-Tierra)</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6AD770" w14:textId="77777777" w:rsidR="001927DC" w:rsidRPr="001927DC" w:rsidRDefault="001927DC" w:rsidP="001927DC">
            <w:pPr>
              <w:pStyle w:val="Tabletext"/>
              <w:rPr>
                <w:sz w:val="22"/>
              </w:rPr>
            </w:pPr>
            <w:r w:rsidRPr="001927DC">
              <w:rPr>
                <w:sz w:val="22"/>
              </w:rPr>
              <w:t xml:space="preserve">EH </w:t>
            </w:r>
            <w:r w:rsidRPr="001927DC">
              <w:rPr>
                <w:sz w:val="22"/>
              </w:rPr>
              <w:br/>
              <w:t>(EK, ER)</w:t>
            </w:r>
          </w:p>
        </w:tc>
      </w:tr>
      <w:tr w:rsidR="001927DC" w14:paraId="0D36294C"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8F7E0" w14:textId="77777777" w:rsidR="001927DC" w:rsidRPr="001927DC" w:rsidRDefault="001927DC" w:rsidP="001927DC">
            <w:pPr>
              <w:pStyle w:val="Tabletext"/>
              <w:rPr>
                <w:sz w:val="22"/>
                <w:lang w:val="es-ES"/>
              </w:rPr>
            </w:pPr>
            <w:r w:rsidRPr="001927DC">
              <w:rPr>
                <w:sz w:val="22"/>
                <w:lang w:val="es-ES"/>
              </w:rPr>
              <w:t>Investigación espacial (espacio-espacio)</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1A1F79" w14:textId="77777777" w:rsidR="001927DC" w:rsidRPr="001927DC" w:rsidRDefault="001927DC" w:rsidP="001927DC">
            <w:pPr>
              <w:pStyle w:val="Tabletext"/>
              <w:rPr>
                <w:sz w:val="22"/>
              </w:rPr>
            </w:pPr>
            <w:r w:rsidRPr="001927DC">
              <w:rPr>
                <w:sz w:val="22"/>
              </w:rPr>
              <w:t xml:space="preserve">EH </w:t>
            </w:r>
            <w:r w:rsidRPr="001927DC">
              <w:rPr>
                <w:sz w:val="22"/>
              </w:rPr>
              <w:br/>
              <w:t>(ED, EK, ER)</w:t>
            </w:r>
          </w:p>
        </w:tc>
      </w:tr>
      <w:tr w:rsidR="001927DC" w14:paraId="18E1EB8B"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DAEEE5" w14:textId="77777777" w:rsidR="001927DC" w:rsidRPr="001927DC" w:rsidRDefault="001927DC" w:rsidP="001927DC">
            <w:pPr>
              <w:pStyle w:val="Tabletext"/>
              <w:rPr>
                <w:sz w:val="22"/>
              </w:rPr>
            </w:pPr>
            <w:r w:rsidRPr="001927DC">
              <w:rPr>
                <w:sz w:val="22"/>
              </w:rPr>
              <w:t>Investigación espacial (pasivo)</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BC06C" w14:textId="77777777" w:rsidR="001927DC" w:rsidRPr="001927DC" w:rsidRDefault="001927DC" w:rsidP="001927DC">
            <w:pPr>
              <w:pStyle w:val="Tabletext"/>
              <w:rPr>
                <w:sz w:val="22"/>
              </w:rPr>
            </w:pPr>
            <w:r w:rsidRPr="001927DC">
              <w:rPr>
                <w:sz w:val="22"/>
              </w:rPr>
              <w:t xml:space="preserve">E2 </w:t>
            </w:r>
          </w:p>
        </w:tc>
      </w:tr>
      <w:tr w:rsidR="001927DC" w14:paraId="31BC8823" w14:textId="77777777" w:rsidTr="00683D66">
        <w:trPr>
          <w:trHeight w:val="300"/>
        </w:trPr>
        <w:tc>
          <w:tcPr>
            <w:tcW w:w="40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5F429" w14:textId="77777777" w:rsidR="001927DC" w:rsidRPr="001927DC" w:rsidRDefault="001927DC" w:rsidP="001927DC">
            <w:pPr>
              <w:pStyle w:val="Tabletext"/>
              <w:rPr>
                <w:sz w:val="22"/>
                <w:lang w:val="es-ES"/>
              </w:rPr>
            </w:pPr>
            <w:r w:rsidRPr="001927DC">
              <w:rPr>
                <w:sz w:val="22"/>
                <w:lang w:val="es-ES"/>
              </w:rPr>
              <w:t>Investigación espacial (activo)</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4995F" w14:textId="77777777" w:rsidR="001927DC" w:rsidRPr="001927DC" w:rsidRDefault="001927DC" w:rsidP="001927DC">
            <w:pPr>
              <w:pStyle w:val="Tabletext"/>
              <w:rPr>
                <w:sz w:val="22"/>
              </w:rPr>
            </w:pPr>
            <w:r w:rsidRPr="001927DC">
              <w:rPr>
                <w:sz w:val="22"/>
              </w:rPr>
              <w:t xml:space="preserve">E1 </w:t>
            </w:r>
          </w:p>
        </w:tc>
      </w:tr>
    </w:tbl>
    <w:p w14:paraId="04A13FA2" w14:textId="77777777" w:rsidR="001927DC" w:rsidRPr="0033029C" w:rsidRDefault="001927DC" w:rsidP="00FE4822">
      <w:pPr>
        <w:spacing w:before="0" w:line="240" w:lineRule="auto"/>
        <w:jc w:val="left"/>
        <w:rPr>
          <w:rFonts w:asciiTheme="minorHAnsi" w:hAnsiTheme="minorHAnsi" w:cstheme="minorHAnsi"/>
          <w:szCs w:val="24"/>
          <w:lang w:val="es-ES"/>
        </w:rPr>
      </w:pPr>
    </w:p>
    <w:sectPr w:rsidR="001927DC" w:rsidRPr="0033029C" w:rsidSect="00031E64">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562A0" w14:textId="77777777" w:rsidR="001927DC" w:rsidRDefault="001927DC">
      <w:r>
        <w:separator/>
      </w:r>
    </w:p>
  </w:endnote>
  <w:endnote w:type="continuationSeparator" w:id="0">
    <w:p w14:paraId="6F80A670" w14:textId="77777777" w:rsidR="001927DC" w:rsidRDefault="001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0AA50" w14:textId="77777777" w:rsidR="00F95694" w:rsidRDefault="00F95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F57D1" w14:textId="77777777" w:rsidR="00F95694" w:rsidRDefault="00F956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464B7" w14:textId="77777777"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400B3" w14:textId="77777777" w:rsidR="001927DC" w:rsidRDefault="001927DC">
      <w:r>
        <w:t>____________________</w:t>
      </w:r>
    </w:p>
  </w:footnote>
  <w:footnote w:type="continuationSeparator" w:id="0">
    <w:p w14:paraId="5CA26E0D" w14:textId="77777777" w:rsidR="001927DC" w:rsidRDefault="00192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283B"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30BA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4DBDA" w14:textId="77777777" w:rsidR="001927DC" w:rsidRPr="00D239B4" w:rsidRDefault="001927DC" w:rsidP="001927DC">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230BAF">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F95694" w:rsidRPr="00F95694" w14:paraId="6D27F114" w14:textId="77777777" w:rsidTr="00C619C8">
      <w:tc>
        <w:tcPr>
          <w:tcW w:w="4792" w:type="dxa"/>
          <w:tcMar>
            <w:left w:w="0" w:type="dxa"/>
          </w:tcMar>
        </w:tcPr>
        <w:p w14:paraId="12DB10CE" w14:textId="77777777" w:rsidR="00F95694" w:rsidRPr="00F95694" w:rsidRDefault="00F95694" w:rsidP="00F95694">
          <w:pPr>
            <w:tabs>
              <w:tab w:val="clear" w:pos="1191"/>
              <w:tab w:val="clear" w:pos="1588"/>
              <w:tab w:val="clear" w:pos="1985"/>
              <w:tab w:val="center" w:pos="4820"/>
              <w:tab w:val="center" w:pos="9639"/>
            </w:tabs>
            <w:spacing w:before="120" w:line="360" w:lineRule="auto"/>
            <w:jc w:val="left"/>
          </w:pPr>
          <w:r w:rsidRPr="00F95694">
            <w:rPr>
              <w:noProof/>
              <w:color w:val="3399FF"/>
              <w:lang w:val="en-GB" w:eastAsia="zh-CN"/>
            </w:rPr>
            <w:drawing>
              <wp:inline distT="0" distB="0" distL="0" distR="0" wp14:anchorId="30588A85" wp14:editId="4FC6ECB4">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14:paraId="792074A6" w14:textId="77777777" w:rsidR="00F95694" w:rsidRPr="00F95694" w:rsidRDefault="00F95694" w:rsidP="00F95694">
          <w:pPr>
            <w:tabs>
              <w:tab w:val="clear" w:pos="1191"/>
              <w:tab w:val="clear" w:pos="1588"/>
              <w:tab w:val="clear" w:pos="1985"/>
              <w:tab w:val="center" w:pos="4820"/>
              <w:tab w:val="center" w:pos="9639"/>
            </w:tabs>
            <w:spacing w:before="240" w:line="360" w:lineRule="auto"/>
            <w:jc w:val="right"/>
          </w:pPr>
          <w:r w:rsidRPr="00F95694">
            <w:rPr>
              <w:noProof/>
              <w:lang w:val="en-GB" w:eastAsia="zh-CN"/>
            </w:rPr>
            <w:drawing>
              <wp:inline distT="0" distB="0" distL="0" distR="0" wp14:anchorId="1D738DCF" wp14:editId="7513FE8F">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2F4E7369" w14:textId="77777777"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927D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6C2F"/>
    <w:rsid w:val="00117282"/>
    <w:rsid w:val="00117389"/>
    <w:rsid w:val="00121C2D"/>
    <w:rsid w:val="00134404"/>
    <w:rsid w:val="00144DFB"/>
    <w:rsid w:val="00187CA3"/>
    <w:rsid w:val="001927DC"/>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BAF"/>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977B7"/>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2E35"/>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029F"/>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01A5"/>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2CB4"/>
    <w:rsid w:val="00F8310E"/>
    <w:rsid w:val="00F914DD"/>
    <w:rsid w:val="00F95694"/>
    <w:rsid w:val="00FA2358"/>
    <w:rsid w:val="00FB2592"/>
    <w:rsid w:val="00FB2810"/>
    <w:rsid w:val="00FB7A2C"/>
    <w:rsid w:val="00FC2947"/>
    <w:rsid w:val="00FC2C2B"/>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919E08"/>
  <w15:docId w15:val="{8E797E5A-7085-4145-894D-CE2A1DE1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uiPriority w:val="99"/>
    <w:rsid w:val="001B3D4D"/>
    <w:rPr>
      <w:sz w:val="24"/>
      <w:szCs w:val="22"/>
      <w:lang w:val="en-US" w:eastAsia="en-US"/>
    </w:rPr>
  </w:style>
  <w:style w:type="character" w:styleId="FollowedHyperlink">
    <w:name w:val="FollowedHyperlink"/>
    <w:basedOn w:val="DefaultParagraphFont"/>
    <w:semiHidden/>
    <w:unhideWhenUsed/>
    <w:rsid w:val="001927DC"/>
    <w:rPr>
      <w:color w:val="800080" w:themeColor="followedHyperlink"/>
      <w:u w:val="single"/>
    </w:rPr>
  </w:style>
  <w:style w:type="table" w:customStyle="1" w:styleId="TableGrid1">
    <w:name w:val="Table Grid1"/>
    <w:basedOn w:val="TableNormal"/>
    <w:next w:val="TableGrid"/>
    <w:rsid w:val="00A702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5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256/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635F-94CD-4DF4-8984-11E0D409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3</Pages>
  <Words>798</Words>
  <Characters>4371</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BR</cp:lastModifiedBy>
  <cp:revision>2</cp:revision>
  <cp:lastPrinted>2019-11-28T12:31:00Z</cp:lastPrinted>
  <dcterms:created xsi:type="dcterms:W3CDTF">2019-11-29T13:02:00Z</dcterms:created>
  <dcterms:modified xsi:type="dcterms:W3CDTF">2019-11-29T13:02:00Z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