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1029ED1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0B8FB93" w14:textId="77777777" w:rsidR="00E53DCE" w:rsidRDefault="00A96D3A" w:rsidP="00036114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6398267E" w14:textId="77777777" w:rsidR="00E53DCE" w:rsidRDefault="00E53DCE" w:rsidP="00036114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F09A5C9" w14:textId="77777777" w:rsidR="00E53DCE" w:rsidRPr="00AF70DA" w:rsidRDefault="00E53DCE" w:rsidP="00036114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1627EC2D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3790909" w14:textId="76A1D465" w:rsidR="00E53DCE" w:rsidRPr="001B3D4D" w:rsidRDefault="001B3D4D" w:rsidP="00036114">
            <w:pPr>
              <w:spacing w:before="0"/>
              <w:jc w:val="left"/>
              <w:rPr>
                <w:szCs w:val="24"/>
                <w:lang w:val="es-ES"/>
              </w:rPr>
            </w:pPr>
            <w:bookmarkStart w:id="0" w:name="_GoBack"/>
            <w:bookmarkEnd w:id="0"/>
            <w:r w:rsidRPr="0075124D">
              <w:rPr>
                <w:lang w:val="es-ES_tradnl"/>
              </w:rPr>
              <w:t>Carta Circular</w:t>
            </w:r>
          </w:p>
          <w:p w14:paraId="455C5FE8" w14:textId="68E9E54F" w:rsidR="00E53DCE" w:rsidRPr="001B3D4D" w:rsidRDefault="001B3D4D" w:rsidP="00036114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</w:t>
            </w:r>
            <w:r w:rsidR="00CE559B">
              <w:rPr>
                <w:b/>
                <w:bCs/>
                <w:szCs w:val="24"/>
                <w:lang w:val="es-ES"/>
              </w:rPr>
              <w:t>R</w:t>
            </w:r>
            <w:r w:rsidRPr="001B3D4D">
              <w:rPr>
                <w:b/>
                <w:bCs/>
                <w:szCs w:val="24"/>
                <w:lang w:val="es-ES"/>
              </w:rPr>
              <w:t>/</w:t>
            </w:r>
            <w:r w:rsidR="00CE559B">
              <w:rPr>
                <w:b/>
                <w:bCs/>
                <w:szCs w:val="24"/>
                <w:lang w:val="es-ES"/>
              </w:rPr>
              <w:t>455</w:t>
            </w:r>
          </w:p>
        </w:tc>
        <w:tc>
          <w:tcPr>
            <w:tcW w:w="2835" w:type="dxa"/>
            <w:shd w:val="clear" w:color="auto" w:fill="auto"/>
          </w:tcPr>
          <w:p w14:paraId="03D8259F" w14:textId="3DA93826" w:rsidR="00E53DCE" w:rsidRPr="002B7EE0" w:rsidRDefault="00CE559B" w:rsidP="00036114">
            <w:pPr>
              <w:spacing w:before="0"/>
              <w:jc w:val="right"/>
              <w:rPr>
                <w:szCs w:val="24"/>
                <w:lang w:val="fr-FR"/>
              </w:rPr>
            </w:pPr>
            <w:r>
              <w:rPr>
                <w:bCs/>
                <w:szCs w:val="24"/>
                <w:lang w:val="fr-FR"/>
              </w:rPr>
              <w:t>2</w:t>
            </w:r>
            <w:r w:rsidR="00277DFF">
              <w:rPr>
                <w:bCs/>
                <w:szCs w:val="24"/>
                <w:lang w:val="fr-FR"/>
              </w:rPr>
              <w:t>1</w:t>
            </w:r>
            <w:r w:rsidR="00A96D3A" w:rsidRPr="002B7EE0">
              <w:rPr>
                <w:bCs/>
                <w:szCs w:val="24"/>
                <w:lang w:val="fr-FR"/>
              </w:rPr>
              <w:t xml:space="preserve"> de </w:t>
            </w:r>
            <w:r>
              <w:rPr>
                <w:bCs/>
                <w:szCs w:val="24"/>
                <w:lang w:val="fr-FR"/>
              </w:rPr>
              <w:t>febrero</w:t>
            </w:r>
            <w:r w:rsidR="00A96D3A" w:rsidRPr="002B7EE0">
              <w:rPr>
                <w:bCs/>
                <w:szCs w:val="24"/>
                <w:lang w:val="fr-FR"/>
              </w:rPr>
              <w:t xml:space="preserve"> de 20</w:t>
            </w:r>
            <w:r w:rsidR="002B7EE0" w:rsidRPr="002B7EE0">
              <w:rPr>
                <w:bCs/>
                <w:szCs w:val="24"/>
                <w:lang w:val="fr-FR"/>
              </w:rPr>
              <w:t>20</w:t>
            </w:r>
          </w:p>
        </w:tc>
      </w:tr>
      <w:tr w:rsidR="00E53DCE" w:rsidRPr="0033029C" w14:paraId="49B5E55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C42A8" w14:textId="77777777" w:rsidR="00E53DCE" w:rsidRPr="0033029C" w:rsidRDefault="00E53DCE" w:rsidP="00036114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14:paraId="7ECF111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22D4C25" w14:textId="77777777" w:rsidR="00E53DCE" w:rsidRPr="0033029C" w:rsidRDefault="00E53DCE" w:rsidP="00036114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154A8B" w14:paraId="2F797CA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CF7D8A" w14:textId="77777777" w:rsidR="00E53DCE" w:rsidRPr="0033029C" w:rsidRDefault="00FE4822" w:rsidP="00036114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</w:p>
          <w:p w14:paraId="7B0FFD68" w14:textId="77777777" w:rsidR="00E53DCE" w:rsidRPr="0033029C" w:rsidRDefault="00E53DCE" w:rsidP="00036114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154A8B" w14:paraId="1E767A2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2B03F3A" w14:textId="77777777" w:rsidR="00E53DCE" w:rsidRPr="0033029C" w:rsidRDefault="00E53DCE" w:rsidP="00036114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154A8B" w14:paraId="74A249F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37E03D" w14:textId="77777777" w:rsidR="00E53DCE" w:rsidRPr="0033029C" w:rsidRDefault="00E53DCE" w:rsidP="00036114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154A8B" w14:paraId="00344B56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0FD7A34" w14:textId="77777777" w:rsidR="00E53DCE" w:rsidRPr="0033029C" w:rsidRDefault="00311970" w:rsidP="0003611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745EA24" w14:textId="6633AFA8" w:rsidR="00E53DCE" w:rsidRPr="00CE559B" w:rsidRDefault="00CE559B" w:rsidP="001A6A5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  <w:r w:rsidRPr="00CE559B">
              <w:rPr>
                <w:b/>
                <w:bCs/>
                <w:szCs w:val="24"/>
                <w:lang w:val="es-ES_tradnl"/>
              </w:rPr>
              <w:t>Aplicación de la Resolución 559 [COM5/3] (</w:t>
            </w:r>
            <w:r w:rsidR="001A6A51">
              <w:rPr>
                <w:b/>
                <w:bCs/>
                <w:szCs w:val="24"/>
                <w:lang w:val="es-ES_tradnl"/>
              </w:rPr>
              <w:t>CMR-19</w:t>
            </w:r>
            <w:r w:rsidRPr="00CE559B">
              <w:rPr>
                <w:b/>
                <w:bCs/>
                <w:szCs w:val="24"/>
                <w:lang w:val="es-ES_tradnl"/>
              </w:rPr>
              <w:t>) </w:t>
            </w:r>
          </w:p>
        </w:tc>
      </w:tr>
      <w:tr w:rsidR="00E53DCE" w:rsidRPr="00154A8B" w14:paraId="7A0AB2C2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13AD710" w14:textId="77777777" w:rsidR="00E53DCE" w:rsidRPr="00CE559B" w:rsidRDefault="00E53DCE" w:rsidP="0003611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9598330" w14:textId="77777777" w:rsidR="00E53DCE" w:rsidRPr="00CE559B" w:rsidRDefault="00E53DCE" w:rsidP="0003611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154A8B" w14:paraId="5F8D155B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778B318" w14:textId="77777777" w:rsidR="00E53DCE" w:rsidRPr="00CE559B" w:rsidRDefault="00E53DCE" w:rsidP="0003611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C7B4183" w14:textId="77777777" w:rsidR="00E53DCE" w:rsidRPr="00CE559B" w:rsidRDefault="00E53DCE" w:rsidP="0003611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154A8B" w14:paraId="3D70FBB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792AEF" w14:textId="77777777" w:rsidR="00E53DCE" w:rsidRPr="00CE559B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154A8B" w14:paraId="6C57045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75CD70" w14:textId="77777777" w:rsidR="00E53DCE" w:rsidRPr="00CE559B" w:rsidRDefault="00E53DCE" w:rsidP="00036114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14:paraId="4D062608" w14:textId="24D55161" w:rsidR="00CE559B" w:rsidRPr="00933AA4" w:rsidRDefault="00CE559B" w:rsidP="00F07C8A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line="240" w:lineRule="auto"/>
        <w:textAlignment w:val="auto"/>
        <w:rPr>
          <w:rFonts w:asciiTheme="minorHAnsi" w:eastAsia="SimSun" w:hAnsiTheme="minorHAnsi" w:cstheme="minorHAnsi"/>
          <w:szCs w:val="24"/>
          <w:lang w:val="es-ES_tradnl" w:eastAsia="zh-CN"/>
        </w:rPr>
      </w:pPr>
      <w:r>
        <w:rPr>
          <w:rFonts w:asciiTheme="minorHAnsi" w:eastAsia="SimSun" w:hAnsiTheme="minorHAnsi" w:cstheme="minorHAnsi"/>
          <w:szCs w:val="24"/>
          <w:lang w:val="es-ES_tradnl" w:eastAsia="zh-CN"/>
        </w:rPr>
        <w:t>En la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 Conferencia Mundial de Radiocomunicaciones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 xml:space="preserve"> celebrada en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 Sharm el-Sheikh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 xml:space="preserve"> en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 2019 (</w:t>
      </w:r>
      <w:r w:rsidRPr="00392D03">
        <w:rPr>
          <w:rFonts w:asciiTheme="minorHAnsi" w:eastAsia="SimSun" w:hAnsiTheme="minorHAnsi" w:cstheme="minorHAnsi"/>
          <w:b/>
          <w:bCs/>
          <w:szCs w:val="24"/>
          <w:lang w:val="es-ES_tradnl" w:eastAsia="zh-CN"/>
        </w:rPr>
        <w:t>CMR</w:t>
      </w:r>
      <w:r>
        <w:rPr>
          <w:rFonts w:asciiTheme="minorHAnsi" w:eastAsia="SimSun" w:hAnsiTheme="minorHAnsi" w:cstheme="minorHAnsi"/>
          <w:b/>
          <w:bCs/>
          <w:szCs w:val="24"/>
          <w:lang w:val="es-ES_tradnl" w:eastAsia="zh-CN"/>
        </w:rPr>
        <w:noBreakHyphen/>
      </w:r>
      <w:r w:rsidRPr="00392D03">
        <w:rPr>
          <w:rFonts w:asciiTheme="minorHAnsi" w:eastAsia="SimSun" w:hAnsiTheme="minorHAnsi" w:cstheme="minorHAnsi"/>
          <w:b/>
          <w:bCs/>
          <w:szCs w:val="24"/>
          <w:lang w:val="es-ES_tradnl" w:eastAsia="zh-CN"/>
        </w:rPr>
        <w:t>19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)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 xml:space="preserve">se aprobó la revisión 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del Anexo 7 del Apéndice </w:t>
      </w:r>
      <w:r w:rsidRPr="00392D03">
        <w:rPr>
          <w:rFonts w:asciiTheme="minorHAnsi" w:eastAsia="SimSun" w:hAnsiTheme="minorHAnsi" w:cstheme="minorHAnsi"/>
          <w:b/>
          <w:bCs/>
          <w:szCs w:val="24"/>
          <w:lang w:val="es-ES_tradnl" w:eastAsia="zh-CN"/>
        </w:rPr>
        <w:t>30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, incluida la supresión de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determinadas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 limitaciones de posición orbital.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La versión revisada del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 Anexo 7 entró en vigor el 23 de noviembre de 2019 y figura en el Apéndice </w:t>
      </w:r>
      <w:r w:rsidRPr="00933AA4">
        <w:rPr>
          <w:rFonts w:asciiTheme="minorHAnsi" w:eastAsia="SimSun" w:hAnsiTheme="minorHAnsi" w:cstheme="minorHAnsi"/>
          <w:b/>
          <w:bCs/>
          <w:szCs w:val="24"/>
          <w:lang w:val="es-ES_tradnl" w:eastAsia="zh-CN"/>
        </w:rPr>
        <w:t>30 (Rev.CMR-19)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>.</w:t>
      </w:r>
    </w:p>
    <w:p w14:paraId="7FEDDAF7" w14:textId="77777777" w:rsidR="00CE559B" w:rsidRPr="00933AA4" w:rsidRDefault="00CE559B" w:rsidP="00F07C8A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line="240" w:lineRule="auto"/>
        <w:textAlignment w:val="auto"/>
        <w:rPr>
          <w:rFonts w:asciiTheme="minorHAnsi" w:eastAsia="SimSun" w:hAnsiTheme="minorHAnsi" w:cstheme="minorHAnsi"/>
          <w:szCs w:val="24"/>
          <w:lang w:val="es-ES_tradnl" w:eastAsia="zh-CN"/>
        </w:rPr>
      </w:pP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>Los arcos de órbita de satélite geoestacionari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o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 (OSG)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 xml:space="preserve"> que se enumeran a continuación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, cuya utilización en la banda de frecuencias 11,7 - 12,2 GHz no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se autorizaba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a ninguna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A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dministración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en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 la Región 1 o la Región 3 para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 xml:space="preserve">propuestas de nueva 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>asignación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,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o de asignación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 modificada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,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 en la Lista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s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 de la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s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 Regiones 1 y 3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hasta el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 23 de noviembre de 2019, queda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n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libres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para utilizarse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en virtud de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 la aplicación del procedimiento del § 4.1 del Artículo 4 del Apéndice </w:t>
      </w:r>
      <w:r w:rsidRPr="00933AA4">
        <w:rPr>
          <w:rFonts w:asciiTheme="minorHAnsi" w:eastAsia="SimSun" w:hAnsiTheme="minorHAnsi" w:cstheme="minorHAnsi"/>
          <w:b/>
          <w:bCs/>
          <w:szCs w:val="24"/>
          <w:lang w:val="es-ES_tradnl" w:eastAsia="zh-CN"/>
        </w:rPr>
        <w:t>30</w:t>
      </w:r>
      <w:r w:rsidRPr="00B5690F">
        <w:rPr>
          <w:rFonts w:asciiTheme="minorHAnsi" w:eastAsia="SimSun" w:hAnsiTheme="minorHAnsi" w:cstheme="minorHAnsi"/>
          <w:szCs w:val="24"/>
          <w:lang w:val="es-ES_tradnl" w:eastAsia="zh-CN"/>
        </w:rPr>
        <w:t xml:space="preserve">,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con arreglo a</w:t>
      </w:r>
      <w:r w:rsidRPr="00B5690F">
        <w:rPr>
          <w:rFonts w:asciiTheme="minorHAnsi" w:eastAsia="SimSun" w:hAnsiTheme="minorHAnsi" w:cstheme="minorHAnsi"/>
          <w:szCs w:val="24"/>
          <w:lang w:val="es-ES_tradnl" w:eastAsia="zh-CN"/>
        </w:rPr>
        <w:t xml:space="preserve"> lo dispuesto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por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 xml:space="preserve"> la CMR-19: </w:t>
      </w:r>
    </w:p>
    <w:p w14:paraId="62F642AB" w14:textId="7DFDEF20" w:rsidR="00CE559B" w:rsidRPr="007D0165" w:rsidRDefault="00CE559B" w:rsidP="00F07C8A">
      <w:pPr>
        <w:pStyle w:val="enumlev1"/>
        <w:rPr>
          <w:rFonts w:eastAsia="SimSun"/>
          <w:lang w:val="es-ES_tradnl" w:eastAsia="zh-CN"/>
        </w:rPr>
      </w:pPr>
      <w:r w:rsidRPr="00CE559B">
        <w:rPr>
          <w:rFonts w:eastAsia="SimSun"/>
          <w:lang w:val="es-ES_tradnl" w:eastAsia="zh-CN"/>
        </w:rPr>
        <w:t>–</w:t>
      </w:r>
      <w:r>
        <w:rPr>
          <w:rFonts w:eastAsia="SimSun"/>
          <w:lang w:val="es-ES_tradnl" w:eastAsia="zh-CN"/>
        </w:rPr>
        <w:tab/>
      </w:r>
      <w:r w:rsidRPr="007D0165">
        <w:rPr>
          <w:rFonts w:eastAsia="SimSun"/>
          <w:lang w:val="es-ES_tradnl" w:eastAsia="zh-CN"/>
        </w:rPr>
        <w:t xml:space="preserve">posiciones orbitales nominales </w:t>
      </w:r>
      <w:r>
        <w:rPr>
          <w:rFonts w:eastAsia="SimSun"/>
          <w:lang w:val="es-ES_tradnl" w:eastAsia="zh-CN"/>
        </w:rPr>
        <w:t xml:space="preserve">más </w:t>
      </w:r>
      <w:r w:rsidRPr="007D0165">
        <w:rPr>
          <w:rFonts w:eastAsia="SimSun"/>
          <w:lang w:val="es-ES_tradnl" w:eastAsia="zh-CN"/>
        </w:rPr>
        <w:t xml:space="preserve">al oeste de 37,2°O, </w:t>
      </w:r>
      <w:r>
        <w:rPr>
          <w:rFonts w:eastAsia="SimSun"/>
          <w:lang w:val="es-ES_tradnl" w:eastAsia="zh-CN"/>
        </w:rPr>
        <w:t>al prestar</w:t>
      </w:r>
      <w:r w:rsidRPr="007D0165">
        <w:rPr>
          <w:rFonts w:eastAsia="SimSun"/>
          <w:lang w:val="es-ES_tradnl" w:eastAsia="zh-CN"/>
        </w:rPr>
        <w:t xml:space="preserve"> servicio </w:t>
      </w:r>
      <w:r>
        <w:rPr>
          <w:rFonts w:eastAsia="SimSun"/>
          <w:lang w:val="es-ES_tradnl" w:eastAsia="zh-CN"/>
        </w:rPr>
        <w:t>a</w:t>
      </w:r>
      <w:r w:rsidRPr="007D0165">
        <w:rPr>
          <w:rFonts w:eastAsia="SimSun"/>
          <w:lang w:val="es-ES_tradnl" w:eastAsia="zh-CN"/>
        </w:rPr>
        <w:t xml:space="preserve"> una zona de la Región 1,</w:t>
      </w:r>
    </w:p>
    <w:p w14:paraId="1C688D97" w14:textId="4CC10F84" w:rsidR="00CE559B" w:rsidRPr="00933AA4" w:rsidRDefault="00CE559B" w:rsidP="00F07C8A">
      <w:pPr>
        <w:pStyle w:val="enumlev1"/>
        <w:rPr>
          <w:rFonts w:eastAsia="SimSun"/>
          <w:lang w:val="es-ES_tradnl" w:eastAsia="zh-CN"/>
        </w:rPr>
      </w:pPr>
      <w:r w:rsidRPr="00CE559B">
        <w:rPr>
          <w:rFonts w:eastAsia="SimSun"/>
          <w:lang w:val="es-ES_tradnl" w:eastAsia="zh-CN"/>
        </w:rPr>
        <w:t>–</w:t>
      </w:r>
      <w:r>
        <w:rPr>
          <w:rFonts w:eastAsia="SimSun"/>
          <w:lang w:val="es-ES_tradnl" w:eastAsia="zh-CN"/>
        </w:rPr>
        <w:tab/>
      </w:r>
      <w:r w:rsidRPr="007D0165">
        <w:rPr>
          <w:rFonts w:eastAsia="SimSun"/>
          <w:lang w:val="es-ES_tradnl" w:eastAsia="zh-CN"/>
        </w:rPr>
        <w:t xml:space="preserve">posiciones orbitales nominales </w:t>
      </w:r>
      <w:r>
        <w:rPr>
          <w:rFonts w:eastAsia="SimSun"/>
          <w:lang w:val="es-ES_tradnl" w:eastAsia="zh-CN"/>
        </w:rPr>
        <w:t>en</w:t>
      </w:r>
      <w:r w:rsidRPr="007D0165">
        <w:rPr>
          <w:rFonts w:eastAsia="SimSun"/>
          <w:lang w:val="es-ES_tradnl" w:eastAsia="zh-CN"/>
        </w:rPr>
        <w:t xml:space="preserve"> los arcos OSG de 35,99°O a 33,51°O, 32,49°O a 30,01°O, 28,99°O a 26,01°O, 23,99°O a 20,01°O, 17,99°O a 14,01°O, 11.99°O a 8,01°O, 5,99°O a 4,01°O, 3,99°O a 2,01°O, 0,01°E a 3,99°E, 6,01°E a 8,99°E y 9,01°E a 10°E, </w:t>
      </w:r>
      <w:r>
        <w:rPr>
          <w:rFonts w:eastAsia="SimSun"/>
          <w:lang w:val="es-ES_tradnl" w:eastAsia="zh-CN"/>
        </w:rPr>
        <w:t>al prestar servicio</w:t>
      </w:r>
      <w:r w:rsidRPr="007D0165">
        <w:rPr>
          <w:rFonts w:eastAsia="SimSun"/>
          <w:lang w:val="es-ES_tradnl" w:eastAsia="zh-CN"/>
        </w:rPr>
        <w:t xml:space="preserve"> a una zona de las Regiones 1 y 3.</w:t>
      </w:r>
    </w:p>
    <w:p w14:paraId="720C89CF" w14:textId="72F30076" w:rsidR="00CE559B" w:rsidRPr="00933AA4" w:rsidRDefault="00CE559B" w:rsidP="00F07C8A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line="240" w:lineRule="auto"/>
        <w:textAlignment w:val="auto"/>
        <w:rPr>
          <w:rFonts w:asciiTheme="minorHAnsi" w:eastAsia="SimSun" w:hAnsiTheme="minorHAnsi" w:cstheme="minorHAnsi"/>
          <w:szCs w:val="24"/>
          <w:lang w:val="es-ES_tradnl" w:eastAsia="zh-CN"/>
        </w:rPr>
      </w:pPr>
      <w:r w:rsidRPr="001E31AB">
        <w:rPr>
          <w:rFonts w:asciiTheme="minorHAnsi" w:eastAsia="SimSun" w:hAnsiTheme="minorHAnsi" w:cstheme="minorHAnsi"/>
          <w:szCs w:val="24"/>
          <w:lang w:val="es-ES_tradnl" w:eastAsia="zh-CN"/>
        </w:rPr>
        <w:t xml:space="preserve">La CMR-19 aprobó asimismo la Resolución </w:t>
      </w:r>
      <w:r w:rsidRPr="001E31AB">
        <w:rPr>
          <w:rFonts w:asciiTheme="minorHAnsi" w:eastAsia="SimSun" w:hAnsiTheme="minorHAnsi" w:cstheme="minorHAnsi"/>
          <w:b/>
          <w:bCs/>
          <w:szCs w:val="24"/>
          <w:lang w:val="es-ES_tradnl" w:eastAsia="zh-CN"/>
        </w:rPr>
        <w:t xml:space="preserve">559 [COM5/3] </w:t>
      </w:r>
      <w:r w:rsidRPr="001E31AB">
        <w:rPr>
          <w:rFonts w:asciiTheme="minorHAnsi" w:eastAsia="SimSun" w:hAnsiTheme="minorHAnsi" w:cstheme="minorHAnsi"/>
          <w:szCs w:val="24"/>
          <w:lang w:val="es-ES_tradnl" w:eastAsia="zh-CN"/>
        </w:rPr>
        <w:t>(</w:t>
      </w:r>
      <w:r>
        <w:rPr>
          <w:rFonts w:asciiTheme="minorHAnsi" w:eastAsia="SimSun" w:hAnsiTheme="minorHAnsi" w:cstheme="minorHAnsi"/>
          <w:b/>
          <w:bCs/>
          <w:szCs w:val="24"/>
          <w:lang w:val="es-ES_tradnl" w:eastAsia="zh-CN"/>
        </w:rPr>
        <w:t>CMR</w:t>
      </w:r>
      <w:r w:rsidRPr="001E31AB">
        <w:rPr>
          <w:rFonts w:asciiTheme="minorHAnsi" w:eastAsia="SimSun" w:hAnsiTheme="minorHAnsi" w:cstheme="minorHAnsi"/>
          <w:b/>
          <w:bCs/>
          <w:szCs w:val="24"/>
          <w:lang w:val="es-ES_tradnl" w:eastAsia="zh-CN"/>
        </w:rPr>
        <w:t>-19</w:t>
      </w:r>
      <w:r w:rsidRPr="001E31AB">
        <w:rPr>
          <w:rFonts w:asciiTheme="minorHAnsi" w:eastAsia="SimSun" w:hAnsiTheme="minorHAnsi" w:cstheme="minorHAnsi"/>
          <w:szCs w:val="24"/>
          <w:lang w:val="es-ES_tradnl" w:eastAsia="zh-CN"/>
        </w:rPr>
        <w:t xml:space="preserve">)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«</w:t>
      </w:r>
      <w:r w:rsidRPr="001E31AB">
        <w:rPr>
          <w:rFonts w:asciiTheme="minorHAnsi" w:eastAsia="SimSun" w:hAnsiTheme="minorHAnsi" w:cstheme="minorHAnsi"/>
          <w:szCs w:val="24"/>
          <w:lang w:val="es-ES_tradnl" w:eastAsia="zh-CN"/>
        </w:rPr>
        <w:t xml:space="preserve">Medidas reglamentarias adicionales de carácter transitorio tras la supresión de parte del Anexo 7 al Apéndice </w:t>
      </w:r>
      <w:r w:rsidRPr="00B1041E">
        <w:rPr>
          <w:rFonts w:asciiTheme="minorHAnsi" w:eastAsia="SimSun" w:hAnsiTheme="minorHAnsi" w:cstheme="minorHAnsi"/>
          <w:b/>
          <w:bCs/>
          <w:szCs w:val="24"/>
          <w:lang w:val="es-ES_tradnl" w:eastAsia="zh-CN"/>
        </w:rPr>
        <w:t>30</w:t>
      </w:r>
      <w:r w:rsidRPr="001E31AB">
        <w:rPr>
          <w:rFonts w:asciiTheme="minorHAnsi" w:eastAsia="SimSun" w:hAnsiTheme="minorHAnsi" w:cstheme="minorHAnsi"/>
          <w:szCs w:val="24"/>
          <w:lang w:val="es-ES_tradnl" w:eastAsia="zh-CN"/>
        </w:rPr>
        <w:t xml:space="preserve"> (Rev.</w:t>
      </w:r>
      <w:r w:rsidR="00B1041E">
        <w:rPr>
          <w:rFonts w:asciiTheme="minorHAnsi" w:eastAsia="SimSun" w:hAnsiTheme="minorHAnsi" w:cstheme="minorHAnsi"/>
          <w:szCs w:val="24"/>
          <w:lang w:val="es-ES_tradnl" w:eastAsia="zh-CN"/>
        </w:rPr>
        <w:t> </w:t>
      </w:r>
      <w:r w:rsidRPr="001E31AB">
        <w:rPr>
          <w:rFonts w:asciiTheme="minorHAnsi" w:eastAsia="SimSun" w:hAnsiTheme="minorHAnsi" w:cstheme="minorHAnsi"/>
          <w:szCs w:val="24"/>
          <w:lang w:val="es-ES_tradnl" w:eastAsia="zh-CN"/>
        </w:rPr>
        <w:t>CMR-15) por la CMR-19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»,</w:t>
      </w:r>
      <w:r w:rsidRPr="001E31AB">
        <w:rPr>
          <w:rFonts w:asciiTheme="minorHAnsi" w:eastAsia="SimSun" w:hAnsiTheme="minorHAnsi" w:cstheme="minorHAnsi"/>
          <w:szCs w:val="24"/>
          <w:lang w:val="es-ES_tradnl" w:eastAsia="zh-CN"/>
        </w:rPr>
        <w:t xml:space="preserve"> así como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el conjunto de</w:t>
      </w:r>
      <w:r w:rsidRPr="001E31AB">
        <w:rPr>
          <w:rFonts w:asciiTheme="minorHAnsi" w:eastAsia="SimSun" w:hAnsiTheme="minorHAnsi" w:cstheme="minorHAnsi"/>
          <w:szCs w:val="24"/>
          <w:lang w:val="es-ES_tradnl" w:eastAsia="zh-CN"/>
        </w:rPr>
        <w:t xml:space="preserve"> </w:t>
      </w:r>
      <w:r w:rsidR="00B1041E">
        <w:rPr>
          <w:rFonts w:asciiTheme="minorHAnsi" w:eastAsia="SimSun" w:hAnsiTheme="minorHAnsi" w:cstheme="minorHAnsi"/>
          <w:szCs w:val="24"/>
          <w:lang w:val="es-ES_tradnl" w:eastAsia="zh-CN"/>
        </w:rPr>
        <w:t>«</w:t>
      </w:r>
      <w:r w:rsidRPr="001E31AB">
        <w:rPr>
          <w:rFonts w:asciiTheme="minorHAnsi" w:eastAsia="SimSun" w:hAnsiTheme="minorHAnsi" w:cstheme="minorHAnsi"/>
          <w:szCs w:val="24"/>
          <w:lang w:val="es-ES_tradnl" w:eastAsia="zh-CN"/>
        </w:rPr>
        <w:t>Instrucciones a la Oficina de Radiocomunicaciones en aplicación del Anexo 7 revisado al Apéndice 30 del RR y las Resoluciones conexas</w:t>
      </w:r>
      <w:r w:rsidR="00B1041E">
        <w:rPr>
          <w:rFonts w:asciiTheme="minorHAnsi" w:eastAsia="SimSun" w:hAnsiTheme="minorHAnsi" w:cstheme="minorHAnsi"/>
          <w:szCs w:val="24"/>
          <w:lang w:val="es-ES_tradnl" w:eastAsia="zh-CN"/>
        </w:rPr>
        <w:t>»</w:t>
      </w:r>
      <w:r w:rsidRPr="001E31AB">
        <w:rPr>
          <w:rFonts w:asciiTheme="minorHAnsi" w:eastAsia="SimSun" w:hAnsiTheme="minorHAnsi" w:cstheme="minorHAnsi"/>
          <w:szCs w:val="24"/>
          <w:lang w:val="es-ES_tradnl" w:eastAsia="zh-CN"/>
        </w:rPr>
        <w:t xml:space="preserve"> (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véase el apartado</w:t>
      </w:r>
      <w:r w:rsidRPr="001E31AB">
        <w:rPr>
          <w:rFonts w:asciiTheme="minorHAnsi" w:eastAsia="SimSun" w:hAnsiTheme="minorHAnsi" w:cstheme="minorHAnsi"/>
          <w:szCs w:val="24"/>
          <w:lang w:val="es-ES_tradnl" w:eastAsia="zh-CN"/>
        </w:rPr>
        <w:t xml:space="preserve"> 4.1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del</w:t>
      </w:r>
      <w:r w:rsidRPr="001E31AB">
        <w:rPr>
          <w:rFonts w:asciiTheme="minorHAnsi" w:eastAsia="SimSun" w:hAnsiTheme="minorHAnsi" w:cstheme="minorHAnsi"/>
          <w:szCs w:val="24"/>
          <w:lang w:val="es-ES_tradnl" w:eastAsia="zh-CN"/>
        </w:rPr>
        <w:t xml:space="preserve"> </w:t>
      </w:r>
      <w:hyperlink r:id="rId8" w:history="1">
        <w:r w:rsidRPr="001E31AB">
          <w:rPr>
            <w:rFonts w:asciiTheme="minorHAnsi" w:eastAsia="SimSun" w:hAnsiTheme="minorHAnsi" w:cstheme="minorHAnsi"/>
            <w:color w:val="0000FF"/>
            <w:szCs w:val="24"/>
            <w:u w:val="single"/>
            <w:lang w:val="es-ES_tradnl" w:eastAsia="zh-CN"/>
          </w:rPr>
          <w:t>Document</w:t>
        </w:r>
        <w:r>
          <w:rPr>
            <w:rFonts w:asciiTheme="minorHAnsi" w:eastAsia="SimSun" w:hAnsiTheme="minorHAnsi" w:cstheme="minorHAnsi"/>
            <w:color w:val="0000FF"/>
            <w:szCs w:val="24"/>
            <w:u w:val="single"/>
            <w:lang w:val="es-ES_tradnl" w:eastAsia="zh-CN"/>
          </w:rPr>
          <w:t>o</w:t>
        </w:r>
        <w:r w:rsidRPr="001E31AB">
          <w:rPr>
            <w:rFonts w:asciiTheme="minorHAnsi" w:eastAsia="SimSun" w:hAnsiTheme="minorHAnsi" w:cstheme="minorHAnsi"/>
            <w:color w:val="0000FF"/>
            <w:szCs w:val="24"/>
            <w:u w:val="single"/>
            <w:lang w:val="es-ES_tradnl" w:eastAsia="zh-CN"/>
          </w:rPr>
          <w:t xml:space="preserve"> CMR19/568</w:t>
        </w:r>
      </w:hyperlink>
      <w:r w:rsidRPr="001E31AB">
        <w:rPr>
          <w:rFonts w:asciiTheme="minorHAnsi" w:eastAsia="SimSun" w:hAnsiTheme="minorHAnsi" w:cstheme="minorHAnsi"/>
          <w:szCs w:val="24"/>
          <w:lang w:val="es-ES_tradnl" w:eastAsia="zh-CN"/>
        </w:rPr>
        <w:t xml:space="preserve">,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Actas de la séptima sesión plenaria)</w:t>
      </w:r>
      <w:r w:rsidRPr="009904A6">
        <w:rPr>
          <w:lang w:val="es-ES"/>
        </w:rPr>
        <w:t xml:space="preserve"> 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que, entre otras cosas,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permiten regular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 las nuevas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notificaciones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 en virtud del § 4.1.3 del Artículo</w:t>
      </w:r>
      <w:r w:rsidR="00B1041E">
        <w:rPr>
          <w:rFonts w:asciiTheme="minorHAnsi" w:eastAsia="SimSun" w:hAnsiTheme="minorHAnsi" w:cstheme="minorHAnsi"/>
          <w:szCs w:val="24"/>
          <w:lang w:val="es-ES_tradnl" w:eastAsia="zh-CN"/>
        </w:rPr>
        <w:t> 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4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que figura en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 los Apéndices </w:t>
      </w:r>
      <w:r w:rsidRPr="00842F17">
        <w:rPr>
          <w:rFonts w:asciiTheme="minorHAnsi" w:eastAsia="SimSun" w:hAnsiTheme="minorHAnsi" w:cstheme="minorHAnsi"/>
          <w:b/>
          <w:bCs/>
          <w:szCs w:val="24"/>
          <w:lang w:val="es-ES_tradnl" w:eastAsia="zh-CN"/>
        </w:rPr>
        <w:t>30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 y </w:t>
      </w:r>
      <w:r w:rsidRPr="00842F17">
        <w:rPr>
          <w:rFonts w:asciiTheme="minorHAnsi" w:eastAsia="SimSun" w:hAnsiTheme="minorHAnsi" w:cstheme="minorHAnsi"/>
          <w:b/>
          <w:bCs/>
          <w:szCs w:val="24"/>
          <w:lang w:val="es-ES_tradnl" w:eastAsia="zh-CN"/>
        </w:rPr>
        <w:t>30A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para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 los arcos OSG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anteriormente mencionados, en relación con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 el periodo comprendido entre el 23 de noviembre de 2019 y el 21 de mayo de 2020.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En el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 Adjunto a dicha Resolución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 xml:space="preserve">se 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establece un procedimiento especial que ofrece a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determinadas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 administraciones de la Región 1 o la Región 3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 xml:space="preserve"> la posibilidad de 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presentar nuevas asignaciones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mediante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 posiciones orbitales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en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los citados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 arcos OSG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para sustituir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 sus asignaciones nacionales que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figuran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 en los Planes, de conformidad con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lo dispuesto en el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 § 4.1.27 del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A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rtículo 4 de los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A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péndices </w:t>
      </w:r>
      <w:r w:rsidRPr="00842F17">
        <w:rPr>
          <w:rFonts w:asciiTheme="minorHAnsi" w:eastAsia="SimSun" w:hAnsiTheme="minorHAnsi" w:cstheme="minorHAnsi"/>
          <w:b/>
          <w:bCs/>
          <w:szCs w:val="24"/>
          <w:lang w:val="es-ES_tradnl" w:eastAsia="zh-CN"/>
        </w:rPr>
        <w:t>30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 y </w:t>
      </w:r>
      <w:r w:rsidRPr="00842F17">
        <w:rPr>
          <w:rFonts w:asciiTheme="minorHAnsi" w:eastAsia="SimSun" w:hAnsiTheme="minorHAnsi" w:cstheme="minorHAnsi"/>
          <w:b/>
          <w:bCs/>
          <w:szCs w:val="24"/>
          <w:lang w:val="es-ES_tradnl" w:eastAsia="zh-CN"/>
        </w:rPr>
        <w:t>30A</w:t>
      </w:r>
      <w:r w:rsidRPr="009904A6">
        <w:rPr>
          <w:rFonts w:asciiTheme="minorHAnsi" w:eastAsia="SimSun" w:hAnsiTheme="minorHAnsi" w:cstheme="minorHAnsi"/>
          <w:szCs w:val="24"/>
          <w:lang w:val="es-ES_tradnl" w:eastAsia="zh-CN"/>
        </w:rPr>
        <w:t xml:space="preserve">. </w:t>
      </w:r>
    </w:p>
    <w:p w14:paraId="660FADA1" w14:textId="10EA9A8F" w:rsidR="00CE559B" w:rsidRPr="00933AA4" w:rsidRDefault="00CE559B" w:rsidP="00F07C8A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center" w:pos="7088"/>
        </w:tabs>
        <w:spacing w:after="240"/>
        <w:rPr>
          <w:rFonts w:asciiTheme="minorHAnsi" w:eastAsia="SimSun" w:hAnsiTheme="minorHAnsi" w:cstheme="minorHAnsi"/>
          <w:szCs w:val="24"/>
          <w:lang w:val="es-ES_tradnl" w:eastAsia="zh-CN"/>
        </w:rPr>
      </w:pPr>
      <w:r w:rsidRPr="009C650D">
        <w:rPr>
          <w:rFonts w:asciiTheme="minorHAnsi" w:eastAsia="SimSun" w:hAnsiTheme="minorHAnsi" w:cstheme="minorHAnsi"/>
          <w:szCs w:val="24"/>
          <w:lang w:val="es-ES" w:eastAsia="zh-CN"/>
        </w:rPr>
        <w:lastRenderedPageBreak/>
        <w:t xml:space="preserve">A raíz del </w:t>
      </w:r>
      <w:r w:rsidR="00B1041E">
        <w:rPr>
          <w:rFonts w:asciiTheme="minorHAnsi" w:eastAsia="SimSun" w:hAnsiTheme="minorHAnsi" w:cstheme="minorHAnsi"/>
          <w:i/>
          <w:iCs/>
          <w:szCs w:val="24"/>
          <w:lang w:val="es-ES" w:eastAsia="zh-CN"/>
        </w:rPr>
        <w:t>e</w:t>
      </w:r>
      <w:r w:rsidRPr="009C650D">
        <w:rPr>
          <w:rFonts w:asciiTheme="minorHAnsi" w:eastAsia="SimSun" w:hAnsiTheme="minorHAnsi" w:cstheme="minorHAnsi"/>
          <w:i/>
          <w:iCs/>
          <w:szCs w:val="24"/>
          <w:lang w:val="es-ES" w:eastAsia="zh-CN"/>
        </w:rPr>
        <w:t xml:space="preserve">ncarga al Director de la Oficina de Radiocomunicaciones </w:t>
      </w:r>
      <w:r w:rsidRPr="009C650D">
        <w:rPr>
          <w:rFonts w:asciiTheme="minorHAnsi" w:eastAsia="SimSun" w:hAnsiTheme="minorHAnsi" w:cstheme="minorHAnsi"/>
          <w:szCs w:val="24"/>
          <w:lang w:val="es-ES" w:eastAsia="zh-CN"/>
        </w:rPr>
        <w:t>1 que figura en la Resolución</w:t>
      </w:r>
      <w:r w:rsidR="00B1041E">
        <w:rPr>
          <w:rFonts w:asciiTheme="minorHAnsi" w:eastAsia="SimSun" w:hAnsiTheme="minorHAnsi" w:cstheme="minorHAnsi"/>
          <w:szCs w:val="24"/>
          <w:lang w:val="es-ES" w:eastAsia="zh-CN"/>
        </w:rPr>
        <w:t> </w:t>
      </w:r>
      <w:r w:rsidRPr="009C650D">
        <w:rPr>
          <w:rFonts w:asciiTheme="minorHAnsi" w:eastAsia="SimSun" w:hAnsiTheme="minorHAnsi" w:cstheme="minorHAnsi"/>
          <w:b/>
          <w:bCs/>
          <w:szCs w:val="24"/>
          <w:lang w:val="es-ES" w:eastAsia="zh-CN"/>
        </w:rPr>
        <w:t>559</w:t>
      </w:r>
      <w:r w:rsidRPr="009C650D">
        <w:rPr>
          <w:rFonts w:asciiTheme="minorHAnsi" w:eastAsia="SimSun" w:hAnsiTheme="minorHAnsi" w:cstheme="minorHAnsi"/>
          <w:szCs w:val="24"/>
          <w:lang w:val="es-ES" w:eastAsia="zh-CN"/>
        </w:rPr>
        <w:t xml:space="preserve"> </w:t>
      </w:r>
      <w:r w:rsidRPr="009C650D">
        <w:rPr>
          <w:rFonts w:asciiTheme="minorHAnsi" w:eastAsia="SimSun" w:hAnsiTheme="minorHAnsi" w:cstheme="minorHAnsi"/>
          <w:b/>
          <w:bCs/>
          <w:szCs w:val="24"/>
          <w:lang w:val="es-ES" w:eastAsia="zh-CN"/>
        </w:rPr>
        <w:t>[COM5/3]</w:t>
      </w:r>
      <w:r w:rsidRPr="009C650D">
        <w:rPr>
          <w:rFonts w:asciiTheme="minorHAnsi" w:eastAsia="SimSun" w:hAnsiTheme="minorHAnsi" w:cstheme="minorHAnsi"/>
          <w:szCs w:val="24"/>
          <w:lang w:val="es-ES" w:eastAsia="zh-CN"/>
        </w:rPr>
        <w:t xml:space="preserve"> (</w:t>
      </w:r>
      <w:r w:rsidRPr="009C650D">
        <w:rPr>
          <w:rFonts w:asciiTheme="minorHAnsi" w:eastAsia="SimSun" w:hAnsiTheme="minorHAnsi" w:cstheme="minorHAnsi"/>
          <w:b/>
          <w:bCs/>
          <w:szCs w:val="24"/>
          <w:lang w:val="es-ES" w:eastAsia="zh-CN"/>
        </w:rPr>
        <w:t>CMR-19</w:t>
      </w:r>
      <w:r w:rsidRPr="009C650D">
        <w:rPr>
          <w:rFonts w:asciiTheme="minorHAnsi" w:eastAsia="SimSun" w:hAnsiTheme="minorHAnsi" w:cstheme="minorHAnsi"/>
          <w:szCs w:val="24"/>
          <w:lang w:val="es-ES" w:eastAsia="zh-CN"/>
        </w:rPr>
        <w:t xml:space="preserve">), la Oficina ha </w:t>
      </w:r>
      <w:r>
        <w:rPr>
          <w:rFonts w:asciiTheme="minorHAnsi" w:eastAsia="SimSun" w:hAnsiTheme="minorHAnsi" w:cstheme="minorHAnsi"/>
          <w:szCs w:val="24"/>
          <w:lang w:val="es-ES" w:eastAsia="zh-CN"/>
        </w:rPr>
        <w:t>elaborado</w:t>
      </w:r>
      <w:r w:rsidRPr="009C650D">
        <w:rPr>
          <w:rFonts w:asciiTheme="minorHAnsi" w:eastAsia="SimSun" w:hAnsiTheme="minorHAnsi" w:cstheme="minorHAnsi"/>
          <w:szCs w:val="24"/>
          <w:lang w:val="es-ES" w:eastAsia="zh-CN"/>
        </w:rPr>
        <w:t xml:space="preserve"> la lista de administraciones que tienen derecho a aplicar el procedimiento especial </w:t>
      </w:r>
      <w:r>
        <w:rPr>
          <w:rFonts w:asciiTheme="minorHAnsi" w:eastAsia="SimSun" w:hAnsiTheme="minorHAnsi" w:cstheme="minorHAnsi"/>
          <w:szCs w:val="24"/>
          <w:lang w:val="es-ES" w:eastAsia="zh-CN"/>
        </w:rPr>
        <w:t>que se describe</w:t>
      </w:r>
      <w:r w:rsidRPr="009C650D">
        <w:rPr>
          <w:rFonts w:asciiTheme="minorHAnsi" w:eastAsia="SimSun" w:hAnsiTheme="minorHAnsi" w:cstheme="minorHAnsi"/>
          <w:szCs w:val="24"/>
          <w:lang w:val="es-ES" w:eastAsia="zh-CN"/>
        </w:rPr>
        <w:t xml:space="preserve"> en dicha Resolución </w:t>
      </w:r>
      <w:r>
        <w:rPr>
          <w:rFonts w:asciiTheme="minorHAnsi" w:eastAsia="SimSun" w:hAnsiTheme="minorHAnsi" w:cstheme="minorHAnsi"/>
          <w:szCs w:val="24"/>
          <w:lang w:val="es-ES" w:eastAsia="zh-CN"/>
        </w:rPr>
        <w:t>con arreglo a</w:t>
      </w:r>
      <w:r w:rsidRPr="009C650D">
        <w:rPr>
          <w:rFonts w:asciiTheme="minorHAnsi" w:eastAsia="SimSun" w:hAnsiTheme="minorHAnsi" w:cstheme="minorHAnsi"/>
          <w:szCs w:val="24"/>
          <w:lang w:val="es-ES" w:eastAsia="zh-CN"/>
        </w:rPr>
        <w:t xml:space="preserve"> la base de datos </w:t>
      </w:r>
      <w:r>
        <w:rPr>
          <w:rFonts w:asciiTheme="minorHAnsi" w:eastAsia="SimSun" w:hAnsiTheme="minorHAnsi" w:cstheme="minorHAnsi"/>
          <w:szCs w:val="24"/>
          <w:lang w:val="es-ES" w:eastAsia="zh-CN"/>
        </w:rPr>
        <w:t>principal</w:t>
      </w:r>
      <w:r w:rsidRPr="009C650D">
        <w:rPr>
          <w:rFonts w:asciiTheme="minorHAnsi" w:eastAsia="SimSun" w:hAnsiTheme="minorHAnsi" w:cstheme="minorHAnsi"/>
          <w:szCs w:val="24"/>
          <w:lang w:val="es-ES" w:eastAsia="zh-CN"/>
        </w:rPr>
        <w:t xml:space="preserve"> de los apéndices </w:t>
      </w:r>
      <w:r w:rsidRPr="009C650D">
        <w:rPr>
          <w:rFonts w:asciiTheme="minorHAnsi" w:eastAsia="SimSun" w:hAnsiTheme="minorHAnsi" w:cstheme="minorHAnsi"/>
          <w:b/>
          <w:bCs/>
          <w:szCs w:val="24"/>
          <w:lang w:val="es-ES" w:eastAsia="zh-CN"/>
        </w:rPr>
        <w:t>30</w:t>
      </w:r>
      <w:r w:rsidRPr="009C650D">
        <w:rPr>
          <w:rFonts w:asciiTheme="minorHAnsi" w:eastAsia="SimSun" w:hAnsiTheme="minorHAnsi" w:cstheme="minorHAnsi"/>
          <w:szCs w:val="24"/>
          <w:lang w:val="es-ES" w:eastAsia="zh-CN"/>
        </w:rPr>
        <w:t xml:space="preserve"> y </w:t>
      </w:r>
      <w:r w:rsidRPr="009C650D">
        <w:rPr>
          <w:rFonts w:asciiTheme="minorHAnsi" w:eastAsia="SimSun" w:hAnsiTheme="minorHAnsi" w:cstheme="minorHAnsi"/>
          <w:b/>
          <w:bCs/>
          <w:szCs w:val="24"/>
          <w:lang w:val="es-ES" w:eastAsia="zh-CN"/>
        </w:rPr>
        <w:t>30A</w:t>
      </w:r>
      <w:r w:rsidRPr="009C650D">
        <w:rPr>
          <w:rFonts w:asciiTheme="minorHAnsi" w:eastAsia="SimSun" w:hAnsiTheme="minorHAnsi" w:cstheme="minorHAnsi"/>
          <w:szCs w:val="24"/>
          <w:lang w:val="es-ES" w:eastAsia="zh-CN"/>
        </w:rPr>
        <w:t xml:space="preserve"> (SPS_ALL_IFIC2909.mdb)</w:t>
      </w:r>
      <w:r>
        <w:rPr>
          <w:rFonts w:asciiTheme="minorHAnsi" w:eastAsia="SimSun" w:hAnsiTheme="minorHAnsi" w:cstheme="minorHAnsi"/>
          <w:szCs w:val="24"/>
          <w:lang w:val="es-ES" w:eastAsia="zh-CN"/>
        </w:rPr>
        <w:t>,</w:t>
      </w:r>
      <w:r w:rsidRPr="009C650D">
        <w:rPr>
          <w:rFonts w:asciiTheme="minorHAnsi" w:eastAsia="SimSun" w:hAnsiTheme="minorHAnsi" w:cstheme="minorHAnsi"/>
          <w:szCs w:val="24"/>
          <w:lang w:val="es-ES" w:eastAsia="zh-CN"/>
        </w:rPr>
        <w:t xml:space="preserve"> publicada en la BR IFIC (servicios espaciales) 2909 del 26 de noviembre de 2019. La lista figura en el Anexo a la presente Carta Circular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>.</w:t>
      </w:r>
    </w:p>
    <w:p w14:paraId="0284D4D4" w14:textId="77777777" w:rsidR="00CE559B" w:rsidRPr="00933AA4" w:rsidRDefault="00CE559B" w:rsidP="00F07C8A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center" w:pos="7088"/>
        </w:tabs>
        <w:spacing w:after="240"/>
        <w:rPr>
          <w:rFonts w:asciiTheme="minorHAnsi" w:eastAsia="SimSun" w:hAnsiTheme="minorHAnsi" w:cstheme="minorHAnsi"/>
          <w:szCs w:val="24"/>
          <w:lang w:val="es-ES_tradnl" w:eastAsia="zh-CN"/>
        </w:rPr>
      </w:pPr>
      <w:r w:rsidRPr="009C650D">
        <w:rPr>
          <w:rFonts w:asciiTheme="minorHAnsi" w:eastAsia="SimSun" w:hAnsiTheme="minorHAnsi" w:cstheme="minorHAnsi"/>
          <w:szCs w:val="24"/>
          <w:lang w:val="es-ES_tradnl" w:eastAsia="zh-CN"/>
        </w:rPr>
        <w:t xml:space="preserve">A este respecto, la Oficina de Radiocomunicaciones desea llamar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su</w:t>
      </w:r>
      <w:r w:rsidRPr="009C650D">
        <w:rPr>
          <w:rFonts w:asciiTheme="minorHAnsi" w:eastAsia="SimSun" w:hAnsiTheme="minorHAnsi" w:cstheme="minorHAnsi"/>
          <w:szCs w:val="24"/>
          <w:lang w:val="es-ES_tradnl" w:eastAsia="zh-CN"/>
        </w:rPr>
        <w:t xml:space="preserve"> atención sobre lo siguiente</w:t>
      </w:r>
      <w:r w:rsidRPr="00933AA4">
        <w:rPr>
          <w:rFonts w:asciiTheme="minorHAnsi" w:eastAsia="SimSun" w:hAnsiTheme="minorHAnsi" w:cstheme="minorHAnsi"/>
          <w:szCs w:val="24"/>
          <w:lang w:val="es-ES_tradnl" w:eastAsia="zh-CN"/>
        </w:rPr>
        <w:t>:</w:t>
      </w:r>
    </w:p>
    <w:p w14:paraId="3CE58C9A" w14:textId="6B02FA9C" w:rsidR="00CE559B" w:rsidRDefault="00B1041E" w:rsidP="00F07C8A">
      <w:pPr>
        <w:pStyle w:val="enumlev1"/>
        <w:rPr>
          <w:rFonts w:eastAsia="SimSun"/>
          <w:lang w:val="es-ES_tradnl"/>
        </w:rPr>
      </w:pPr>
      <w:r w:rsidRPr="00B1041E">
        <w:rPr>
          <w:rFonts w:eastAsia="SimSun"/>
          <w:lang w:val="es-ES_tradnl"/>
        </w:rPr>
        <w:t>–</w:t>
      </w:r>
      <w:r>
        <w:rPr>
          <w:rFonts w:eastAsia="SimSun"/>
          <w:lang w:val="es-ES_tradnl"/>
        </w:rPr>
        <w:tab/>
      </w:r>
      <w:r w:rsidR="00CE559B" w:rsidRPr="001A3A54">
        <w:rPr>
          <w:rFonts w:eastAsia="SimSun"/>
          <w:lang w:val="es-ES_tradnl"/>
        </w:rPr>
        <w:t xml:space="preserve">El procedimiento especial únicamente pueden aplicarlo </w:t>
      </w:r>
      <w:r w:rsidR="00CE559B" w:rsidRPr="001A3A54">
        <w:rPr>
          <w:rFonts w:eastAsia="SimSun"/>
          <w:u w:val="single"/>
          <w:lang w:val="es-ES_tradnl"/>
        </w:rPr>
        <w:t>una sola vez</w:t>
      </w:r>
      <w:r w:rsidR="00CE559B" w:rsidRPr="001A3A54">
        <w:rPr>
          <w:rFonts w:eastAsia="SimSun"/>
          <w:lang w:val="es-ES_tradnl"/>
        </w:rPr>
        <w:t xml:space="preserve"> las administraciones que se enumeran en el Anexo a la presente Carta Circular para las notificaciones realizadas en virtud del § 4.1.3 de los Apéndices </w:t>
      </w:r>
      <w:r w:rsidR="00CE559B" w:rsidRPr="001A3A54">
        <w:rPr>
          <w:rFonts w:eastAsia="SimSun"/>
          <w:b/>
          <w:bCs/>
          <w:lang w:val="es-ES_tradnl"/>
        </w:rPr>
        <w:t>30</w:t>
      </w:r>
      <w:r w:rsidR="00CE559B" w:rsidRPr="001A3A54">
        <w:rPr>
          <w:rFonts w:eastAsia="SimSun"/>
          <w:lang w:val="es-ES_tradnl"/>
        </w:rPr>
        <w:t xml:space="preserve"> y </w:t>
      </w:r>
      <w:r w:rsidR="00CE559B" w:rsidRPr="001A3A54">
        <w:rPr>
          <w:rFonts w:eastAsia="SimSun"/>
          <w:b/>
          <w:bCs/>
          <w:lang w:val="es-ES_tradnl"/>
        </w:rPr>
        <w:t>30A</w:t>
      </w:r>
      <w:r w:rsidR="00CE559B" w:rsidRPr="001A3A54">
        <w:rPr>
          <w:rFonts w:eastAsia="SimSun"/>
          <w:lang w:val="es-ES_tradnl"/>
        </w:rPr>
        <w:t xml:space="preserve"> para una posición orbital en los arcos OSG anteriormente mencionados. Habida cuenta de ello, se recomienda a esas administraciones que </w:t>
      </w:r>
      <w:r w:rsidR="00CE559B">
        <w:rPr>
          <w:rFonts w:eastAsia="SimSun"/>
          <w:lang w:val="es-ES_tradnl"/>
        </w:rPr>
        <w:t>entablen consultas mutuas</w:t>
      </w:r>
      <w:r w:rsidR="00CE559B" w:rsidRPr="001A3A54">
        <w:rPr>
          <w:rFonts w:eastAsia="SimSun"/>
          <w:lang w:val="es-ES_tradnl"/>
        </w:rPr>
        <w:t xml:space="preserve"> antes de remitir sus notificaciones a la Oficina.</w:t>
      </w:r>
    </w:p>
    <w:p w14:paraId="0811574E" w14:textId="199963A1" w:rsidR="00CE559B" w:rsidRPr="00D33955" w:rsidRDefault="00B1041E" w:rsidP="00F07C8A">
      <w:pPr>
        <w:pStyle w:val="enumlev1"/>
        <w:rPr>
          <w:rFonts w:eastAsia="SimSun"/>
          <w:lang w:val="es-ES_tradnl"/>
        </w:rPr>
      </w:pPr>
      <w:r w:rsidRPr="00B1041E">
        <w:rPr>
          <w:rFonts w:eastAsia="SimSun"/>
          <w:lang w:val="es-ES_tradnl"/>
        </w:rPr>
        <w:t>–</w:t>
      </w:r>
      <w:r>
        <w:rPr>
          <w:rFonts w:eastAsia="SimSun"/>
          <w:lang w:val="es-ES_tradnl"/>
        </w:rPr>
        <w:tab/>
      </w:r>
      <w:r w:rsidR="00CE559B" w:rsidRPr="001A3A54">
        <w:rPr>
          <w:rFonts w:eastAsia="SimSun"/>
          <w:lang w:val="es-ES_tradnl"/>
        </w:rPr>
        <w:t xml:space="preserve">Al presentar una petición a la Oficina, además de la información </w:t>
      </w:r>
      <w:r w:rsidR="00CE559B">
        <w:rPr>
          <w:rFonts w:eastAsia="SimSun"/>
          <w:lang w:val="es-ES_tradnl"/>
        </w:rPr>
        <w:t>que figura</w:t>
      </w:r>
      <w:r w:rsidR="00CE559B" w:rsidRPr="001A3A54">
        <w:rPr>
          <w:rFonts w:eastAsia="SimSun"/>
          <w:lang w:val="es-ES_tradnl"/>
        </w:rPr>
        <w:t xml:space="preserve"> en el § 4.1.3 de los </w:t>
      </w:r>
      <w:r w:rsidR="00CE559B">
        <w:rPr>
          <w:rFonts w:eastAsia="SimSun"/>
          <w:lang w:val="es-ES_tradnl"/>
        </w:rPr>
        <w:t>A</w:t>
      </w:r>
      <w:r w:rsidR="00CE559B" w:rsidRPr="001A3A54">
        <w:rPr>
          <w:rFonts w:eastAsia="SimSun"/>
          <w:lang w:val="es-ES_tradnl"/>
        </w:rPr>
        <w:t xml:space="preserve">péndices </w:t>
      </w:r>
      <w:r w:rsidR="00CE559B" w:rsidRPr="001A3A54">
        <w:rPr>
          <w:rFonts w:eastAsia="SimSun"/>
          <w:b/>
          <w:bCs/>
          <w:lang w:val="es-ES_tradnl"/>
        </w:rPr>
        <w:t>30</w:t>
      </w:r>
      <w:r w:rsidR="00CE559B" w:rsidRPr="001A3A54">
        <w:rPr>
          <w:rFonts w:eastAsia="SimSun"/>
          <w:lang w:val="es-ES_tradnl"/>
        </w:rPr>
        <w:t xml:space="preserve"> y </w:t>
      </w:r>
      <w:r w:rsidR="00CE559B" w:rsidRPr="001A3A54">
        <w:rPr>
          <w:rFonts w:eastAsia="SimSun"/>
          <w:b/>
          <w:bCs/>
          <w:lang w:val="es-ES_tradnl"/>
        </w:rPr>
        <w:t>30A</w:t>
      </w:r>
      <w:r w:rsidR="00CE559B" w:rsidRPr="001A3A54">
        <w:rPr>
          <w:rFonts w:eastAsia="SimSun"/>
          <w:lang w:val="es-ES_tradnl"/>
        </w:rPr>
        <w:t xml:space="preserve">, las administraciones </w:t>
      </w:r>
      <w:r w:rsidR="00CE559B">
        <w:rPr>
          <w:rFonts w:eastAsia="SimSun"/>
          <w:lang w:val="es-ES_tradnl"/>
        </w:rPr>
        <w:t>deben tener</w:t>
      </w:r>
      <w:r w:rsidR="00CE559B" w:rsidRPr="001A3A54">
        <w:rPr>
          <w:rFonts w:eastAsia="SimSun"/>
          <w:lang w:val="es-ES_tradnl"/>
        </w:rPr>
        <w:t xml:space="preserve"> en cuenta </w:t>
      </w:r>
      <w:r w:rsidR="00CE559B">
        <w:rPr>
          <w:rFonts w:eastAsia="SimSun"/>
          <w:lang w:val="es-ES_tradnl"/>
        </w:rPr>
        <w:t>los requisitos que se especifican</w:t>
      </w:r>
      <w:r w:rsidR="00CE559B" w:rsidRPr="001A3A54">
        <w:rPr>
          <w:rFonts w:eastAsia="SimSun"/>
          <w:lang w:val="es-ES_tradnl"/>
        </w:rPr>
        <w:t xml:space="preserve"> en el </w:t>
      </w:r>
      <w:r w:rsidR="00CE559B">
        <w:rPr>
          <w:rFonts w:eastAsia="SimSun"/>
          <w:lang w:val="es-ES_tradnl"/>
        </w:rPr>
        <w:t>Apartado</w:t>
      </w:r>
      <w:r w:rsidR="00CE559B" w:rsidRPr="001A3A54">
        <w:rPr>
          <w:rFonts w:eastAsia="SimSun"/>
          <w:lang w:val="es-ES_tradnl"/>
        </w:rPr>
        <w:t xml:space="preserve"> 2 del Adjunto a la Resolución </w:t>
      </w:r>
      <w:r w:rsidR="00CE559B" w:rsidRPr="001A3A54">
        <w:rPr>
          <w:rFonts w:eastAsia="SimSun"/>
          <w:b/>
          <w:bCs/>
          <w:lang w:val="es-ES_tradnl"/>
        </w:rPr>
        <w:t>559</w:t>
      </w:r>
      <w:r w:rsidR="00CE559B" w:rsidRPr="001A3A54">
        <w:rPr>
          <w:rFonts w:eastAsia="SimSun"/>
          <w:lang w:val="es-ES_tradnl"/>
        </w:rPr>
        <w:t xml:space="preserve"> </w:t>
      </w:r>
      <w:r w:rsidR="00CE559B" w:rsidRPr="001A3A54">
        <w:rPr>
          <w:rFonts w:eastAsia="SimSun"/>
          <w:b/>
          <w:bCs/>
          <w:lang w:val="es-ES_tradnl"/>
        </w:rPr>
        <w:t>[COM5/3] (CMR-19).</w:t>
      </w:r>
    </w:p>
    <w:p w14:paraId="1B0B8056" w14:textId="22A10075" w:rsidR="00CE559B" w:rsidRDefault="00B1041E" w:rsidP="00F07C8A">
      <w:pPr>
        <w:pStyle w:val="enumlev1"/>
        <w:rPr>
          <w:rFonts w:eastAsia="SimSun"/>
          <w:lang w:val="es-ES_tradnl"/>
        </w:rPr>
      </w:pPr>
      <w:r w:rsidRPr="00B1041E">
        <w:rPr>
          <w:rFonts w:eastAsia="SimSun"/>
          <w:lang w:val="es-ES_tradnl"/>
        </w:rPr>
        <w:t>–</w:t>
      </w:r>
      <w:r>
        <w:rPr>
          <w:rFonts w:eastAsia="SimSun"/>
          <w:lang w:val="es-ES_tradnl"/>
        </w:rPr>
        <w:tab/>
      </w:r>
      <w:r w:rsidR="00CE559B" w:rsidRPr="009C650D">
        <w:rPr>
          <w:rFonts w:eastAsia="SimSun"/>
          <w:lang w:val="es-ES_tradnl"/>
        </w:rPr>
        <w:t xml:space="preserve">Toda </w:t>
      </w:r>
      <w:r w:rsidR="00CE559B">
        <w:rPr>
          <w:rFonts w:eastAsia="SimSun"/>
          <w:lang w:val="es-ES_tradnl"/>
        </w:rPr>
        <w:t>notificación</w:t>
      </w:r>
      <w:r w:rsidR="00CE559B" w:rsidRPr="009C650D">
        <w:rPr>
          <w:rFonts w:eastAsia="SimSun"/>
          <w:lang w:val="es-ES_tradnl"/>
        </w:rPr>
        <w:t xml:space="preserve"> que </w:t>
      </w:r>
      <w:r w:rsidR="00CE559B">
        <w:rPr>
          <w:rFonts w:eastAsia="SimSun"/>
          <w:lang w:val="es-ES_tradnl"/>
        </w:rPr>
        <w:t>se rija por</w:t>
      </w:r>
      <w:r w:rsidR="00CE559B" w:rsidRPr="009C650D">
        <w:rPr>
          <w:rFonts w:eastAsia="SimSun"/>
          <w:lang w:val="es-ES_tradnl"/>
        </w:rPr>
        <w:t xml:space="preserve"> el procedimiento especial NO </w:t>
      </w:r>
      <w:r w:rsidR="00CE559B">
        <w:rPr>
          <w:rFonts w:eastAsia="SimSun"/>
          <w:lang w:val="es-ES_tradnl"/>
        </w:rPr>
        <w:t>deberá remitirse</w:t>
      </w:r>
      <w:r w:rsidR="00CE559B" w:rsidRPr="009C650D">
        <w:rPr>
          <w:rFonts w:eastAsia="SimSun"/>
          <w:lang w:val="es-ES_tradnl"/>
        </w:rPr>
        <w:t xml:space="preserve"> antes del </w:t>
      </w:r>
      <w:r w:rsidR="00CE559B" w:rsidRPr="001A3A54">
        <w:rPr>
          <w:rFonts w:eastAsia="SimSun"/>
          <w:b/>
          <w:bCs/>
          <w:lang w:val="es-ES_tradnl"/>
        </w:rPr>
        <w:t>23 de marzo de 2020</w:t>
      </w:r>
      <w:r w:rsidR="00CE559B">
        <w:rPr>
          <w:rFonts w:eastAsia="SimSun"/>
          <w:lang w:val="es-ES_tradnl"/>
        </w:rPr>
        <w:t>; en caso contrario,</w:t>
      </w:r>
      <w:r w:rsidR="00CE559B" w:rsidRPr="009C650D">
        <w:rPr>
          <w:rFonts w:eastAsia="SimSun"/>
          <w:lang w:val="es-ES_tradnl"/>
        </w:rPr>
        <w:t xml:space="preserve"> </w:t>
      </w:r>
      <w:r w:rsidR="00CE559B">
        <w:rPr>
          <w:rFonts w:eastAsia="SimSun"/>
          <w:lang w:val="es-ES_tradnl"/>
        </w:rPr>
        <w:t>se</w:t>
      </w:r>
      <w:r w:rsidR="00CE559B" w:rsidRPr="009C650D">
        <w:rPr>
          <w:rFonts w:eastAsia="SimSun"/>
          <w:lang w:val="es-ES_tradnl"/>
        </w:rPr>
        <w:t xml:space="preserve"> devolverá a la administración notificante.</w:t>
      </w:r>
    </w:p>
    <w:p w14:paraId="7A283809" w14:textId="02443C3C" w:rsidR="00CE559B" w:rsidRDefault="00B1041E" w:rsidP="00F07C8A">
      <w:pPr>
        <w:pStyle w:val="enumlev1"/>
        <w:rPr>
          <w:rFonts w:eastAsia="SimSun"/>
          <w:lang w:val="es-ES_tradnl"/>
        </w:rPr>
      </w:pPr>
      <w:r w:rsidRPr="00B1041E">
        <w:rPr>
          <w:rFonts w:eastAsia="SimSun"/>
          <w:lang w:val="es-ES_tradnl"/>
        </w:rPr>
        <w:t>–</w:t>
      </w:r>
      <w:r>
        <w:rPr>
          <w:rFonts w:eastAsia="SimSun"/>
          <w:lang w:val="es-ES_tradnl"/>
        </w:rPr>
        <w:tab/>
      </w:r>
      <w:r w:rsidR="00CE559B" w:rsidRPr="009C650D">
        <w:rPr>
          <w:rFonts w:eastAsia="SimSun"/>
          <w:lang w:val="es-ES_tradnl"/>
        </w:rPr>
        <w:t xml:space="preserve">Toda </w:t>
      </w:r>
      <w:r w:rsidR="00CE559B">
        <w:rPr>
          <w:rFonts w:eastAsia="SimSun"/>
          <w:lang w:val="es-ES_tradnl"/>
        </w:rPr>
        <w:t>notificación</w:t>
      </w:r>
      <w:r w:rsidR="00CE559B" w:rsidRPr="009C650D">
        <w:rPr>
          <w:rFonts w:eastAsia="SimSun"/>
          <w:lang w:val="es-ES_tradnl"/>
        </w:rPr>
        <w:t xml:space="preserve"> que </w:t>
      </w:r>
      <w:r w:rsidR="00CE559B">
        <w:rPr>
          <w:rFonts w:eastAsia="SimSun"/>
          <w:lang w:val="es-ES_tradnl"/>
        </w:rPr>
        <w:t>se rija por</w:t>
      </w:r>
      <w:r w:rsidR="00CE559B" w:rsidRPr="009C650D">
        <w:rPr>
          <w:rFonts w:eastAsia="SimSun"/>
          <w:lang w:val="es-ES_tradnl"/>
        </w:rPr>
        <w:t xml:space="preserve"> el procedimiento especial </w:t>
      </w:r>
      <w:r w:rsidR="00CE559B">
        <w:rPr>
          <w:rFonts w:eastAsia="SimSun"/>
          <w:lang w:val="es-ES_tradnl"/>
        </w:rPr>
        <w:t>que reciba</w:t>
      </w:r>
      <w:r w:rsidR="00CE559B" w:rsidRPr="009C650D">
        <w:rPr>
          <w:rFonts w:eastAsia="SimSun"/>
          <w:lang w:val="es-ES_tradnl"/>
        </w:rPr>
        <w:t xml:space="preserve"> la Oficina </w:t>
      </w:r>
      <w:r w:rsidR="00CE559B">
        <w:rPr>
          <w:rFonts w:eastAsia="SimSun"/>
          <w:lang w:val="es-ES_tradnl"/>
        </w:rPr>
        <w:t>en el período comprendido entre el</w:t>
      </w:r>
      <w:r w:rsidR="00CE559B" w:rsidRPr="009C650D">
        <w:rPr>
          <w:rFonts w:eastAsia="SimSun"/>
          <w:lang w:val="es-ES_tradnl"/>
        </w:rPr>
        <w:t xml:space="preserve"> 23 de marzo de 2020 </w:t>
      </w:r>
      <w:r w:rsidR="00CE559B">
        <w:rPr>
          <w:rFonts w:eastAsia="SimSun"/>
          <w:lang w:val="es-ES_tradnl"/>
        </w:rPr>
        <w:t>y el</w:t>
      </w:r>
      <w:r w:rsidR="00CE559B" w:rsidRPr="009C650D">
        <w:rPr>
          <w:rFonts w:eastAsia="SimSun"/>
          <w:lang w:val="es-ES_tradnl"/>
        </w:rPr>
        <w:t xml:space="preserve"> 21 de mayo de 2020 </w:t>
      </w:r>
      <w:r w:rsidR="00CE559B">
        <w:rPr>
          <w:rFonts w:eastAsia="SimSun"/>
          <w:lang w:val="es-ES_tradnl"/>
        </w:rPr>
        <w:t>tendrán</w:t>
      </w:r>
      <w:r w:rsidR="00CE559B" w:rsidRPr="009C650D">
        <w:rPr>
          <w:rFonts w:eastAsia="SimSun"/>
          <w:lang w:val="es-ES_tradnl"/>
        </w:rPr>
        <w:t xml:space="preserve"> la misma fecha de recepción</w:t>
      </w:r>
      <w:r w:rsidR="00CE559B">
        <w:rPr>
          <w:rFonts w:eastAsia="SimSun"/>
          <w:lang w:val="es-ES_tradnl"/>
        </w:rPr>
        <w:t xml:space="preserve">, a saber, </w:t>
      </w:r>
      <w:r w:rsidR="00CE559B" w:rsidRPr="009C650D">
        <w:rPr>
          <w:rFonts w:eastAsia="SimSun"/>
          <w:lang w:val="es-ES_tradnl"/>
        </w:rPr>
        <w:t>21 de mayo de 2020.</w:t>
      </w:r>
    </w:p>
    <w:p w14:paraId="751DCDC4" w14:textId="55A2F86C" w:rsidR="00CE559B" w:rsidRDefault="00B1041E" w:rsidP="00F07C8A">
      <w:pPr>
        <w:pStyle w:val="enumlev1"/>
        <w:rPr>
          <w:rFonts w:eastAsia="SimSun"/>
          <w:lang w:val="es-ES_tradnl"/>
        </w:rPr>
      </w:pPr>
      <w:r w:rsidRPr="00B1041E">
        <w:rPr>
          <w:rFonts w:eastAsia="SimSun"/>
          <w:lang w:val="es-ES_tradnl"/>
        </w:rPr>
        <w:t>–</w:t>
      </w:r>
      <w:r>
        <w:rPr>
          <w:rFonts w:eastAsia="SimSun"/>
          <w:lang w:val="es-ES_tradnl"/>
        </w:rPr>
        <w:tab/>
      </w:r>
      <w:r w:rsidR="00CE559B">
        <w:rPr>
          <w:rFonts w:eastAsia="SimSun"/>
          <w:lang w:val="es-ES_tradnl"/>
        </w:rPr>
        <w:t>Las demás notificaciones, realizadas</w:t>
      </w:r>
      <w:r w:rsidR="00CE559B" w:rsidRPr="009C650D">
        <w:rPr>
          <w:rFonts w:eastAsia="SimSun"/>
          <w:lang w:val="es-ES_tradnl"/>
        </w:rPr>
        <w:t xml:space="preserve"> en virtud del § 4.1.3 </w:t>
      </w:r>
      <w:r w:rsidR="00CE559B">
        <w:rPr>
          <w:rFonts w:eastAsia="SimSun"/>
          <w:lang w:val="es-ES_tradnl"/>
        </w:rPr>
        <w:t>de</w:t>
      </w:r>
      <w:r w:rsidR="00CE559B" w:rsidRPr="009C650D">
        <w:rPr>
          <w:rFonts w:eastAsia="SimSun"/>
          <w:lang w:val="es-ES_tradnl"/>
        </w:rPr>
        <w:t xml:space="preserve"> los </w:t>
      </w:r>
      <w:r w:rsidR="00CE559B">
        <w:rPr>
          <w:rFonts w:eastAsia="SimSun"/>
          <w:lang w:val="es-ES_tradnl"/>
        </w:rPr>
        <w:t>A</w:t>
      </w:r>
      <w:r w:rsidR="00CE559B" w:rsidRPr="009C650D">
        <w:rPr>
          <w:rFonts w:eastAsia="SimSun"/>
          <w:lang w:val="es-ES_tradnl"/>
        </w:rPr>
        <w:t xml:space="preserve">péndices </w:t>
      </w:r>
      <w:r w:rsidR="00CE559B" w:rsidRPr="00FB0BE6">
        <w:rPr>
          <w:rFonts w:eastAsia="SimSun"/>
          <w:b/>
          <w:bCs/>
          <w:lang w:val="es-ES_tradnl"/>
        </w:rPr>
        <w:t>30</w:t>
      </w:r>
      <w:r w:rsidR="00CE559B" w:rsidRPr="009C650D">
        <w:rPr>
          <w:rFonts w:eastAsia="SimSun"/>
          <w:lang w:val="es-ES_tradnl"/>
        </w:rPr>
        <w:t xml:space="preserve"> y </w:t>
      </w:r>
      <w:r w:rsidR="00CE559B" w:rsidRPr="00FB0BE6">
        <w:rPr>
          <w:rFonts w:eastAsia="SimSun"/>
          <w:b/>
          <w:bCs/>
          <w:lang w:val="es-ES_tradnl"/>
        </w:rPr>
        <w:t>30A</w:t>
      </w:r>
      <w:r w:rsidR="00CE559B" w:rsidRPr="009C650D">
        <w:rPr>
          <w:rFonts w:eastAsia="SimSun"/>
          <w:lang w:val="es-ES_tradnl"/>
        </w:rPr>
        <w:t xml:space="preserve"> </w:t>
      </w:r>
      <w:r w:rsidR="00CE559B">
        <w:rPr>
          <w:rFonts w:eastAsia="SimSun"/>
          <w:lang w:val="es-ES_tradnl"/>
        </w:rPr>
        <w:t>para</w:t>
      </w:r>
      <w:r w:rsidR="00CE559B" w:rsidRPr="009C650D">
        <w:rPr>
          <w:rFonts w:eastAsia="SimSun"/>
          <w:lang w:val="es-ES_tradnl"/>
        </w:rPr>
        <w:t xml:space="preserve"> las Regiones 1 y 3 que no </w:t>
      </w:r>
      <w:r w:rsidR="00CE559B">
        <w:rPr>
          <w:rFonts w:eastAsia="SimSun"/>
          <w:lang w:val="es-ES_tradnl"/>
        </w:rPr>
        <w:t xml:space="preserve">se rijan por </w:t>
      </w:r>
      <w:r w:rsidR="00CE559B" w:rsidRPr="009C650D">
        <w:rPr>
          <w:rFonts w:eastAsia="SimSun"/>
          <w:lang w:val="es-ES_tradnl"/>
        </w:rPr>
        <w:t xml:space="preserve">el procedimiento especial </w:t>
      </w:r>
      <w:r w:rsidR="00CE559B">
        <w:rPr>
          <w:rFonts w:eastAsia="SimSun"/>
          <w:lang w:val="es-ES_tradnl"/>
        </w:rPr>
        <w:t>para</w:t>
      </w:r>
      <w:r w:rsidR="00CE559B" w:rsidRPr="009C650D">
        <w:rPr>
          <w:rFonts w:eastAsia="SimSun"/>
          <w:lang w:val="es-ES_tradnl"/>
        </w:rPr>
        <w:t xml:space="preserve"> posiciones orbitales </w:t>
      </w:r>
      <w:r w:rsidR="00CE559B">
        <w:rPr>
          <w:rFonts w:eastAsia="SimSun"/>
          <w:lang w:val="es-ES_tradnl"/>
        </w:rPr>
        <w:t>en</w:t>
      </w:r>
      <w:r w:rsidR="00CE559B" w:rsidRPr="009C650D">
        <w:rPr>
          <w:rFonts w:eastAsia="SimSun"/>
          <w:lang w:val="es-ES_tradnl"/>
        </w:rPr>
        <w:t xml:space="preserve"> los arcos OSG ante</w:t>
      </w:r>
      <w:r w:rsidR="00CE559B">
        <w:rPr>
          <w:rFonts w:eastAsia="SimSun"/>
          <w:lang w:val="es-ES_tradnl"/>
        </w:rPr>
        <w:t>riormente</w:t>
      </w:r>
      <w:r w:rsidR="00CE559B" w:rsidRPr="009C650D">
        <w:rPr>
          <w:rFonts w:eastAsia="SimSun"/>
          <w:lang w:val="es-ES_tradnl"/>
        </w:rPr>
        <w:t xml:space="preserve"> mencionado</w:t>
      </w:r>
      <w:r>
        <w:rPr>
          <w:rFonts w:eastAsia="SimSun"/>
          <w:lang w:val="es-ES_tradnl"/>
        </w:rPr>
        <w:t>s</w:t>
      </w:r>
      <w:r w:rsidR="00CE559B">
        <w:rPr>
          <w:rFonts w:eastAsia="SimSun"/>
          <w:lang w:val="es-ES_tradnl"/>
        </w:rPr>
        <w:t>, y</w:t>
      </w:r>
      <w:r w:rsidR="00CE559B" w:rsidRPr="009C650D">
        <w:rPr>
          <w:rFonts w:eastAsia="SimSun"/>
          <w:lang w:val="es-ES_tradnl"/>
        </w:rPr>
        <w:t xml:space="preserve"> </w:t>
      </w:r>
      <w:r w:rsidR="00CE559B">
        <w:rPr>
          <w:rFonts w:eastAsia="SimSun"/>
          <w:lang w:val="es-ES_tradnl"/>
        </w:rPr>
        <w:t>que se reciban</w:t>
      </w:r>
      <w:r w:rsidR="00CE559B" w:rsidRPr="009C650D">
        <w:rPr>
          <w:rFonts w:eastAsia="SimSun"/>
          <w:lang w:val="es-ES_tradnl"/>
        </w:rPr>
        <w:t xml:space="preserve"> entre el 23 de noviembre de 2019 y el 21 de mayo de 2020</w:t>
      </w:r>
      <w:r w:rsidR="00CE559B">
        <w:rPr>
          <w:rFonts w:eastAsia="SimSun"/>
          <w:lang w:val="es-ES_tradnl"/>
        </w:rPr>
        <w:t>,</w:t>
      </w:r>
      <w:r w:rsidR="00CE559B" w:rsidRPr="009C650D">
        <w:rPr>
          <w:rFonts w:eastAsia="SimSun"/>
          <w:lang w:val="es-ES_tradnl"/>
        </w:rPr>
        <w:t xml:space="preserve"> tendrán la misma fecha de recepción</w:t>
      </w:r>
      <w:r w:rsidR="00CE559B">
        <w:rPr>
          <w:rFonts w:eastAsia="SimSun"/>
          <w:lang w:val="es-ES_tradnl"/>
        </w:rPr>
        <w:t>, a saber, el</w:t>
      </w:r>
      <w:r w:rsidR="00CE559B" w:rsidRPr="009C650D">
        <w:rPr>
          <w:rFonts w:eastAsia="SimSun"/>
          <w:lang w:val="es-ES_tradnl"/>
        </w:rPr>
        <w:t xml:space="preserve"> 22 de mayo de 2020.</w:t>
      </w:r>
    </w:p>
    <w:p w14:paraId="28D5FC80" w14:textId="69073C58" w:rsidR="00CE559B" w:rsidRPr="00933AA4" w:rsidRDefault="00B1041E" w:rsidP="00F07C8A">
      <w:pPr>
        <w:pStyle w:val="enumlev1"/>
        <w:spacing w:after="360"/>
        <w:rPr>
          <w:rFonts w:eastAsia="SimSun"/>
          <w:lang w:val="es-ES_tradnl"/>
        </w:rPr>
      </w:pPr>
      <w:r w:rsidRPr="00B1041E">
        <w:rPr>
          <w:rFonts w:eastAsia="SimSun"/>
          <w:lang w:val="es-ES_tradnl"/>
        </w:rPr>
        <w:t>–</w:t>
      </w:r>
      <w:r>
        <w:rPr>
          <w:rFonts w:eastAsia="SimSun"/>
          <w:lang w:val="es-ES_tradnl"/>
        </w:rPr>
        <w:tab/>
      </w:r>
      <w:r w:rsidR="00CE559B" w:rsidRPr="009C650D">
        <w:rPr>
          <w:rFonts w:eastAsia="SimSun"/>
          <w:lang w:val="es-ES_tradnl"/>
        </w:rPr>
        <w:t xml:space="preserve">Después del 21 de mayo de 2020, todas las </w:t>
      </w:r>
      <w:r w:rsidR="00CE559B">
        <w:rPr>
          <w:rFonts w:eastAsia="SimSun"/>
          <w:lang w:val="es-ES_tradnl"/>
        </w:rPr>
        <w:t>notificaciones realizadas</w:t>
      </w:r>
      <w:r w:rsidR="00CE559B" w:rsidRPr="009C650D">
        <w:rPr>
          <w:rFonts w:eastAsia="SimSun"/>
          <w:lang w:val="es-ES_tradnl"/>
        </w:rPr>
        <w:t xml:space="preserve"> en virtud del § 4.1.3 de los Apéndices </w:t>
      </w:r>
      <w:r w:rsidR="00CE559B" w:rsidRPr="00FB0BE6">
        <w:rPr>
          <w:rFonts w:eastAsia="SimSun"/>
          <w:b/>
          <w:bCs/>
          <w:lang w:val="es-ES_tradnl"/>
        </w:rPr>
        <w:t>30</w:t>
      </w:r>
      <w:r w:rsidR="00CE559B" w:rsidRPr="009C650D">
        <w:rPr>
          <w:rFonts w:eastAsia="SimSun"/>
          <w:lang w:val="es-ES_tradnl"/>
        </w:rPr>
        <w:t xml:space="preserve"> y </w:t>
      </w:r>
      <w:r w:rsidR="00CE559B" w:rsidRPr="00FB0BE6">
        <w:rPr>
          <w:rFonts w:eastAsia="SimSun"/>
          <w:b/>
          <w:bCs/>
          <w:lang w:val="es-ES_tradnl"/>
        </w:rPr>
        <w:t>30A</w:t>
      </w:r>
      <w:r w:rsidR="00CE559B" w:rsidRPr="009C650D">
        <w:rPr>
          <w:rFonts w:eastAsia="SimSun"/>
          <w:lang w:val="es-ES_tradnl"/>
        </w:rPr>
        <w:t xml:space="preserve"> </w:t>
      </w:r>
      <w:r w:rsidR="00CE559B">
        <w:rPr>
          <w:rFonts w:eastAsia="SimSun"/>
          <w:lang w:val="es-ES_tradnl"/>
        </w:rPr>
        <w:t>para</w:t>
      </w:r>
      <w:r w:rsidR="00CE559B" w:rsidRPr="009C650D">
        <w:rPr>
          <w:rFonts w:eastAsia="SimSun"/>
          <w:lang w:val="es-ES_tradnl"/>
        </w:rPr>
        <w:t xml:space="preserve"> posiciones orbitales </w:t>
      </w:r>
      <w:r w:rsidR="00CE559B">
        <w:rPr>
          <w:rFonts w:eastAsia="SimSun"/>
          <w:lang w:val="es-ES_tradnl"/>
        </w:rPr>
        <w:t>en</w:t>
      </w:r>
      <w:r w:rsidR="00CE559B" w:rsidRPr="009C650D">
        <w:rPr>
          <w:rFonts w:eastAsia="SimSun"/>
          <w:lang w:val="es-ES_tradnl"/>
        </w:rPr>
        <w:t xml:space="preserve"> los arcos OSG ante</w:t>
      </w:r>
      <w:r w:rsidR="00CE559B">
        <w:rPr>
          <w:rFonts w:eastAsia="SimSun"/>
          <w:lang w:val="es-ES_tradnl"/>
        </w:rPr>
        <w:t>riormente</w:t>
      </w:r>
      <w:r w:rsidR="00CE559B" w:rsidRPr="009C650D">
        <w:rPr>
          <w:rFonts w:eastAsia="SimSun"/>
          <w:lang w:val="es-ES_tradnl"/>
        </w:rPr>
        <w:t xml:space="preserve"> mencionados tendrán la fecha de recepción </w:t>
      </w:r>
      <w:r w:rsidR="00CE559B">
        <w:rPr>
          <w:rFonts w:eastAsia="SimSun"/>
          <w:lang w:val="es-ES_tradnl"/>
        </w:rPr>
        <w:t>que se prevé en el</w:t>
      </w:r>
      <w:r w:rsidR="00CE559B" w:rsidRPr="009C650D">
        <w:rPr>
          <w:rFonts w:eastAsia="SimSun"/>
          <w:lang w:val="es-ES_tradnl"/>
        </w:rPr>
        <w:t xml:space="preserve"> Reglamento </w:t>
      </w:r>
      <w:r w:rsidR="00CE559B">
        <w:rPr>
          <w:rFonts w:eastAsia="SimSun"/>
          <w:lang w:val="es-ES_tradnl"/>
        </w:rPr>
        <w:t>de Procedimiento en materia de</w:t>
      </w:r>
      <w:r w:rsidR="00CE559B" w:rsidRPr="009C650D">
        <w:rPr>
          <w:rFonts w:eastAsia="SimSun"/>
          <w:lang w:val="es-ES_tradnl"/>
        </w:rPr>
        <w:t xml:space="preserve"> admisibilidad de notificacion</w:t>
      </w:r>
      <w:r w:rsidR="00CE559B">
        <w:rPr>
          <w:rFonts w:eastAsia="SimSun"/>
          <w:lang w:val="es-ES_tradnl"/>
        </w:rPr>
        <w:t>es</w:t>
      </w:r>
      <w:r w:rsidR="00CE559B" w:rsidRPr="00933AA4">
        <w:rPr>
          <w:rFonts w:eastAsia="SimSun"/>
          <w:lang w:val="es-ES_tradnl"/>
        </w:rPr>
        <w:t>.</w:t>
      </w:r>
    </w:p>
    <w:p w14:paraId="344476E5" w14:textId="77777777" w:rsidR="00CE559B" w:rsidRPr="00CC5421" w:rsidRDefault="00CE559B" w:rsidP="00F07C8A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center" w:pos="7088"/>
        </w:tabs>
        <w:rPr>
          <w:rFonts w:asciiTheme="minorHAnsi" w:eastAsia="SimSun" w:hAnsiTheme="minorHAnsi" w:cstheme="minorHAnsi"/>
          <w:szCs w:val="24"/>
          <w:lang w:val="es-ES_tradnl" w:eastAsia="zh-CN"/>
        </w:rPr>
      </w:pP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La solicitud de aplicación del procedimiento especial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deberá remitirse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a la Oficina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 xml:space="preserve">a través del </w:t>
      </w:r>
      <w:hyperlink r:id="rId9" w:history="1">
        <w:r w:rsidRPr="00CC5421">
          <w:rPr>
            <w:rStyle w:val="Hyperlink"/>
            <w:rFonts w:asciiTheme="minorHAnsi" w:eastAsia="SimSun" w:hAnsiTheme="minorHAnsi" w:cstheme="minorHAnsi"/>
            <w:szCs w:val="24"/>
            <w:lang w:val="es-ES_tradnl" w:eastAsia="zh-CN"/>
          </w:rPr>
          <w:t>sistema de notificación electrónica</w:t>
        </w:r>
      </w:hyperlink>
      <w:r>
        <w:rPr>
          <w:rFonts w:asciiTheme="minorHAnsi" w:eastAsia="SimSun" w:hAnsiTheme="minorHAnsi" w:cstheme="minorHAnsi"/>
          <w:szCs w:val="24"/>
          <w:lang w:val="es-ES_tradnl" w:eastAsia="zh-CN"/>
        </w:rPr>
        <w:t>,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con los datos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suplementarios que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figuran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en el párrafo 2 del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adjunto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a la Resolución </w:t>
      </w:r>
      <w:r w:rsidRPr="00CC5421">
        <w:rPr>
          <w:rFonts w:asciiTheme="minorHAnsi" w:eastAsia="SimSun" w:hAnsiTheme="minorHAnsi" w:cstheme="minorHAnsi"/>
          <w:b/>
          <w:bCs/>
          <w:szCs w:val="24"/>
          <w:lang w:val="es-ES_tradnl" w:eastAsia="zh-CN"/>
        </w:rPr>
        <w:t>559 [COM5/3] (CMR-19).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La utilización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de dicho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sistema se explica en la </w:t>
      </w:r>
      <w:hyperlink r:id="rId10" w:history="1">
        <w:r w:rsidRPr="00CC5421">
          <w:rPr>
            <w:rStyle w:val="Hyperlink"/>
            <w:rFonts w:asciiTheme="minorHAnsi" w:eastAsia="SimSun" w:hAnsiTheme="minorHAnsi" w:cstheme="minorHAnsi"/>
            <w:szCs w:val="24"/>
            <w:lang w:val="es-ES_tradnl" w:eastAsia="zh-CN"/>
          </w:rPr>
          <w:t>Carta Circular CR/434</w:t>
        </w:r>
      </w:hyperlink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de fecha 1 de agosto de 2018.</w:t>
      </w:r>
    </w:p>
    <w:p w14:paraId="4191F21A" w14:textId="0DEFD22C" w:rsidR="00CE559B" w:rsidRPr="00CC5421" w:rsidRDefault="00CE559B" w:rsidP="00F07C8A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center" w:pos="7088"/>
        </w:tabs>
        <w:rPr>
          <w:rFonts w:asciiTheme="minorHAnsi" w:eastAsia="SimSun" w:hAnsiTheme="minorHAnsi" w:cstheme="minorHAnsi"/>
          <w:szCs w:val="24"/>
          <w:lang w:val="es-ES_tradnl" w:eastAsia="zh-CN"/>
        </w:rPr>
      </w:pP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De conformidad con el </w:t>
      </w:r>
      <w:r w:rsidRPr="00496FB4">
        <w:rPr>
          <w:rFonts w:asciiTheme="minorHAnsi" w:eastAsia="SimSun" w:hAnsiTheme="minorHAnsi" w:cstheme="minorHAnsi"/>
          <w:i/>
          <w:iCs/>
          <w:szCs w:val="24"/>
          <w:lang w:val="es-ES_tradnl" w:eastAsia="zh-CN"/>
        </w:rPr>
        <w:t>encarga al Director de la Oficina de Radiocomunicaciones 2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de la Resolución </w:t>
      </w:r>
      <w:r w:rsidRPr="00496FB4">
        <w:rPr>
          <w:rFonts w:asciiTheme="minorHAnsi" w:eastAsia="SimSun" w:hAnsiTheme="minorHAnsi" w:cstheme="minorHAnsi"/>
          <w:b/>
          <w:bCs/>
          <w:szCs w:val="24"/>
          <w:lang w:val="es-ES_tradnl" w:eastAsia="zh-CN"/>
        </w:rPr>
        <w:t>559 [COM5/3] (CMR-19)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, las administraciones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que se enumeran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en el Anexo a la presente Carta Circular podrán solicitar la asistencia de la Oficina en relación con la aplicación del procedimiento especial ante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riormente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mencionado.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 xml:space="preserve"> 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La solicitud de asistencia deberá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cursarse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por correo electrónico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, a la siguiente dirección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: </w:t>
      </w:r>
      <w:hyperlink r:id="rId11" w:history="1">
        <w:r w:rsidRPr="00951E26">
          <w:rPr>
            <w:rStyle w:val="Hyperlink"/>
            <w:rFonts w:asciiTheme="minorHAnsi" w:eastAsia="SimSun" w:hAnsiTheme="minorHAnsi" w:cstheme="minorHAnsi"/>
            <w:szCs w:val="24"/>
            <w:lang w:val="es-ES_tradnl" w:eastAsia="zh-CN"/>
          </w:rPr>
          <w:t>ap30_assistance@itu.int</w:t>
        </w:r>
      </w:hyperlink>
      <w:r w:rsidR="00B1041E">
        <w:rPr>
          <w:rFonts w:asciiTheme="minorHAnsi" w:eastAsia="SimSun" w:hAnsiTheme="minorHAnsi" w:cstheme="minorHAnsi"/>
          <w:szCs w:val="24"/>
          <w:lang w:val="es-ES_tradnl" w:eastAsia="zh-CN"/>
        </w:rPr>
        <w:t>.</w:t>
      </w:r>
    </w:p>
    <w:p w14:paraId="1701B128" w14:textId="77777777" w:rsidR="00CE559B" w:rsidRPr="00CC5421" w:rsidRDefault="00CE559B" w:rsidP="00F07C8A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center" w:pos="7088"/>
        </w:tabs>
        <w:rPr>
          <w:rFonts w:asciiTheme="minorHAnsi" w:eastAsia="SimSun" w:hAnsiTheme="minorHAnsi" w:cstheme="minorHAnsi"/>
          <w:szCs w:val="24"/>
          <w:lang w:val="es-ES_tradnl" w:eastAsia="zh-CN"/>
        </w:rPr>
      </w:pPr>
      <w:r>
        <w:rPr>
          <w:rFonts w:asciiTheme="minorHAnsi" w:eastAsia="SimSun" w:hAnsiTheme="minorHAnsi" w:cstheme="minorHAnsi"/>
          <w:szCs w:val="24"/>
          <w:lang w:val="es-ES_tradnl" w:eastAsia="zh-CN"/>
        </w:rPr>
        <w:t>Las conclusiones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relativas a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la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 xml:space="preserve"> labor de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asistencia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sobre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identificación de nuevas posiciones orbitales y canales de frecuencia adecuados se pondrán a disposición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 xml:space="preserve">a través de la página web </w:t>
      </w:r>
      <w:hyperlink r:id="rId12" w:history="1">
        <w:r w:rsidRPr="00951E26">
          <w:rPr>
            <w:rStyle w:val="Hyperlink"/>
            <w:rFonts w:asciiTheme="minorHAnsi" w:eastAsia="SimSun" w:hAnsiTheme="minorHAnsi" w:cstheme="minorHAnsi"/>
            <w:szCs w:val="24"/>
            <w:lang w:val="es-ES_tradnl" w:eastAsia="zh-CN"/>
          </w:rPr>
          <w:t>https://www.itu.int/en/ITU-R/space/plans/Pages/WRC-19_AI14_Resources.aspx</w:t>
        </w:r>
      </w:hyperlink>
      <w:r>
        <w:rPr>
          <w:rFonts w:asciiTheme="minorHAnsi" w:eastAsia="SimSun" w:hAnsiTheme="minorHAnsi" w:cstheme="minorHAnsi"/>
          <w:szCs w:val="24"/>
          <w:lang w:val="es-ES_tradnl" w:eastAsia="zh-CN"/>
        </w:rPr>
        <w:t xml:space="preserve"> del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</w:t>
      </w:r>
      <w:r w:rsidRPr="00496FB4">
        <w:rPr>
          <w:rFonts w:asciiTheme="minorHAnsi" w:eastAsia="SimSun" w:hAnsiTheme="minorHAnsi" w:cstheme="minorHAnsi"/>
          <w:szCs w:val="24"/>
          <w:lang w:val="es-ES_tradnl" w:eastAsia="zh-CN"/>
        </w:rPr>
        <w:t>sitio web de los servicios espaciales de la BR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, con objeto de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que otras administraciones puedan tenerlos en cuenta.</w:t>
      </w:r>
    </w:p>
    <w:p w14:paraId="450F5F2A" w14:textId="77777777" w:rsidR="00E06A54" w:rsidRDefault="00E06A54" w:rsidP="00F07C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eastAsia="SimSun" w:hAnsiTheme="minorHAnsi" w:cstheme="minorHAnsi"/>
          <w:szCs w:val="24"/>
          <w:lang w:val="es-ES_tradnl" w:eastAsia="zh-CN"/>
        </w:rPr>
      </w:pPr>
      <w:r>
        <w:rPr>
          <w:rFonts w:asciiTheme="minorHAnsi" w:eastAsia="SimSun" w:hAnsiTheme="minorHAnsi" w:cstheme="minorHAnsi"/>
          <w:szCs w:val="24"/>
          <w:lang w:val="es-ES_tradnl" w:eastAsia="zh-CN"/>
        </w:rPr>
        <w:br w:type="page"/>
      </w:r>
    </w:p>
    <w:p w14:paraId="36F5F99D" w14:textId="0C416D6B" w:rsidR="00CE559B" w:rsidRDefault="00CE559B" w:rsidP="00F07C8A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center" w:pos="7088"/>
        </w:tabs>
        <w:rPr>
          <w:rFonts w:asciiTheme="minorHAnsi" w:eastAsia="SimSun" w:hAnsiTheme="minorHAnsi" w:cstheme="minorHAnsi"/>
          <w:szCs w:val="24"/>
          <w:lang w:val="es-ES_tradnl" w:eastAsia="zh-CN"/>
        </w:rPr>
      </w:pP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lastRenderedPageBreak/>
        <w:t xml:space="preserve">Además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 xml:space="preserve">de publicarse la información </w:t>
      </w:r>
      <w:r w:rsidR="00B1041E">
        <w:rPr>
          <w:rFonts w:asciiTheme="minorHAnsi" w:eastAsia="SimSun" w:hAnsiTheme="minorHAnsi" w:cstheme="minorHAnsi"/>
          <w:szCs w:val="24"/>
          <w:lang w:val="es-ES_tradnl" w:eastAsia="zh-CN"/>
        </w:rPr>
        <w:t>«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tal y como se recibe</w:t>
      </w:r>
      <w:r w:rsidR="00B1041E">
        <w:rPr>
          <w:rFonts w:asciiTheme="minorHAnsi" w:eastAsia="SimSun" w:hAnsiTheme="minorHAnsi" w:cstheme="minorHAnsi"/>
          <w:szCs w:val="24"/>
          <w:lang w:val="es-ES_tradnl" w:eastAsia="zh-CN"/>
        </w:rPr>
        <w:t>»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en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 xml:space="preserve">la página web </w:t>
      </w:r>
      <w:hyperlink r:id="rId13" w:history="1">
        <w:r w:rsidRPr="00951E26">
          <w:rPr>
            <w:rStyle w:val="Hyperlink"/>
            <w:rFonts w:asciiTheme="minorHAnsi" w:eastAsia="SimSun" w:hAnsiTheme="minorHAnsi" w:cstheme="minorHAnsi"/>
            <w:szCs w:val="24"/>
            <w:lang w:val="es-ES_tradnl" w:eastAsia="zh-CN"/>
          </w:rPr>
          <w:t>https://www.itu.int/ITU-R/space/asreceived/Publication/AsReceived</w:t>
        </w:r>
      </w:hyperlink>
      <w:r>
        <w:rPr>
          <w:rFonts w:asciiTheme="minorHAnsi" w:eastAsia="SimSun" w:hAnsiTheme="minorHAnsi" w:cstheme="minorHAnsi"/>
          <w:szCs w:val="24"/>
          <w:lang w:val="es-ES_tradnl" w:eastAsia="zh-CN"/>
        </w:rPr>
        <w:t xml:space="preserve"> del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sitio web </w:t>
      </w:r>
      <w:r w:rsidRPr="00496FB4">
        <w:rPr>
          <w:rFonts w:asciiTheme="minorHAnsi" w:eastAsia="SimSun" w:hAnsiTheme="minorHAnsi" w:cstheme="minorHAnsi"/>
          <w:szCs w:val="24"/>
          <w:lang w:val="es-ES_tradnl" w:eastAsia="zh-CN"/>
        </w:rPr>
        <w:t>de los servicios espaciales de la BR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,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del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24 de marzo de 2020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al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21 de mayo de 2020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,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la Oficina publicará las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notificaciones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recibidas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en relación con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la aplicación del procedimiento especial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a través de la página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web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de los servicios espaciales</w:t>
      </w:r>
      <w:r w:rsidRPr="00CC5421">
        <w:rPr>
          <w:rFonts w:asciiTheme="minorHAnsi" w:eastAsia="SimSun" w:hAnsiTheme="minorHAnsi" w:cstheme="minorHAnsi"/>
          <w:szCs w:val="24"/>
          <w:lang w:val="es-ES_tradnl" w:eastAsia="zh-CN"/>
        </w:rPr>
        <w:t xml:space="preserve"> de la BR </w:t>
      </w:r>
      <w:hyperlink r:id="rId14" w:history="1">
        <w:r w:rsidRPr="008E17CB">
          <w:rPr>
            <w:rStyle w:val="Hyperlink"/>
            <w:rFonts w:asciiTheme="minorHAnsi" w:eastAsia="SimSun" w:hAnsiTheme="minorHAnsi" w:cstheme="minorHAnsi"/>
            <w:szCs w:val="24"/>
            <w:lang w:val="es-ES"/>
          </w:rPr>
          <w:t>https://www.itu.int/en/ITU-R/space/plans/Pages/WRC-19_AI14_Resources.aspx</w:t>
        </w:r>
      </w:hyperlink>
      <w:r w:rsidR="00B1041E" w:rsidRPr="00B1041E">
        <w:rPr>
          <w:rStyle w:val="Hyperlink"/>
          <w:rFonts w:asciiTheme="minorHAnsi" w:eastAsia="SimSun" w:hAnsiTheme="minorHAnsi" w:cstheme="minorHAnsi"/>
          <w:szCs w:val="24"/>
          <w:u w:val="none"/>
          <w:lang w:val="es-ES"/>
        </w:rPr>
        <w:t>.</w:t>
      </w:r>
    </w:p>
    <w:p w14:paraId="1575CAB6" w14:textId="77777777" w:rsidR="00CE559B" w:rsidRPr="008E17CB" w:rsidRDefault="00CE559B" w:rsidP="00F07C8A">
      <w:pPr>
        <w:tabs>
          <w:tab w:val="clear" w:pos="794"/>
          <w:tab w:val="clear" w:pos="1191"/>
          <w:tab w:val="clear" w:pos="1588"/>
          <w:tab w:val="clear" w:pos="1985"/>
          <w:tab w:val="left" w:pos="-426"/>
          <w:tab w:val="left" w:pos="720"/>
        </w:tabs>
        <w:spacing w:line="240" w:lineRule="auto"/>
        <w:rPr>
          <w:rFonts w:asciiTheme="minorHAnsi" w:eastAsia="SimSun" w:hAnsiTheme="minorHAnsi" w:cstheme="minorHAnsi"/>
          <w:szCs w:val="24"/>
          <w:lang w:val="es-ES" w:eastAsia="zh-CN"/>
        </w:rPr>
      </w:pPr>
      <w:r w:rsidRPr="008E17CB">
        <w:rPr>
          <w:rFonts w:asciiTheme="minorHAnsi" w:eastAsia="SimSun" w:hAnsiTheme="minorHAnsi" w:cstheme="minorHAnsi"/>
          <w:szCs w:val="24"/>
          <w:lang w:val="es-ES" w:eastAsia="zh-CN"/>
        </w:rPr>
        <w:t xml:space="preserve">La Oficina de Radiocomunicaciones confía en que la información </w:t>
      </w:r>
      <w:r>
        <w:rPr>
          <w:rFonts w:asciiTheme="minorHAnsi" w:eastAsia="SimSun" w:hAnsiTheme="minorHAnsi" w:cstheme="minorHAnsi"/>
          <w:szCs w:val="24"/>
          <w:lang w:val="es-ES" w:eastAsia="zh-CN"/>
        </w:rPr>
        <w:t xml:space="preserve">anteriormente </w:t>
      </w:r>
      <w:r w:rsidRPr="008E17CB">
        <w:rPr>
          <w:rFonts w:asciiTheme="minorHAnsi" w:eastAsia="SimSun" w:hAnsiTheme="minorHAnsi" w:cstheme="minorHAnsi"/>
          <w:szCs w:val="24"/>
          <w:lang w:val="es-ES" w:eastAsia="zh-CN"/>
        </w:rPr>
        <w:t xml:space="preserve">facilitada sea de utilidad, y se mantiene a disposición de su Administración para </w:t>
      </w:r>
      <w:r>
        <w:rPr>
          <w:rFonts w:asciiTheme="minorHAnsi" w:eastAsia="SimSun" w:hAnsiTheme="minorHAnsi" w:cstheme="minorHAnsi"/>
          <w:szCs w:val="24"/>
          <w:lang w:val="es-ES" w:eastAsia="zh-CN"/>
        </w:rPr>
        <w:t>toda</w:t>
      </w:r>
      <w:r w:rsidRPr="008E17CB">
        <w:rPr>
          <w:rFonts w:asciiTheme="minorHAnsi" w:eastAsia="SimSun" w:hAnsiTheme="minorHAnsi" w:cstheme="minorHAnsi"/>
          <w:szCs w:val="24"/>
          <w:lang w:val="es-ES" w:eastAsia="zh-CN"/>
        </w:rPr>
        <w:t xml:space="preserve"> información </w:t>
      </w:r>
      <w:r>
        <w:rPr>
          <w:rFonts w:asciiTheme="minorHAnsi" w:eastAsia="SimSun" w:hAnsiTheme="minorHAnsi" w:cstheme="minorHAnsi"/>
          <w:szCs w:val="24"/>
          <w:lang w:val="es-ES" w:eastAsia="zh-CN"/>
        </w:rPr>
        <w:t>suplementaria</w:t>
      </w:r>
      <w:r w:rsidRPr="008E17CB">
        <w:rPr>
          <w:rFonts w:asciiTheme="minorHAnsi" w:eastAsia="SimSun" w:hAnsiTheme="minorHAnsi" w:cstheme="minorHAnsi"/>
          <w:szCs w:val="24"/>
          <w:lang w:val="es-ES" w:eastAsia="zh-CN"/>
        </w:rPr>
        <w:t xml:space="preserve"> que pudiera requerir. </w:t>
      </w:r>
    </w:p>
    <w:p w14:paraId="62EE7751" w14:textId="77777777" w:rsidR="00CE559B" w:rsidRPr="008E17CB" w:rsidRDefault="00CE559B" w:rsidP="00F07C8A">
      <w:pPr>
        <w:spacing w:before="120" w:after="240" w:line="240" w:lineRule="auto"/>
        <w:rPr>
          <w:rFonts w:asciiTheme="minorHAnsi" w:eastAsia="SimSun" w:hAnsiTheme="minorHAnsi" w:cstheme="minorHAnsi"/>
          <w:szCs w:val="24"/>
          <w:lang w:val="es-ES"/>
        </w:rPr>
      </w:pPr>
    </w:p>
    <w:p w14:paraId="7164380A" w14:textId="77777777" w:rsidR="00CE559B" w:rsidRPr="008E17CB" w:rsidRDefault="00CE559B" w:rsidP="00CE559B">
      <w:pPr>
        <w:spacing w:before="120" w:after="240" w:line="240" w:lineRule="auto"/>
        <w:jc w:val="left"/>
        <w:rPr>
          <w:rFonts w:asciiTheme="minorHAnsi" w:eastAsia="SimSun" w:hAnsiTheme="minorHAnsi" w:cstheme="minorHAnsi"/>
          <w:szCs w:val="24"/>
          <w:lang w:val="es-ES"/>
        </w:rPr>
      </w:pPr>
    </w:p>
    <w:p w14:paraId="2CC6BAC4" w14:textId="77777777" w:rsidR="00CE559B" w:rsidRPr="008E17CB" w:rsidRDefault="00CE559B" w:rsidP="00CE559B">
      <w:pPr>
        <w:spacing w:before="0" w:line="240" w:lineRule="auto"/>
        <w:jc w:val="left"/>
        <w:rPr>
          <w:rFonts w:asciiTheme="minorHAnsi" w:eastAsia="SimSun" w:hAnsiTheme="minorHAnsi" w:cstheme="minorHAnsi"/>
          <w:szCs w:val="24"/>
          <w:lang w:val="es-ES"/>
        </w:rPr>
      </w:pPr>
    </w:p>
    <w:p w14:paraId="5EF7B0AA" w14:textId="77777777" w:rsidR="00CE559B" w:rsidRPr="00933AA4" w:rsidRDefault="00CE559B" w:rsidP="00CE559B">
      <w:pPr>
        <w:tabs>
          <w:tab w:val="clear" w:pos="794"/>
          <w:tab w:val="clear" w:pos="1191"/>
          <w:tab w:val="clear" w:pos="1588"/>
        </w:tabs>
        <w:spacing w:before="0" w:line="240" w:lineRule="auto"/>
        <w:jc w:val="left"/>
        <w:rPr>
          <w:rFonts w:asciiTheme="minorHAnsi" w:eastAsiaTheme="majorEastAsia" w:hAnsiTheme="minorHAnsi" w:cstheme="minorHAnsi"/>
          <w:szCs w:val="24"/>
          <w:lang w:val="es-ES_tradnl"/>
        </w:rPr>
      </w:pPr>
      <w:r w:rsidRPr="00933AA4">
        <w:rPr>
          <w:rFonts w:asciiTheme="minorHAnsi" w:eastAsiaTheme="majorEastAsia" w:hAnsiTheme="minorHAnsi" w:cstheme="minorHAnsi"/>
          <w:szCs w:val="24"/>
          <w:lang w:val="es-ES_tradnl"/>
        </w:rPr>
        <w:t>Mario Maniewicz</w:t>
      </w:r>
    </w:p>
    <w:p w14:paraId="5F416430" w14:textId="77777777" w:rsidR="00CE559B" w:rsidRPr="00933AA4" w:rsidRDefault="00CE559B" w:rsidP="00CE559B">
      <w:pPr>
        <w:tabs>
          <w:tab w:val="clear" w:pos="794"/>
          <w:tab w:val="clear" w:pos="1191"/>
          <w:tab w:val="clear" w:pos="1588"/>
        </w:tabs>
        <w:spacing w:before="0" w:line="240" w:lineRule="auto"/>
        <w:jc w:val="left"/>
        <w:rPr>
          <w:rFonts w:asciiTheme="minorHAnsi" w:eastAsiaTheme="majorEastAsia" w:hAnsiTheme="minorHAnsi" w:cstheme="minorHAnsi"/>
          <w:szCs w:val="24"/>
          <w:lang w:val="es-ES_tradnl"/>
        </w:rPr>
      </w:pPr>
      <w:r w:rsidRPr="00933AA4">
        <w:rPr>
          <w:rFonts w:asciiTheme="minorHAnsi" w:eastAsiaTheme="majorEastAsia" w:hAnsiTheme="minorHAnsi" w:cstheme="minorHAnsi"/>
          <w:szCs w:val="24"/>
          <w:lang w:val="es-ES_tradnl"/>
        </w:rPr>
        <w:t>Director</w:t>
      </w:r>
    </w:p>
    <w:p w14:paraId="6AAD7DFF" w14:textId="77777777" w:rsidR="00CE559B" w:rsidRPr="00933AA4" w:rsidRDefault="00CE559B" w:rsidP="00CE559B">
      <w:pPr>
        <w:tabs>
          <w:tab w:val="clear" w:pos="794"/>
          <w:tab w:val="clear" w:pos="1191"/>
          <w:tab w:val="clear" w:pos="1588"/>
        </w:tabs>
        <w:spacing w:before="0" w:line="240" w:lineRule="auto"/>
        <w:jc w:val="left"/>
        <w:rPr>
          <w:rFonts w:asciiTheme="minorHAnsi" w:eastAsiaTheme="majorEastAsia" w:hAnsiTheme="minorHAnsi" w:cstheme="minorHAnsi"/>
          <w:szCs w:val="24"/>
          <w:lang w:val="es-ES_tradnl"/>
        </w:rPr>
      </w:pPr>
    </w:p>
    <w:p w14:paraId="1CC78372" w14:textId="77777777" w:rsidR="00CE559B" w:rsidRPr="00933AA4" w:rsidRDefault="00CE559B" w:rsidP="00CE559B">
      <w:pPr>
        <w:tabs>
          <w:tab w:val="clear" w:pos="794"/>
          <w:tab w:val="clear" w:pos="1191"/>
          <w:tab w:val="clear" w:pos="1588"/>
        </w:tabs>
        <w:spacing w:before="0" w:line="240" w:lineRule="auto"/>
        <w:jc w:val="left"/>
        <w:rPr>
          <w:rFonts w:asciiTheme="minorHAnsi" w:eastAsiaTheme="majorEastAsia" w:hAnsiTheme="minorHAnsi" w:cstheme="minorHAnsi"/>
          <w:szCs w:val="24"/>
          <w:lang w:val="es-ES_tradnl"/>
        </w:rPr>
      </w:pPr>
    </w:p>
    <w:p w14:paraId="2D0A5DCB" w14:textId="77777777" w:rsidR="00CE559B" w:rsidRPr="00933AA4" w:rsidRDefault="00CE559B" w:rsidP="00CE559B">
      <w:pPr>
        <w:tabs>
          <w:tab w:val="clear" w:pos="794"/>
          <w:tab w:val="clear" w:pos="1191"/>
          <w:tab w:val="clear" w:pos="1588"/>
        </w:tabs>
        <w:spacing w:before="0" w:line="240" w:lineRule="auto"/>
        <w:jc w:val="left"/>
        <w:rPr>
          <w:rFonts w:asciiTheme="minorHAnsi" w:eastAsiaTheme="majorEastAsia" w:hAnsiTheme="minorHAnsi" w:cstheme="minorHAnsi"/>
          <w:szCs w:val="24"/>
          <w:lang w:val="es-ES_tradnl"/>
        </w:rPr>
      </w:pPr>
    </w:p>
    <w:p w14:paraId="01BD0320" w14:textId="77777777" w:rsidR="00CE559B" w:rsidRPr="00933AA4" w:rsidRDefault="00CE559B" w:rsidP="00CE559B">
      <w:pPr>
        <w:tabs>
          <w:tab w:val="clear" w:pos="794"/>
          <w:tab w:val="clear" w:pos="1191"/>
          <w:tab w:val="clear" w:pos="1588"/>
        </w:tabs>
        <w:spacing w:before="0" w:line="240" w:lineRule="auto"/>
        <w:jc w:val="left"/>
        <w:rPr>
          <w:rFonts w:asciiTheme="minorHAnsi" w:eastAsiaTheme="majorEastAsia" w:hAnsiTheme="minorHAnsi" w:cstheme="minorHAnsi"/>
          <w:szCs w:val="24"/>
          <w:lang w:val="es-ES_tradnl"/>
        </w:rPr>
      </w:pPr>
    </w:p>
    <w:p w14:paraId="4B2D95F3" w14:textId="77777777" w:rsidR="00CE559B" w:rsidRPr="00933AA4" w:rsidRDefault="00CE559B" w:rsidP="00CE559B">
      <w:pPr>
        <w:tabs>
          <w:tab w:val="clear" w:pos="794"/>
          <w:tab w:val="clear" w:pos="1191"/>
          <w:tab w:val="clear" w:pos="1588"/>
        </w:tabs>
        <w:spacing w:before="0" w:line="240" w:lineRule="auto"/>
        <w:jc w:val="left"/>
        <w:rPr>
          <w:rFonts w:asciiTheme="minorHAnsi" w:eastAsiaTheme="majorEastAsia" w:hAnsiTheme="minorHAnsi" w:cstheme="minorHAnsi"/>
          <w:szCs w:val="24"/>
          <w:lang w:val="es-ES_tradnl"/>
        </w:rPr>
      </w:pPr>
    </w:p>
    <w:p w14:paraId="2EDE7561" w14:textId="77777777" w:rsidR="00CE559B" w:rsidRPr="00933AA4" w:rsidRDefault="00CE559B" w:rsidP="00CE559B">
      <w:pPr>
        <w:tabs>
          <w:tab w:val="clear" w:pos="794"/>
          <w:tab w:val="clear" w:pos="1191"/>
          <w:tab w:val="clear" w:pos="1588"/>
        </w:tabs>
        <w:spacing w:before="0" w:line="240" w:lineRule="auto"/>
        <w:jc w:val="left"/>
        <w:rPr>
          <w:rFonts w:asciiTheme="minorHAnsi" w:eastAsiaTheme="majorEastAsia" w:hAnsiTheme="minorHAnsi" w:cstheme="minorHAnsi"/>
          <w:szCs w:val="24"/>
          <w:lang w:val="es-ES_tradnl"/>
        </w:rPr>
      </w:pPr>
    </w:p>
    <w:p w14:paraId="2749DC83" w14:textId="77777777" w:rsidR="00CE559B" w:rsidRPr="00933AA4" w:rsidRDefault="00CE559B" w:rsidP="00CE559B">
      <w:pPr>
        <w:tabs>
          <w:tab w:val="clear" w:pos="794"/>
          <w:tab w:val="clear" w:pos="1191"/>
          <w:tab w:val="clear" w:pos="1588"/>
        </w:tabs>
        <w:spacing w:before="0" w:line="240" w:lineRule="auto"/>
        <w:jc w:val="left"/>
        <w:rPr>
          <w:rFonts w:asciiTheme="minorHAnsi" w:eastAsiaTheme="majorEastAsia" w:hAnsiTheme="minorHAnsi" w:cstheme="minorHAnsi"/>
          <w:szCs w:val="24"/>
          <w:lang w:val="es-ES_tradnl"/>
        </w:rPr>
      </w:pPr>
    </w:p>
    <w:p w14:paraId="579D5200" w14:textId="77777777" w:rsidR="00CE559B" w:rsidRPr="00933AA4" w:rsidRDefault="00CE559B" w:rsidP="00CE559B">
      <w:pPr>
        <w:tabs>
          <w:tab w:val="clear" w:pos="794"/>
          <w:tab w:val="clear" w:pos="1191"/>
          <w:tab w:val="clear" w:pos="1588"/>
        </w:tabs>
        <w:spacing w:before="0" w:line="240" w:lineRule="auto"/>
        <w:jc w:val="left"/>
        <w:rPr>
          <w:rFonts w:asciiTheme="minorHAnsi" w:eastAsiaTheme="majorEastAsia" w:hAnsiTheme="minorHAnsi" w:cstheme="minorHAnsi"/>
          <w:szCs w:val="24"/>
          <w:lang w:val="es-ES_tradnl"/>
        </w:rPr>
      </w:pPr>
    </w:p>
    <w:p w14:paraId="495F9D9F" w14:textId="77777777" w:rsidR="00CE559B" w:rsidRPr="00933AA4" w:rsidRDefault="00CE559B" w:rsidP="00CE559B">
      <w:pPr>
        <w:spacing w:before="0" w:line="240" w:lineRule="auto"/>
        <w:jc w:val="left"/>
        <w:rPr>
          <w:rFonts w:asciiTheme="minorHAnsi" w:eastAsia="SimSun" w:hAnsiTheme="minorHAnsi" w:cstheme="minorHAnsi"/>
          <w:szCs w:val="24"/>
          <w:lang w:val="es-ES_tradnl"/>
        </w:rPr>
      </w:pPr>
      <w:r w:rsidRPr="00933AA4">
        <w:rPr>
          <w:rFonts w:asciiTheme="minorHAnsi" w:eastAsiaTheme="majorEastAsia" w:hAnsiTheme="minorHAnsi" w:cstheme="minorHAnsi"/>
          <w:szCs w:val="24"/>
          <w:lang w:val="es-ES_tradnl"/>
        </w:rPr>
        <w:t>An</w:t>
      </w:r>
      <w:r>
        <w:rPr>
          <w:rFonts w:asciiTheme="minorHAnsi" w:eastAsiaTheme="majorEastAsia" w:hAnsiTheme="minorHAnsi" w:cstheme="minorHAnsi"/>
          <w:szCs w:val="24"/>
          <w:lang w:val="es-ES_tradnl"/>
        </w:rPr>
        <w:t>exo</w:t>
      </w:r>
      <w:r w:rsidRPr="00933AA4">
        <w:rPr>
          <w:rFonts w:asciiTheme="minorHAnsi" w:eastAsia="SimSun" w:hAnsiTheme="minorHAnsi" w:cstheme="minorHAnsi"/>
          <w:szCs w:val="24"/>
          <w:lang w:val="es-ES_tradnl"/>
        </w:rPr>
        <w:t>:</w:t>
      </w:r>
    </w:p>
    <w:p w14:paraId="742EAB82" w14:textId="77777777" w:rsidR="00CE559B" w:rsidRPr="00933AA4" w:rsidRDefault="00CE559B" w:rsidP="00CE559B">
      <w:pPr>
        <w:spacing w:before="0" w:line="240" w:lineRule="auto"/>
        <w:jc w:val="left"/>
        <w:rPr>
          <w:rFonts w:asciiTheme="minorHAnsi" w:eastAsia="SimSun" w:hAnsiTheme="minorHAnsi" w:cstheme="minorHAnsi"/>
          <w:szCs w:val="24"/>
          <w:lang w:val="es-ES_tradnl"/>
        </w:rPr>
      </w:pPr>
      <w:r>
        <w:rPr>
          <w:rFonts w:asciiTheme="minorHAnsi" w:eastAsia="SimSun" w:hAnsiTheme="minorHAnsi" w:cstheme="minorHAnsi"/>
          <w:szCs w:val="24"/>
          <w:lang w:val="es-ES_tradnl"/>
        </w:rPr>
        <w:t>A</w:t>
      </w:r>
      <w:r w:rsidRPr="008E17CB">
        <w:rPr>
          <w:rFonts w:asciiTheme="minorHAnsi" w:eastAsia="SimSun" w:hAnsiTheme="minorHAnsi" w:cstheme="minorHAnsi"/>
          <w:szCs w:val="24"/>
          <w:lang w:val="es-ES_tradnl"/>
        </w:rPr>
        <w:t xml:space="preserve">dministraciones que pueden aplicar el procedimiento especial de la </w:t>
      </w:r>
      <w:r w:rsidRPr="008E17CB">
        <w:rPr>
          <w:rFonts w:asciiTheme="minorHAnsi" w:eastAsia="SimSun" w:hAnsiTheme="minorHAnsi" w:cstheme="minorHAnsi"/>
          <w:b/>
          <w:bCs/>
          <w:szCs w:val="24"/>
          <w:lang w:val="es-ES_tradnl"/>
        </w:rPr>
        <w:t xml:space="preserve">Resolución 559 [COM5/3] (CMR 19 </w:t>
      </w:r>
      <w:r w:rsidRPr="008E17CB">
        <w:rPr>
          <w:rFonts w:asciiTheme="minorHAnsi" w:eastAsia="SimSun" w:hAnsiTheme="minorHAnsi" w:cstheme="minorHAnsi"/>
          <w:b/>
          <w:bCs/>
          <w:szCs w:val="24"/>
          <w:lang w:val="es-ES_tradnl" w:eastAsia="zh-CN"/>
        </w:rPr>
        <w:t>59</w:t>
      </w:r>
      <w:r>
        <w:rPr>
          <w:rFonts w:asciiTheme="minorHAnsi" w:eastAsia="SimSun" w:hAnsiTheme="minorHAnsi" w:cstheme="minorHAnsi"/>
          <w:b/>
          <w:bCs/>
          <w:szCs w:val="24"/>
          <w:lang w:val="es-ES_tradnl" w:eastAsia="zh-CN"/>
        </w:rPr>
        <w:t>)</w:t>
      </w:r>
    </w:p>
    <w:p w14:paraId="3D7696C2" w14:textId="77777777" w:rsidR="00CE559B" w:rsidRPr="00933AA4" w:rsidRDefault="00CE559B" w:rsidP="00CE559B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eft"/>
        <w:rPr>
          <w:rFonts w:asciiTheme="minorHAnsi" w:eastAsiaTheme="majorEastAsia" w:hAnsiTheme="minorHAnsi" w:cstheme="minorHAnsi"/>
          <w:szCs w:val="24"/>
          <w:lang w:val="es-ES_tradnl"/>
        </w:rPr>
      </w:pPr>
      <w:r w:rsidRPr="00933AA4">
        <w:rPr>
          <w:rFonts w:asciiTheme="minorHAnsi" w:eastAsiaTheme="majorEastAsia" w:hAnsiTheme="minorHAnsi" w:cstheme="minorHAnsi"/>
          <w:szCs w:val="24"/>
          <w:lang w:val="es-ES_tradnl"/>
        </w:rPr>
        <w:t xml:space="preserve">(3 </w:t>
      </w:r>
      <w:r>
        <w:rPr>
          <w:rFonts w:asciiTheme="minorHAnsi" w:eastAsiaTheme="majorEastAsia" w:hAnsiTheme="minorHAnsi" w:cstheme="minorHAnsi"/>
          <w:szCs w:val="24"/>
          <w:lang w:val="es-ES_tradnl"/>
        </w:rPr>
        <w:t>páginas</w:t>
      </w:r>
      <w:r w:rsidRPr="00933AA4">
        <w:rPr>
          <w:rFonts w:asciiTheme="minorHAnsi" w:eastAsiaTheme="majorEastAsia" w:hAnsiTheme="minorHAnsi" w:cstheme="minorHAnsi"/>
          <w:szCs w:val="24"/>
          <w:lang w:val="es-ES_tradnl"/>
        </w:rPr>
        <w:t>)</w:t>
      </w:r>
    </w:p>
    <w:p w14:paraId="09826620" w14:textId="77777777" w:rsidR="00CE559B" w:rsidRPr="00933AA4" w:rsidRDefault="00CE559B" w:rsidP="00CE559B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eft"/>
        <w:rPr>
          <w:rFonts w:asciiTheme="minorHAnsi" w:eastAsiaTheme="majorEastAsia" w:hAnsiTheme="minorHAnsi" w:cstheme="minorHAnsi"/>
          <w:szCs w:val="24"/>
          <w:lang w:val="es-ES_tradnl"/>
        </w:rPr>
      </w:pPr>
    </w:p>
    <w:p w14:paraId="6A947E56" w14:textId="77777777" w:rsidR="00CE559B" w:rsidRPr="00933AA4" w:rsidRDefault="00CE559B" w:rsidP="00CE559B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eft"/>
        <w:rPr>
          <w:rFonts w:asciiTheme="minorHAnsi" w:eastAsiaTheme="majorEastAsia" w:hAnsiTheme="minorHAnsi" w:cstheme="minorHAnsi"/>
          <w:szCs w:val="24"/>
          <w:lang w:val="es-ES_tradnl"/>
        </w:rPr>
      </w:pPr>
    </w:p>
    <w:p w14:paraId="5DBFA998" w14:textId="77777777" w:rsidR="00CE559B" w:rsidRPr="00933AA4" w:rsidRDefault="00CE559B" w:rsidP="00CE559B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eft"/>
        <w:rPr>
          <w:rFonts w:asciiTheme="minorHAnsi" w:eastAsiaTheme="majorEastAsia" w:hAnsiTheme="minorHAnsi" w:cstheme="minorHAnsi"/>
          <w:szCs w:val="24"/>
          <w:lang w:val="es-ES_tradnl"/>
        </w:rPr>
      </w:pPr>
    </w:p>
    <w:p w14:paraId="1CDA0BD4" w14:textId="77777777" w:rsidR="00CE559B" w:rsidRPr="00933AA4" w:rsidRDefault="00CE559B" w:rsidP="00CE559B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eft"/>
        <w:rPr>
          <w:rFonts w:asciiTheme="minorHAnsi" w:eastAsiaTheme="majorEastAsia" w:hAnsiTheme="minorHAnsi" w:cstheme="minorHAnsi"/>
          <w:szCs w:val="24"/>
          <w:lang w:val="es-ES_tradnl"/>
        </w:rPr>
      </w:pPr>
    </w:p>
    <w:p w14:paraId="74049529" w14:textId="77777777" w:rsidR="00CE559B" w:rsidRPr="00933AA4" w:rsidRDefault="00CE559B" w:rsidP="00CE559B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eft"/>
        <w:rPr>
          <w:rFonts w:asciiTheme="minorHAnsi" w:eastAsiaTheme="majorEastAsia" w:hAnsiTheme="minorHAnsi" w:cstheme="minorHAnsi"/>
          <w:szCs w:val="24"/>
          <w:lang w:val="es-ES_tradnl"/>
        </w:rPr>
      </w:pPr>
    </w:p>
    <w:p w14:paraId="6B5E4D31" w14:textId="77777777" w:rsidR="00CE559B" w:rsidRPr="00933AA4" w:rsidRDefault="00CE559B" w:rsidP="00CE559B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eft"/>
        <w:rPr>
          <w:rFonts w:asciiTheme="minorHAnsi" w:eastAsiaTheme="majorEastAsia" w:hAnsiTheme="minorHAnsi" w:cstheme="minorHAnsi"/>
          <w:szCs w:val="24"/>
          <w:lang w:val="es-ES_tradnl"/>
        </w:rPr>
      </w:pPr>
    </w:p>
    <w:p w14:paraId="1BC431D6" w14:textId="77777777" w:rsidR="00CE559B" w:rsidRPr="00933AA4" w:rsidRDefault="00CE559B" w:rsidP="00CE559B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eft"/>
        <w:rPr>
          <w:rFonts w:asciiTheme="minorHAnsi" w:eastAsiaTheme="majorEastAsia" w:hAnsiTheme="minorHAnsi" w:cstheme="minorHAnsi"/>
          <w:szCs w:val="24"/>
          <w:lang w:val="es-ES_tradnl"/>
        </w:rPr>
      </w:pPr>
    </w:p>
    <w:p w14:paraId="50B89AE9" w14:textId="77777777" w:rsidR="00CE559B" w:rsidRPr="00933AA4" w:rsidRDefault="00CE559B" w:rsidP="00CE559B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eft"/>
        <w:rPr>
          <w:rFonts w:asciiTheme="minorHAnsi" w:eastAsiaTheme="majorEastAsia" w:hAnsiTheme="minorHAnsi" w:cstheme="minorHAnsi"/>
          <w:szCs w:val="24"/>
          <w:lang w:val="es-ES_tradnl"/>
        </w:rPr>
      </w:pPr>
    </w:p>
    <w:p w14:paraId="551BB103" w14:textId="77777777" w:rsidR="00CE559B" w:rsidRPr="00933AA4" w:rsidRDefault="00CE559B" w:rsidP="00CE559B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eft"/>
        <w:rPr>
          <w:rFonts w:asciiTheme="minorHAnsi" w:eastAsiaTheme="majorEastAsia" w:hAnsiTheme="minorHAnsi" w:cstheme="minorHAnsi"/>
          <w:szCs w:val="24"/>
          <w:lang w:val="es-ES_tradnl"/>
        </w:rPr>
      </w:pPr>
    </w:p>
    <w:p w14:paraId="2262AE29" w14:textId="77777777" w:rsidR="00CE559B" w:rsidRPr="00662065" w:rsidRDefault="00CE559B" w:rsidP="00CE559B">
      <w:pPr>
        <w:keepLines/>
        <w:tabs>
          <w:tab w:val="right" w:pos="9639"/>
        </w:tabs>
        <w:spacing w:before="480"/>
        <w:jc w:val="left"/>
        <w:rPr>
          <w:b/>
          <w:bCs/>
          <w:sz w:val="18"/>
          <w:szCs w:val="18"/>
          <w:u w:val="single"/>
          <w:lang w:val="es-ES"/>
        </w:rPr>
      </w:pPr>
      <w:r w:rsidRPr="00662065">
        <w:rPr>
          <w:b/>
          <w:bCs/>
          <w:sz w:val="18"/>
          <w:szCs w:val="18"/>
          <w:u w:val="single"/>
          <w:lang w:val="es-ES"/>
        </w:rPr>
        <w:t>Distribución:</w:t>
      </w:r>
    </w:p>
    <w:p w14:paraId="3EC02E37" w14:textId="77777777" w:rsidR="00CE559B" w:rsidRPr="00662065" w:rsidRDefault="00CE559B" w:rsidP="00CE559B">
      <w:pPr>
        <w:tabs>
          <w:tab w:val="clear" w:pos="794"/>
          <w:tab w:val="left" w:pos="284"/>
        </w:tabs>
        <w:spacing w:before="80"/>
        <w:jc w:val="left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- </w:t>
      </w:r>
      <w:r w:rsidRPr="00662065">
        <w:rPr>
          <w:sz w:val="18"/>
          <w:szCs w:val="18"/>
          <w:lang w:val="es-ES"/>
        </w:rPr>
        <w:t xml:space="preserve">Administraciones </w:t>
      </w:r>
      <w:r>
        <w:rPr>
          <w:sz w:val="18"/>
          <w:szCs w:val="18"/>
          <w:lang w:val="es-ES"/>
        </w:rPr>
        <w:t>de los Estados Miembros de la UIT</w:t>
      </w:r>
    </w:p>
    <w:p w14:paraId="6DB9CD38" w14:textId="77777777" w:rsidR="00CE559B" w:rsidRPr="00933AA4" w:rsidRDefault="00CE559B" w:rsidP="00CE559B">
      <w:pPr>
        <w:pStyle w:val="enumlev1"/>
        <w:tabs>
          <w:tab w:val="clear" w:pos="794"/>
          <w:tab w:val="clear" w:pos="1191"/>
          <w:tab w:val="clear" w:pos="1588"/>
        </w:tabs>
        <w:spacing w:before="0"/>
        <w:ind w:left="0" w:firstLine="0"/>
        <w:jc w:val="left"/>
        <w:rPr>
          <w:rFonts w:asciiTheme="minorHAnsi" w:eastAsiaTheme="majorEastAsia" w:hAnsiTheme="minorHAnsi" w:cstheme="minorHAnsi"/>
          <w:sz w:val="18"/>
          <w:szCs w:val="18"/>
          <w:lang w:val="es-ES_tradnl"/>
        </w:rPr>
      </w:pPr>
      <w:r>
        <w:rPr>
          <w:sz w:val="18"/>
          <w:szCs w:val="18"/>
          <w:lang w:val="es-ES"/>
        </w:rPr>
        <w:t xml:space="preserve">- </w:t>
      </w:r>
      <w:r w:rsidRPr="00662065">
        <w:rPr>
          <w:sz w:val="18"/>
          <w:szCs w:val="18"/>
          <w:lang w:val="es-ES"/>
        </w:rPr>
        <w:t>M</w:t>
      </w:r>
      <w:r>
        <w:rPr>
          <w:sz w:val="18"/>
          <w:szCs w:val="18"/>
          <w:lang w:val="es-ES"/>
        </w:rPr>
        <w:t>iembros de la Junta del Reglamento de Radiocomunicaciones</w:t>
      </w:r>
    </w:p>
    <w:p w14:paraId="0C02C400" w14:textId="77777777" w:rsidR="00CE559B" w:rsidRPr="00933AA4" w:rsidRDefault="00CE559B" w:rsidP="00CE559B">
      <w:pPr>
        <w:pStyle w:val="enumlev1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left="0" w:hanging="142"/>
        <w:jc w:val="lowKashida"/>
        <w:textAlignment w:val="auto"/>
        <w:rPr>
          <w:rFonts w:asciiTheme="minorHAnsi" w:eastAsiaTheme="majorEastAsia" w:hAnsiTheme="minorHAnsi" w:cstheme="minorHAnsi"/>
          <w:sz w:val="18"/>
          <w:szCs w:val="18"/>
          <w:lang w:val="es-ES_tradnl"/>
        </w:rPr>
      </w:pPr>
      <w:r w:rsidRPr="00933AA4">
        <w:rPr>
          <w:rFonts w:asciiTheme="minorHAnsi" w:eastAsiaTheme="majorEastAsia" w:hAnsiTheme="minorHAnsi" w:cstheme="minorHAnsi"/>
          <w:sz w:val="18"/>
          <w:szCs w:val="18"/>
          <w:lang w:val="es-ES_tradnl"/>
        </w:rPr>
        <w:br w:type="page"/>
      </w:r>
    </w:p>
    <w:p w14:paraId="05538ED3" w14:textId="77777777" w:rsidR="00CE559B" w:rsidRPr="00933AA4" w:rsidRDefault="00CE559B" w:rsidP="00B1041E">
      <w:pPr>
        <w:pStyle w:val="AnnexNoTitle"/>
        <w:rPr>
          <w:rFonts w:eastAsia="SimSun"/>
          <w:lang w:val="es-ES_tradnl"/>
        </w:rPr>
      </w:pPr>
      <w:r w:rsidRPr="00933AA4">
        <w:rPr>
          <w:rFonts w:eastAsia="SimSun"/>
          <w:lang w:val="es-ES_tradnl"/>
        </w:rPr>
        <w:lastRenderedPageBreak/>
        <w:t>ANEXO</w:t>
      </w:r>
    </w:p>
    <w:p w14:paraId="719AEDF8" w14:textId="77777777" w:rsidR="00CE559B" w:rsidRPr="004355EF" w:rsidRDefault="00CE559B" w:rsidP="00B1041E">
      <w:pPr>
        <w:pStyle w:val="AnnexNoTitle"/>
        <w:rPr>
          <w:rFonts w:eastAsia="SimSun"/>
          <w:lang w:val="es-ES"/>
        </w:rPr>
      </w:pPr>
      <w:r w:rsidRPr="004355EF">
        <w:rPr>
          <w:rFonts w:eastAsia="SimSun"/>
          <w:lang w:val="es-ES"/>
        </w:rPr>
        <w:t>Administraciones que pueden aplicar el procedimiento especial que figura en la Resolución 559 [COM5/3] (CMR-19)</w:t>
      </w:r>
    </w:p>
    <w:p w14:paraId="5FA84192" w14:textId="77777777" w:rsidR="00CE559B" w:rsidRPr="004355EF" w:rsidRDefault="00CE559B" w:rsidP="00CE559B">
      <w:pPr>
        <w:jc w:val="center"/>
        <w:rPr>
          <w:rFonts w:asciiTheme="minorHAnsi" w:eastAsia="SimSun" w:hAnsiTheme="minorHAnsi" w:cstheme="minorHAnsi"/>
          <w:szCs w:val="24"/>
          <w:lang w:val="es-ES"/>
        </w:rPr>
      </w:pPr>
      <w:r w:rsidRPr="004355EF">
        <w:rPr>
          <w:rFonts w:asciiTheme="minorHAnsi" w:eastAsia="SimSun" w:hAnsiTheme="minorHAnsi" w:cstheme="minorHAnsi"/>
          <w:color w:val="000000"/>
          <w:szCs w:val="24"/>
          <w:lang w:val="es-ES"/>
        </w:rPr>
        <w:t>(con arreglo a la base de datos principal AP30/30A (</w:t>
      </w:r>
      <w:r w:rsidRPr="004355EF">
        <w:rPr>
          <w:rFonts w:asciiTheme="minorHAnsi" w:eastAsia="SimSun" w:hAnsiTheme="minorHAnsi" w:cstheme="minorHAnsi"/>
          <w:szCs w:val="24"/>
          <w:lang w:val="es-ES" w:eastAsia="zh-CN"/>
        </w:rPr>
        <w:t xml:space="preserve">SPS_ALL_IFIC2909.mdb) </w:t>
      </w:r>
      <w:r w:rsidRPr="004355EF">
        <w:rPr>
          <w:rFonts w:asciiTheme="minorHAnsi" w:eastAsia="SimSun" w:hAnsiTheme="minorHAnsi" w:cstheme="minorHAnsi"/>
          <w:szCs w:val="24"/>
          <w:lang w:val="es-ES" w:eastAsia="zh-CN"/>
        </w:rPr>
        <w:br/>
      </w:r>
      <w:r w:rsidRPr="004355EF">
        <w:rPr>
          <w:rFonts w:asciiTheme="minorHAnsi" w:eastAsia="SimSun" w:hAnsiTheme="minorHAnsi" w:cstheme="minorHAnsi"/>
          <w:color w:val="000000"/>
          <w:szCs w:val="24"/>
          <w:lang w:val="es-ES"/>
        </w:rPr>
        <w:t>publicada en la BR IFIC 2909 de fecha 26.11.2019)</w:t>
      </w:r>
    </w:p>
    <w:p w14:paraId="54E86F41" w14:textId="77777777" w:rsidR="00CE559B" w:rsidRPr="004355EF" w:rsidRDefault="00CE559B" w:rsidP="00CE559B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jc w:val="center"/>
        <w:textAlignment w:val="auto"/>
        <w:rPr>
          <w:rFonts w:asciiTheme="minorHAnsi" w:hAnsiTheme="minorHAnsi" w:cstheme="minorHAnsi"/>
          <w:b/>
          <w:bCs/>
          <w:szCs w:val="24"/>
          <w:lang w:val="es-ES" w:eastAsia="zh-CN"/>
        </w:rPr>
      </w:pPr>
    </w:p>
    <w:tbl>
      <w:tblPr>
        <w:tblStyle w:val="TableGridLight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2378"/>
        <w:gridCol w:w="1864"/>
        <w:gridCol w:w="2427"/>
        <w:gridCol w:w="1226"/>
      </w:tblGrid>
      <w:tr w:rsidR="00036114" w:rsidRPr="004355EF" w14:paraId="02CB8591" w14:textId="77777777" w:rsidTr="00036114">
        <w:trPr>
          <w:jc w:val="center"/>
        </w:trPr>
        <w:tc>
          <w:tcPr>
            <w:tcW w:w="938" w:type="dxa"/>
            <w:hideMark/>
          </w:tcPr>
          <w:p w14:paraId="7400FC0F" w14:textId="77777777" w:rsidR="00CE559B" w:rsidRPr="004355EF" w:rsidRDefault="00CE559B" w:rsidP="0003611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b/>
                <w:bCs/>
                <w:szCs w:val="24"/>
                <w:lang w:val="es-ES" w:eastAsia="zh-CN"/>
              </w:rPr>
              <w:t>Símbolo de la Administración</w:t>
            </w:r>
          </w:p>
        </w:tc>
        <w:tc>
          <w:tcPr>
            <w:tcW w:w="0" w:type="auto"/>
            <w:hideMark/>
          </w:tcPr>
          <w:p w14:paraId="64D2B76B" w14:textId="77777777" w:rsidR="00CE559B" w:rsidRPr="004355EF" w:rsidRDefault="00CE559B" w:rsidP="0003611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ES"/>
              </w:rPr>
              <w:t>Nombre</w:t>
            </w:r>
          </w:p>
        </w:tc>
        <w:tc>
          <w:tcPr>
            <w:tcW w:w="0" w:type="auto"/>
            <w:hideMark/>
          </w:tcPr>
          <w:p w14:paraId="02D37A56" w14:textId="77777777" w:rsidR="00CE559B" w:rsidRPr="004355EF" w:rsidRDefault="00CE559B" w:rsidP="0003611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b/>
                <w:bCs/>
                <w:szCs w:val="24"/>
                <w:lang w:val="es-ES" w:eastAsia="zh-CN"/>
              </w:rPr>
              <w:t>Número de identificación</w:t>
            </w:r>
          </w:p>
        </w:tc>
        <w:tc>
          <w:tcPr>
            <w:tcW w:w="0" w:type="auto"/>
            <w:hideMark/>
          </w:tcPr>
          <w:p w14:paraId="0608EF64" w14:textId="77777777" w:rsidR="00CE559B" w:rsidRPr="004355EF" w:rsidRDefault="00CE559B" w:rsidP="0003611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ES"/>
              </w:rPr>
              <w:t xml:space="preserve">Identificación de haz con arreglo al plan del SRS </w:t>
            </w:r>
          </w:p>
        </w:tc>
        <w:tc>
          <w:tcPr>
            <w:tcW w:w="0" w:type="auto"/>
            <w:hideMark/>
          </w:tcPr>
          <w:p w14:paraId="1FD48103" w14:textId="77777777" w:rsidR="00CE559B" w:rsidRPr="004355EF" w:rsidRDefault="00CE559B" w:rsidP="0003611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ES"/>
              </w:rPr>
              <w:t>Posición orbital</w:t>
            </w:r>
          </w:p>
          <w:p w14:paraId="3666049B" w14:textId="77777777" w:rsidR="00CE559B" w:rsidRPr="004355EF" w:rsidRDefault="00CE559B" w:rsidP="0003611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b/>
                <w:bCs/>
                <w:szCs w:val="24"/>
                <w:lang w:val="es-ES" w:eastAsia="zh-CN"/>
              </w:rPr>
              <w:t>(°E)</w:t>
            </w:r>
          </w:p>
        </w:tc>
      </w:tr>
      <w:tr w:rsidR="00036114" w:rsidRPr="004355EF" w14:paraId="56815E12" w14:textId="77777777" w:rsidTr="00036114">
        <w:trPr>
          <w:jc w:val="center"/>
        </w:trPr>
        <w:tc>
          <w:tcPr>
            <w:tcW w:w="938" w:type="dxa"/>
            <w:hideMark/>
          </w:tcPr>
          <w:p w14:paraId="54CFBFFA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AFG</w:t>
            </w:r>
          </w:p>
        </w:tc>
        <w:tc>
          <w:tcPr>
            <w:tcW w:w="0" w:type="auto"/>
            <w:hideMark/>
          </w:tcPr>
          <w:p w14:paraId="4104AB6B" w14:textId="393CC768" w:rsidR="00CE559B" w:rsidRPr="004355EF" w:rsidRDefault="00B1041E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Afganistán</w:t>
            </w:r>
          </w:p>
        </w:tc>
        <w:tc>
          <w:tcPr>
            <w:tcW w:w="0" w:type="auto"/>
            <w:hideMark/>
          </w:tcPr>
          <w:p w14:paraId="6B31114B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100550001</w:t>
            </w:r>
          </w:p>
        </w:tc>
        <w:tc>
          <w:tcPr>
            <w:tcW w:w="0" w:type="auto"/>
            <w:hideMark/>
          </w:tcPr>
          <w:p w14:paraId="547159E3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AFG__100</w:t>
            </w:r>
          </w:p>
        </w:tc>
        <w:tc>
          <w:tcPr>
            <w:tcW w:w="0" w:type="auto"/>
            <w:hideMark/>
          </w:tcPr>
          <w:p w14:paraId="1B924C2F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50</w:t>
            </w:r>
          </w:p>
        </w:tc>
      </w:tr>
      <w:tr w:rsidR="00036114" w:rsidRPr="004355EF" w14:paraId="381D7704" w14:textId="77777777" w:rsidTr="00036114">
        <w:trPr>
          <w:jc w:val="center"/>
        </w:trPr>
        <w:tc>
          <w:tcPr>
            <w:tcW w:w="938" w:type="dxa"/>
            <w:hideMark/>
          </w:tcPr>
          <w:p w14:paraId="3C02BED1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AFS</w:t>
            </w:r>
          </w:p>
        </w:tc>
        <w:tc>
          <w:tcPr>
            <w:tcW w:w="0" w:type="auto"/>
            <w:hideMark/>
          </w:tcPr>
          <w:p w14:paraId="505F2F71" w14:textId="15A572F1" w:rsidR="00CE559B" w:rsidRPr="004355EF" w:rsidRDefault="00B1041E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Sudafricana</w:t>
            </w:r>
            <w:r w:rsidR="00CE559B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 xml:space="preserve"> (Re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pública</w:t>
            </w:r>
            <w:r w:rsidR="00CE559B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6EABE1E2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100550002</w:t>
            </w:r>
          </w:p>
        </w:tc>
        <w:tc>
          <w:tcPr>
            <w:tcW w:w="0" w:type="auto"/>
            <w:hideMark/>
          </w:tcPr>
          <w:p w14:paraId="53058127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AFS02100</w:t>
            </w:r>
          </w:p>
        </w:tc>
        <w:tc>
          <w:tcPr>
            <w:tcW w:w="0" w:type="auto"/>
            <w:hideMark/>
          </w:tcPr>
          <w:p w14:paraId="15389E4C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4,8</w:t>
            </w:r>
          </w:p>
        </w:tc>
      </w:tr>
      <w:tr w:rsidR="00036114" w:rsidRPr="004355EF" w14:paraId="2F3352F6" w14:textId="77777777" w:rsidTr="00036114">
        <w:trPr>
          <w:jc w:val="center"/>
        </w:trPr>
        <w:tc>
          <w:tcPr>
            <w:tcW w:w="938" w:type="dxa"/>
            <w:hideMark/>
          </w:tcPr>
          <w:p w14:paraId="5D6BB123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ALB</w:t>
            </w:r>
          </w:p>
        </w:tc>
        <w:tc>
          <w:tcPr>
            <w:tcW w:w="0" w:type="auto"/>
            <w:hideMark/>
          </w:tcPr>
          <w:p w14:paraId="07778002" w14:textId="4C2E3779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Albania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0E767C9C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100550004</w:t>
            </w:r>
          </w:p>
        </w:tc>
        <w:tc>
          <w:tcPr>
            <w:tcW w:w="0" w:type="auto"/>
            <w:hideMark/>
          </w:tcPr>
          <w:p w14:paraId="729722C4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ALB29600</w:t>
            </w:r>
          </w:p>
        </w:tc>
        <w:tc>
          <w:tcPr>
            <w:tcW w:w="0" w:type="auto"/>
            <w:hideMark/>
          </w:tcPr>
          <w:p w14:paraId="2B1DBEF4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62</w:t>
            </w:r>
          </w:p>
        </w:tc>
      </w:tr>
      <w:tr w:rsidR="00036114" w:rsidRPr="004355EF" w14:paraId="75C10B54" w14:textId="77777777" w:rsidTr="00036114">
        <w:trPr>
          <w:jc w:val="center"/>
        </w:trPr>
        <w:tc>
          <w:tcPr>
            <w:tcW w:w="938" w:type="dxa"/>
            <w:hideMark/>
          </w:tcPr>
          <w:p w14:paraId="5F02634F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ARM</w:t>
            </w:r>
          </w:p>
        </w:tc>
        <w:tc>
          <w:tcPr>
            <w:tcW w:w="0" w:type="auto"/>
            <w:hideMark/>
          </w:tcPr>
          <w:p w14:paraId="79A8B386" w14:textId="17031941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Armenia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57FC161D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100550007</w:t>
            </w:r>
          </w:p>
        </w:tc>
        <w:tc>
          <w:tcPr>
            <w:tcW w:w="0" w:type="auto"/>
            <w:hideMark/>
          </w:tcPr>
          <w:p w14:paraId="7CE928E1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ARM06400</w:t>
            </w:r>
          </w:p>
        </w:tc>
        <w:tc>
          <w:tcPr>
            <w:tcW w:w="0" w:type="auto"/>
            <w:hideMark/>
          </w:tcPr>
          <w:p w14:paraId="17D2317B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22,8</w:t>
            </w:r>
          </w:p>
        </w:tc>
      </w:tr>
      <w:tr w:rsidR="00036114" w:rsidRPr="004355EF" w14:paraId="0A916FD9" w14:textId="77777777" w:rsidTr="00036114">
        <w:trPr>
          <w:jc w:val="center"/>
        </w:trPr>
        <w:tc>
          <w:tcPr>
            <w:tcW w:w="938" w:type="dxa"/>
            <w:hideMark/>
          </w:tcPr>
          <w:p w14:paraId="09DC98F2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ARS</w:t>
            </w:r>
          </w:p>
        </w:tc>
        <w:tc>
          <w:tcPr>
            <w:tcW w:w="0" w:type="auto"/>
            <w:hideMark/>
          </w:tcPr>
          <w:p w14:paraId="6EE4201A" w14:textId="36964494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Arabia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 xml:space="preserve"> Saudita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 xml:space="preserve">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Reino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40B07B62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100550008</w:t>
            </w:r>
          </w:p>
        </w:tc>
        <w:tc>
          <w:tcPr>
            <w:tcW w:w="0" w:type="auto"/>
            <w:hideMark/>
          </w:tcPr>
          <w:p w14:paraId="4D7A34D8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ARS__100</w:t>
            </w:r>
          </w:p>
        </w:tc>
        <w:tc>
          <w:tcPr>
            <w:tcW w:w="0" w:type="auto"/>
            <w:hideMark/>
          </w:tcPr>
          <w:p w14:paraId="644A1EEE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17</w:t>
            </w:r>
          </w:p>
        </w:tc>
      </w:tr>
      <w:tr w:rsidR="00036114" w:rsidRPr="004355EF" w14:paraId="04658533" w14:textId="77777777" w:rsidTr="00036114">
        <w:trPr>
          <w:jc w:val="center"/>
        </w:trPr>
        <w:tc>
          <w:tcPr>
            <w:tcW w:w="938" w:type="dxa"/>
            <w:hideMark/>
          </w:tcPr>
          <w:p w14:paraId="087C9414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AUT</w:t>
            </w:r>
          </w:p>
        </w:tc>
        <w:tc>
          <w:tcPr>
            <w:tcW w:w="0" w:type="auto"/>
            <w:hideMark/>
          </w:tcPr>
          <w:p w14:paraId="2E49783E" w14:textId="77777777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Austria</w:t>
            </w:r>
          </w:p>
        </w:tc>
        <w:tc>
          <w:tcPr>
            <w:tcW w:w="0" w:type="auto"/>
            <w:hideMark/>
          </w:tcPr>
          <w:p w14:paraId="5396A61C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100550024</w:t>
            </w:r>
          </w:p>
        </w:tc>
        <w:tc>
          <w:tcPr>
            <w:tcW w:w="0" w:type="auto"/>
            <w:hideMark/>
          </w:tcPr>
          <w:p w14:paraId="556F53DE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AUT01600</w:t>
            </w:r>
          </w:p>
        </w:tc>
        <w:tc>
          <w:tcPr>
            <w:tcW w:w="0" w:type="auto"/>
            <w:hideMark/>
          </w:tcPr>
          <w:p w14:paraId="2AF1415E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-18,8</w:t>
            </w:r>
          </w:p>
        </w:tc>
      </w:tr>
      <w:tr w:rsidR="00036114" w:rsidRPr="004355EF" w14:paraId="77512CC2" w14:textId="77777777" w:rsidTr="00036114">
        <w:trPr>
          <w:jc w:val="center"/>
        </w:trPr>
        <w:tc>
          <w:tcPr>
            <w:tcW w:w="938" w:type="dxa"/>
            <w:hideMark/>
          </w:tcPr>
          <w:p w14:paraId="45B3A508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AZE</w:t>
            </w:r>
          </w:p>
        </w:tc>
        <w:tc>
          <w:tcPr>
            <w:tcW w:w="0" w:type="auto"/>
            <w:hideMark/>
          </w:tcPr>
          <w:p w14:paraId="17CF03E4" w14:textId="5CC73891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Azerbai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yán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 xml:space="preserve">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7BD50F73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100550025</w:t>
            </w:r>
          </w:p>
        </w:tc>
        <w:tc>
          <w:tcPr>
            <w:tcW w:w="0" w:type="auto"/>
            <w:hideMark/>
          </w:tcPr>
          <w:p w14:paraId="37BEB5E0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AZE06400</w:t>
            </w:r>
          </w:p>
        </w:tc>
        <w:tc>
          <w:tcPr>
            <w:tcW w:w="0" w:type="auto"/>
            <w:hideMark/>
          </w:tcPr>
          <w:p w14:paraId="2A541909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23,2</w:t>
            </w:r>
          </w:p>
        </w:tc>
      </w:tr>
      <w:tr w:rsidR="00036114" w:rsidRPr="004355EF" w14:paraId="62C01CFA" w14:textId="77777777" w:rsidTr="00036114">
        <w:trPr>
          <w:jc w:val="center"/>
        </w:trPr>
        <w:tc>
          <w:tcPr>
            <w:tcW w:w="938" w:type="dxa"/>
            <w:hideMark/>
          </w:tcPr>
          <w:p w14:paraId="002EFB0D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BDI</w:t>
            </w:r>
          </w:p>
        </w:tc>
        <w:tc>
          <w:tcPr>
            <w:tcW w:w="0" w:type="auto"/>
            <w:hideMark/>
          </w:tcPr>
          <w:p w14:paraId="2561DCD8" w14:textId="5159685C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Burundi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36620A03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100550026</w:t>
            </w:r>
          </w:p>
        </w:tc>
        <w:tc>
          <w:tcPr>
            <w:tcW w:w="0" w:type="auto"/>
            <w:hideMark/>
          </w:tcPr>
          <w:p w14:paraId="6A26D826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BDI27000</w:t>
            </w:r>
          </w:p>
        </w:tc>
        <w:tc>
          <w:tcPr>
            <w:tcW w:w="0" w:type="auto"/>
            <w:hideMark/>
          </w:tcPr>
          <w:p w14:paraId="6F3F1972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11</w:t>
            </w:r>
          </w:p>
        </w:tc>
      </w:tr>
      <w:tr w:rsidR="00036114" w:rsidRPr="004355EF" w14:paraId="46F33878" w14:textId="77777777" w:rsidTr="00036114">
        <w:trPr>
          <w:jc w:val="center"/>
        </w:trPr>
        <w:tc>
          <w:tcPr>
            <w:tcW w:w="938" w:type="dxa"/>
            <w:hideMark/>
          </w:tcPr>
          <w:p w14:paraId="7F2498AE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BEL</w:t>
            </w:r>
          </w:p>
        </w:tc>
        <w:tc>
          <w:tcPr>
            <w:tcW w:w="0" w:type="auto"/>
            <w:hideMark/>
          </w:tcPr>
          <w:p w14:paraId="3A0240B3" w14:textId="26E652CC" w:rsidR="00CE559B" w:rsidRPr="004355EF" w:rsidRDefault="00036114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Bélgica</w:t>
            </w:r>
          </w:p>
        </w:tc>
        <w:tc>
          <w:tcPr>
            <w:tcW w:w="0" w:type="auto"/>
            <w:hideMark/>
          </w:tcPr>
          <w:p w14:paraId="0378E5AD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100550027</w:t>
            </w:r>
          </w:p>
        </w:tc>
        <w:tc>
          <w:tcPr>
            <w:tcW w:w="0" w:type="auto"/>
            <w:hideMark/>
          </w:tcPr>
          <w:p w14:paraId="500FDEBC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BEL01800</w:t>
            </w:r>
          </w:p>
        </w:tc>
        <w:tc>
          <w:tcPr>
            <w:tcW w:w="0" w:type="auto"/>
            <w:hideMark/>
          </w:tcPr>
          <w:p w14:paraId="0BE0B7AE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38,2</w:t>
            </w:r>
          </w:p>
        </w:tc>
      </w:tr>
      <w:tr w:rsidR="00036114" w:rsidRPr="004355EF" w14:paraId="0303BFD8" w14:textId="77777777" w:rsidTr="00036114">
        <w:trPr>
          <w:jc w:val="center"/>
        </w:trPr>
        <w:tc>
          <w:tcPr>
            <w:tcW w:w="938" w:type="dxa"/>
            <w:hideMark/>
          </w:tcPr>
          <w:p w14:paraId="7BCA3E83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BEN</w:t>
            </w:r>
          </w:p>
        </w:tc>
        <w:tc>
          <w:tcPr>
            <w:tcW w:w="0" w:type="auto"/>
            <w:hideMark/>
          </w:tcPr>
          <w:p w14:paraId="18CD2F83" w14:textId="335EAC3D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Ben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i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n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12A47B40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100550028</w:t>
            </w:r>
          </w:p>
        </w:tc>
        <w:tc>
          <w:tcPr>
            <w:tcW w:w="0" w:type="auto"/>
            <w:hideMark/>
          </w:tcPr>
          <w:p w14:paraId="4B1904BD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BEN23300</w:t>
            </w:r>
          </w:p>
        </w:tc>
        <w:tc>
          <w:tcPr>
            <w:tcW w:w="0" w:type="auto"/>
            <w:hideMark/>
          </w:tcPr>
          <w:p w14:paraId="19D7B33C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-19,2</w:t>
            </w:r>
          </w:p>
        </w:tc>
      </w:tr>
      <w:tr w:rsidR="00036114" w:rsidRPr="004355EF" w14:paraId="04FAE516" w14:textId="77777777" w:rsidTr="00036114">
        <w:trPr>
          <w:jc w:val="center"/>
        </w:trPr>
        <w:tc>
          <w:tcPr>
            <w:tcW w:w="938" w:type="dxa"/>
            <w:hideMark/>
          </w:tcPr>
          <w:p w14:paraId="41E37A0A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BIH</w:t>
            </w:r>
          </w:p>
        </w:tc>
        <w:tc>
          <w:tcPr>
            <w:tcW w:w="0" w:type="auto"/>
            <w:hideMark/>
          </w:tcPr>
          <w:p w14:paraId="4ECDB0CB" w14:textId="24C7BF6C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 xml:space="preserve">Bosnia 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y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 xml:space="preserve"> Herzegovina</w:t>
            </w:r>
          </w:p>
        </w:tc>
        <w:tc>
          <w:tcPr>
            <w:tcW w:w="0" w:type="auto"/>
            <w:hideMark/>
          </w:tcPr>
          <w:p w14:paraId="44044073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100550032</w:t>
            </w:r>
          </w:p>
        </w:tc>
        <w:tc>
          <w:tcPr>
            <w:tcW w:w="0" w:type="auto"/>
            <w:hideMark/>
          </w:tcPr>
          <w:p w14:paraId="72295A69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BIH14800</w:t>
            </w:r>
          </w:p>
        </w:tc>
        <w:tc>
          <w:tcPr>
            <w:tcW w:w="0" w:type="auto"/>
            <w:hideMark/>
          </w:tcPr>
          <w:p w14:paraId="377E57CB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56</w:t>
            </w:r>
          </w:p>
        </w:tc>
      </w:tr>
      <w:tr w:rsidR="00036114" w:rsidRPr="004355EF" w14:paraId="0D97E02A" w14:textId="77777777" w:rsidTr="00036114">
        <w:trPr>
          <w:jc w:val="center"/>
        </w:trPr>
        <w:tc>
          <w:tcPr>
            <w:tcW w:w="938" w:type="dxa"/>
            <w:hideMark/>
          </w:tcPr>
          <w:p w14:paraId="28332468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BOT</w:t>
            </w:r>
          </w:p>
        </w:tc>
        <w:tc>
          <w:tcPr>
            <w:tcW w:w="0" w:type="auto"/>
            <w:hideMark/>
          </w:tcPr>
          <w:p w14:paraId="4D087216" w14:textId="11EC3D71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Botswana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580D9AB2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100550034</w:t>
            </w:r>
          </w:p>
        </w:tc>
        <w:tc>
          <w:tcPr>
            <w:tcW w:w="0" w:type="auto"/>
            <w:hideMark/>
          </w:tcPr>
          <w:p w14:paraId="1CF47D4D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BOT29700</w:t>
            </w:r>
          </w:p>
        </w:tc>
        <w:tc>
          <w:tcPr>
            <w:tcW w:w="0" w:type="auto"/>
            <w:hideMark/>
          </w:tcPr>
          <w:p w14:paraId="6A77B642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-0,8</w:t>
            </w:r>
          </w:p>
        </w:tc>
      </w:tr>
      <w:tr w:rsidR="00036114" w:rsidRPr="004355EF" w14:paraId="048CB87D" w14:textId="77777777" w:rsidTr="00036114">
        <w:trPr>
          <w:jc w:val="center"/>
        </w:trPr>
        <w:tc>
          <w:tcPr>
            <w:tcW w:w="938" w:type="dxa"/>
            <w:hideMark/>
          </w:tcPr>
          <w:p w14:paraId="167F6B19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CLN</w:t>
            </w:r>
          </w:p>
        </w:tc>
        <w:tc>
          <w:tcPr>
            <w:tcW w:w="0" w:type="auto"/>
            <w:hideMark/>
          </w:tcPr>
          <w:p w14:paraId="313C6EA2" w14:textId="3A3042D6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Sri Lanka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Socialista Democrática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766CFA71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100550049</w:t>
            </w:r>
          </w:p>
        </w:tc>
        <w:tc>
          <w:tcPr>
            <w:tcW w:w="0" w:type="auto"/>
            <w:hideMark/>
          </w:tcPr>
          <w:p w14:paraId="4DD0A6BA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CLN21900</w:t>
            </w:r>
          </w:p>
        </w:tc>
        <w:tc>
          <w:tcPr>
            <w:tcW w:w="0" w:type="auto"/>
            <w:hideMark/>
          </w:tcPr>
          <w:p w14:paraId="58991A24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50</w:t>
            </w:r>
          </w:p>
        </w:tc>
      </w:tr>
      <w:tr w:rsidR="00036114" w:rsidRPr="004355EF" w14:paraId="2A960ECC" w14:textId="77777777" w:rsidTr="00036114">
        <w:trPr>
          <w:jc w:val="center"/>
        </w:trPr>
        <w:tc>
          <w:tcPr>
            <w:tcW w:w="938" w:type="dxa"/>
            <w:hideMark/>
          </w:tcPr>
          <w:p w14:paraId="258E4BFC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COD</w:t>
            </w:r>
          </w:p>
        </w:tc>
        <w:tc>
          <w:tcPr>
            <w:tcW w:w="0" w:type="auto"/>
            <w:hideMark/>
          </w:tcPr>
          <w:p w14:paraId="5F05BB57" w14:textId="6E3640B1" w:rsidR="00CE559B" w:rsidRPr="004355EF" w:rsidRDefault="00036114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 xml:space="preserve">República Democrática del </w:t>
            </w:r>
            <w:r w:rsidR="00CE559B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Congo</w:t>
            </w:r>
          </w:p>
        </w:tc>
        <w:tc>
          <w:tcPr>
            <w:tcW w:w="0" w:type="auto"/>
            <w:hideMark/>
          </w:tcPr>
          <w:p w14:paraId="79F0ECAB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100550051</w:t>
            </w:r>
          </w:p>
        </w:tc>
        <w:tc>
          <w:tcPr>
            <w:tcW w:w="0" w:type="auto"/>
            <w:hideMark/>
          </w:tcPr>
          <w:p w14:paraId="2AB443D3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COD__100</w:t>
            </w:r>
          </w:p>
        </w:tc>
        <w:tc>
          <w:tcPr>
            <w:tcW w:w="0" w:type="auto"/>
            <w:hideMark/>
          </w:tcPr>
          <w:p w14:paraId="609AB81D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-19,2</w:t>
            </w:r>
          </w:p>
        </w:tc>
      </w:tr>
      <w:tr w:rsidR="00036114" w:rsidRPr="004355EF" w14:paraId="7E9054BB" w14:textId="77777777" w:rsidTr="00036114">
        <w:trPr>
          <w:jc w:val="center"/>
        </w:trPr>
        <w:tc>
          <w:tcPr>
            <w:tcW w:w="938" w:type="dxa"/>
            <w:hideMark/>
          </w:tcPr>
          <w:p w14:paraId="59C26EEA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COG</w:t>
            </w:r>
          </w:p>
        </w:tc>
        <w:tc>
          <w:tcPr>
            <w:tcW w:w="0" w:type="auto"/>
            <w:hideMark/>
          </w:tcPr>
          <w:p w14:paraId="1325F9CD" w14:textId="61CB7524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Congo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del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32ECEB71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100550052</w:t>
            </w:r>
          </w:p>
        </w:tc>
        <w:tc>
          <w:tcPr>
            <w:tcW w:w="0" w:type="auto"/>
            <w:hideMark/>
          </w:tcPr>
          <w:p w14:paraId="461109D8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COG23500</w:t>
            </w:r>
          </w:p>
        </w:tc>
        <w:tc>
          <w:tcPr>
            <w:tcW w:w="0" w:type="auto"/>
            <w:hideMark/>
          </w:tcPr>
          <w:p w14:paraId="16B37B5D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-13,2</w:t>
            </w:r>
          </w:p>
        </w:tc>
      </w:tr>
      <w:tr w:rsidR="00036114" w:rsidRPr="004355EF" w14:paraId="0E4F19B1" w14:textId="77777777" w:rsidTr="00036114">
        <w:trPr>
          <w:jc w:val="center"/>
        </w:trPr>
        <w:tc>
          <w:tcPr>
            <w:tcW w:w="938" w:type="dxa"/>
            <w:hideMark/>
          </w:tcPr>
          <w:p w14:paraId="020F81BF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lastRenderedPageBreak/>
              <w:t>COM</w:t>
            </w:r>
          </w:p>
        </w:tc>
        <w:tc>
          <w:tcPr>
            <w:tcW w:w="0" w:type="auto"/>
            <w:hideMark/>
          </w:tcPr>
          <w:p w14:paraId="27F140F3" w14:textId="7E7EB3DF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Comor</w:t>
            </w:r>
            <w:r w:rsidR="007D23B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s (Uni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ón de</w:t>
            </w:r>
            <w:r w:rsidR="007D23B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 xml:space="preserve"> las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6D556578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100550053</w:t>
            </w:r>
          </w:p>
        </w:tc>
        <w:tc>
          <w:tcPr>
            <w:tcW w:w="0" w:type="auto"/>
            <w:hideMark/>
          </w:tcPr>
          <w:p w14:paraId="0022B079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COM20700</w:t>
            </w:r>
          </w:p>
        </w:tc>
        <w:tc>
          <w:tcPr>
            <w:tcW w:w="0" w:type="auto"/>
            <w:hideMark/>
          </w:tcPr>
          <w:p w14:paraId="4DD8B972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29</w:t>
            </w:r>
          </w:p>
        </w:tc>
      </w:tr>
      <w:tr w:rsidR="00036114" w:rsidRPr="004355EF" w14:paraId="030BBADB" w14:textId="77777777" w:rsidTr="00036114">
        <w:trPr>
          <w:jc w:val="center"/>
        </w:trPr>
        <w:tc>
          <w:tcPr>
            <w:tcW w:w="938" w:type="dxa"/>
            <w:hideMark/>
          </w:tcPr>
          <w:p w14:paraId="0B9963E9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CVA</w:t>
            </w:r>
          </w:p>
        </w:tc>
        <w:tc>
          <w:tcPr>
            <w:tcW w:w="0" w:type="auto"/>
            <w:hideMark/>
          </w:tcPr>
          <w:p w14:paraId="169A957F" w14:textId="7D8CD8E4" w:rsidR="00CE559B" w:rsidRPr="004355EF" w:rsidRDefault="007D23B4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Ciudad del Vaticano (Estado de la)</w:t>
            </w:r>
          </w:p>
        </w:tc>
        <w:tc>
          <w:tcPr>
            <w:tcW w:w="0" w:type="auto"/>
            <w:hideMark/>
          </w:tcPr>
          <w:p w14:paraId="4365F749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100550056</w:t>
            </w:r>
          </w:p>
        </w:tc>
        <w:tc>
          <w:tcPr>
            <w:tcW w:w="0" w:type="auto"/>
            <w:hideMark/>
          </w:tcPr>
          <w:p w14:paraId="39CC96AB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CVA08300</w:t>
            </w:r>
          </w:p>
        </w:tc>
        <w:tc>
          <w:tcPr>
            <w:tcW w:w="0" w:type="auto"/>
            <w:hideMark/>
          </w:tcPr>
          <w:p w14:paraId="78BCEE37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-1,2</w:t>
            </w:r>
          </w:p>
        </w:tc>
      </w:tr>
      <w:tr w:rsidR="00036114" w:rsidRPr="004355EF" w14:paraId="4CD01D09" w14:textId="77777777" w:rsidTr="00036114">
        <w:trPr>
          <w:jc w:val="center"/>
        </w:trPr>
        <w:tc>
          <w:tcPr>
            <w:tcW w:w="938" w:type="dxa"/>
            <w:hideMark/>
          </w:tcPr>
          <w:p w14:paraId="740C153C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CVA</w:t>
            </w:r>
          </w:p>
        </w:tc>
        <w:tc>
          <w:tcPr>
            <w:tcW w:w="0" w:type="auto"/>
            <w:hideMark/>
          </w:tcPr>
          <w:p w14:paraId="0E97890D" w14:textId="48098E32" w:rsidR="00CE559B" w:rsidRPr="004355EF" w:rsidRDefault="007D23B4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Ciudad del Vaticano (Estado de la)</w:t>
            </w:r>
          </w:p>
        </w:tc>
        <w:tc>
          <w:tcPr>
            <w:tcW w:w="0" w:type="auto"/>
            <w:hideMark/>
          </w:tcPr>
          <w:p w14:paraId="667171A4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100550057</w:t>
            </w:r>
          </w:p>
        </w:tc>
        <w:tc>
          <w:tcPr>
            <w:tcW w:w="0" w:type="auto"/>
            <w:hideMark/>
          </w:tcPr>
          <w:p w14:paraId="29218A14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CVA08500</w:t>
            </w:r>
          </w:p>
        </w:tc>
        <w:tc>
          <w:tcPr>
            <w:tcW w:w="0" w:type="auto"/>
            <w:hideMark/>
          </w:tcPr>
          <w:p w14:paraId="06BAF185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-1,2</w:t>
            </w:r>
          </w:p>
        </w:tc>
      </w:tr>
      <w:tr w:rsidR="00036114" w:rsidRPr="004355EF" w14:paraId="736DBC77" w14:textId="77777777" w:rsidTr="00036114">
        <w:trPr>
          <w:jc w:val="center"/>
        </w:trPr>
        <w:tc>
          <w:tcPr>
            <w:tcW w:w="938" w:type="dxa"/>
            <w:hideMark/>
          </w:tcPr>
          <w:p w14:paraId="66F6B211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DJI</w:t>
            </w:r>
          </w:p>
        </w:tc>
        <w:tc>
          <w:tcPr>
            <w:tcW w:w="0" w:type="auto"/>
            <w:hideMark/>
          </w:tcPr>
          <w:p w14:paraId="211A212D" w14:textId="564809BA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Djibouti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02777D83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100550063</w:t>
            </w:r>
          </w:p>
        </w:tc>
        <w:tc>
          <w:tcPr>
            <w:tcW w:w="0" w:type="auto"/>
            <w:hideMark/>
          </w:tcPr>
          <w:p w14:paraId="3D16CCFA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DJI09900</w:t>
            </w:r>
          </w:p>
        </w:tc>
        <w:tc>
          <w:tcPr>
            <w:tcW w:w="0" w:type="auto"/>
            <w:hideMark/>
          </w:tcPr>
          <w:p w14:paraId="2EC26A1E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16,8</w:t>
            </w:r>
          </w:p>
        </w:tc>
      </w:tr>
      <w:tr w:rsidR="00036114" w:rsidRPr="004355EF" w14:paraId="208738D3" w14:textId="77777777" w:rsidTr="00036114">
        <w:trPr>
          <w:jc w:val="center"/>
        </w:trPr>
        <w:tc>
          <w:tcPr>
            <w:tcW w:w="938" w:type="dxa"/>
            <w:hideMark/>
          </w:tcPr>
          <w:p w14:paraId="53E40A94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DNK</w:t>
            </w:r>
          </w:p>
        </w:tc>
        <w:tc>
          <w:tcPr>
            <w:tcW w:w="0" w:type="auto"/>
            <w:hideMark/>
          </w:tcPr>
          <w:p w14:paraId="6E76B896" w14:textId="77DB0F65" w:rsidR="00CE559B" w:rsidRPr="004355EF" w:rsidRDefault="00036114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Dinamarca</w:t>
            </w:r>
          </w:p>
        </w:tc>
        <w:tc>
          <w:tcPr>
            <w:tcW w:w="0" w:type="auto"/>
            <w:hideMark/>
          </w:tcPr>
          <w:p w14:paraId="5B94571D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100550065</w:t>
            </w:r>
          </w:p>
        </w:tc>
        <w:tc>
          <w:tcPr>
            <w:tcW w:w="0" w:type="auto"/>
            <w:hideMark/>
          </w:tcPr>
          <w:p w14:paraId="64DEE0DB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DNK090XR</w:t>
            </w:r>
          </w:p>
        </w:tc>
        <w:tc>
          <w:tcPr>
            <w:tcW w:w="0" w:type="auto"/>
            <w:hideMark/>
          </w:tcPr>
          <w:p w14:paraId="55650BEC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-33,5</w:t>
            </w:r>
          </w:p>
        </w:tc>
      </w:tr>
      <w:tr w:rsidR="00036114" w:rsidRPr="004355EF" w14:paraId="2378A171" w14:textId="77777777" w:rsidTr="00036114">
        <w:trPr>
          <w:jc w:val="center"/>
        </w:trPr>
        <w:tc>
          <w:tcPr>
            <w:tcW w:w="938" w:type="dxa"/>
            <w:hideMark/>
          </w:tcPr>
          <w:p w14:paraId="7E9BB331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GAB</w:t>
            </w:r>
          </w:p>
        </w:tc>
        <w:tc>
          <w:tcPr>
            <w:tcW w:w="0" w:type="auto"/>
            <w:hideMark/>
          </w:tcPr>
          <w:p w14:paraId="36365603" w14:textId="0932A6D4" w:rsidR="00CE559B" w:rsidRPr="004355EF" w:rsidRDefault="00036114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Gabonesa</w:t>
            </w:r>
            <w:r w:rsidR="007D23B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 xml:space="preserve"> (República)</w:t>
            </w:r>
          </w:p>
        </w:tc>
        <w:tc>
          <w:tcPr>
            <w:tcW w:w="0" w:type="auto"/>
            <w:hideMark/>
          </w:tcPr>
          <w:p w14:paraId="5D8E8AA1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100550085</w:t>
            </w:r>
          </w:p>
        </w:tc>
        <w:tc>
          <w:tcPr>
            <w:tcW w:w="0" w:type="auto"/>
            <w:hideMark/>
          </w:tcPr>
          <w:p w14:paraId="40691EA6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GAB26000</w:t>
            </w:r>
          </w:p>
        </w:tc>
        <w:tc>
          <w:tcPr>
            <w:tcW w:w="0" w:type="auto"/>
            <w:hideMark/>
          </w:tcPr>
          <w:p w14:paraId="1BC9B02E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-13,2</w:t>
            </w:r>
          </w:p>
        </w:tc>
      </w:tr>
      <w:tr w:rsidR="00036114" w:rsidRPr="004355EF" w14:paraId="18804910" w14:textId="77777777" w:rsidTr="00036114">
        <w:trPr>
          <w:jc w:val="center"/>
        </w:trPr>
        <w:tc>
          <w:tcPr>
            <w:tcW w:w="938" w:type="dxa"/>
            <w:hideMark/>
          </w:tcPr>
          <w:p w14:paraId="65D61F86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GEO</w:t>
            </w:r>
          </w:p>
        </w:tc>
        <w:tc>
          <w:tcPr>
            <w:tcW w:w="0" w:type="auto"/>
            <w:hideMark/>
          </w:tcPr>
          <w:p w14:paraId="62844FB7" w14:textId="77777777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Georgia</w:t>
            </w:r>
          </w:p>
        </w:tc>
        <w:tc>
          <w:tcPr>
            <w:tcW w:w="0" w:type="auto"/>
            <w:hideMark/>
          </w:tcPr>
          <w:p w14:paraId="08F2F8E0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100550086</w:t>
            </w:r>
          </w:p>
        </w:tc>
        <w:tc>
          <w:tcPr>
            <w:tcW w:w="0" w:type="auto"/>
            <w:hideMark/>
          </w:tcPr>
          <w:p w14:paraId="6C42513C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GEO06400</w:t>
            </w:r>
          </w:p>
        </w:tc>
        <w:tc>
          <w:tcPr>
            <w:tcW w:w="0" w:type="auto"/>
            <w:hideMark/>
          </w:tcPr>
          <w:p w14:paraId="47335CEA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23,2</w:t>
            </w:r>
          </w:p>
        </w:tc>
      </w:tr>
      <w:tr w:rsidR="00036114" w:rsidRPr="004355EF" w14:paraId="6AC196E3" w14:textId="77777777" w:rsidTr="00036114">
        <w:trPr>
          <w:jc w:val="center"/>
        </w:trPr>
        <w:tc>
          <w:tcPr>
            <w:tcW w:w="938" w:type="dxa"/>
            <w:hideMark/>
          </w:tcPr>
          <w:p w14:paraId="0C7FAC4E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GNE</w:t>
            </w:r>
          </w:p>
        </w:tc>
        <w:tc>
          <w:tcPr>
            <w:tcW w:w="0" w:type="auto"/>
            <w:hideMark/>
          </w:tcPr>
          <w:p w14:paraId="1901D660" w14:textId="2B567247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Guinea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 xml:space="preserve"> Ecuatorial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 xml:space="preserve">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7689D087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100550090</w:t>
            </w:r>
          </w:p>
        </w:tc>
        <w:tc>
          <w:tcPr>
            <w:tcW w:w="0" w:type="auto"/>
            <w:hideMark/>
          </w:tcPr>
          <w:p w14:paraId="2011B8F7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GNE30300</w:t>
            </w:r>
          </w:p>
        </w:tc>
        <w:tc>
          <w:tcPr>
            <w:tcW w:w="0" w:type="auto"/>
            <w:hideMark/>
          </w:tcPr>
          <w:p w14:paraId="62F1A130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-18,8</w:t>
            </w:r>
          </w:p>
        </w:tc>
      </w:tr>
      <w:tr w:rsidR="00036114" w:rsidRPr="004355EF" w14:paraId="7924654C" w14:textId="77777777" w:rsidTr="00036114">
        <w:trPr>
          <w:jc w:val="center"/>
        </w:trPr>
        <w:tc>
          <w:tcPr>
            <w:tcW w:w="938" w:type="dxa"/>
            <w:hideMark/>
          </w:tcPr>
          <w:p w14:paraId="1FC66440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IRQ</w:t>
            </w:r>
          </w:p>
        </w:tc>
        <w:tc>
          <w:tcPr>
            <w:tcW w:w="0" w:type="auto"/>
            <w:hideMark/>
          </w:tcPr>
          <w:p w14:paraId="1900A04D" w14:textId="562496B9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Iraq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48127487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100550110</w:t>
            </w:r>
          </w:p>
        </w:tc>
        <w:tc>
          <w:tcPr>
            <w:tcW w:w="0" w:type="auto"/>
            <w:hideMark/>
          </w:tcPr>
          <w:p w14:paraId="070D2E9F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IRQ25600</w:t>
            </w:r>
          </w:p>
        </w:tc>
        <w:tc>
          <w:tcPr>
            <w:tcW w:w="0" w:type="auto"/>
            <w:hideMark/>
          </w:tcPr>
          <w:p w14:paraId="1FC2397E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50</w:t>
            </w:r>
          </w:p>
        </w:tc>
      </w:tr>
      <w:tr w:rsidR="00036114" w:rsidRPr="004355EF" w14:paraId="26D617A0" w14:textId="77777777" w:rsidTr="00036114">
        <w:trPr>
          <w:jc w:val="center"/>
        </w:trPr>
        <w:tc>
          <w:tcPr>
            <w:tcW w:w="938" w:type="dxa"/>
            <w:hideMark/>
          </w:tcPr>
          <w:p w14:paraId="044EFC3D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KEN</w:t>
            </w:r>
          </w:p>
        </w:tc>
        <w:tc>
          <w:tcPr>
            <w:tcW w:w="0" w:type="auto"/>
            <w:hideMark/>
          </w:tcPr>
          <w:p w14:paraId="652F6BBA" w14:textId="3575D0EB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Kenya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6744A7EB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100550120</w:t>
            </w:r>
          </w:p>
        </w:tc>
        <w:tc>
          <w:tcPr>
            <w:tcW w:w="0" w:type="auto"/>
            <w:hideMark/>
          </w:tcPr>
          <w:p w14:paraId="4FEACB0C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KEN24900</w:t>
            </w:r>
          </w:p>
        </w:tc>
        <w:tc>
          <w:tcPr>
            <w:tcW w:w="0" w:type="auto"/>
            <w:hideMark/>
          </w:tcPr>
          <w:p w14:paraId="7D7C5BAE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-0,8</w:t>
            </w:r>
          </w:p>
        </w:tc>
      </w:tr>
      <w:tr w:rsidR="00036114" w:rsidRPr="004355EF" w14:paraId="5F1751AA" w14:textId="77777777" w:rsidTr="00036114">
        <w:trPr>
          <w:jc w:val="center"/>
        </w:trPr>
        <w:tc>
          <w:tcPr>
            <w:tcW w:w="938" w:type="dxa"/>
            <w:hideMark/>
          </w:tcPr>
          <w:p w14:paraId="7E5520E0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LIE</w:t>
            </w:r>
          </w:p>
        </w:tc>
        <w:tc>
          <w:tcPr>
            <w:tcW w:w="0" w:type="auto"/>
            <w:hideMark/>
          </w:tcPr>
          <w:p w14:paraId="22DB23B8" w14:textId="1116B116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Liechtenstein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Principado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4BF60483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100550132</w:t>
            </w:r>
          </w:p>
        </w:tc>
        <w:tc>
          <w:tcPr>
            <w:tcW w:w="0" w:type="auto"/>
            <w:hideMark/>
          </w:tcPr>
          <w:p w14:paraId="3817F80C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LIE25300</w:t>
            </w:r>
          </w:p>
        </w:tc>
        <w:tc>
          <w:tcPr>
            <w:tcW w:w="0" w:type="auto"/>
            <w:hideMark/>
          </w:tcPr>
          <w:p w14:paraId="0A93B1C4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-18,8</w:t>
            </w:r>
          </w:p>
        </w:tc>
      </w:tr>
      <w:tr w:rsidR="00036114" w:rsidRPr="004355EF" w14:paraId="565CCD3E" w14:textId="77777777" w:rsidTr="00036114">
        <w:trPr>
          <w:jc w:val="center"/>
        </w:trPr>
        <w:tc>
          <w:tcPr>
            <w:tcW w:w="938" w:type="dxa"/>
            <w:hideMark/>
          </w:tcPr>
          <w:p w14:paraId="1CA4E012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LSO</w:t>
            </w:r>
          </w:p>
        </w:tc>
        <w:tc>
          <w:tcPr>
            <w:tcW w:w="0" w:type="auto"/>
            <w:hideMark/>
          </w:tcPr>
          <w:p w14:paraId="7C34C8EF" w14:textId="2EF9E3F1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Lesotho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Reino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100D7416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100550133</w:t>
            </w:r>
          </w:p>
        </w:tc>
        <w:tc>
          <w:tcPr>
            <w:tcW w:w="0" w:type="auto"/>
            <w:hideMark/>
          </w:tcPr>
          <w:p w14:paraId="6F2B1BD3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LSO30500</w:t>
            </w:r>
          </w:p>
        </w:tc>
        <w:tc>
          <w:tcPr>
            <w:tcW w:w="0" w:type="auto"/>
            <w:hideMark/>
          </w:tcPr>
          <w:p w14:paraId="63D75174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4,8</w:t>
            </w:r>
          </w:p>
        </w:tc>
      </w:tr>
      <w:tr w:rsidR="00036114" w:rsidRPr="004355EF" w14:paraId="65CDC383" w14:textId="77777777" w:rsidTr="00036114">
        <w:trPr>
          <w:jc w:val="center"/>
        </w:trPr>
        <w:tc>
          <w:tcPr>
            <w:tcW w:w="938" w:type="dxa"/>
            <w:hideMark/>
          </w:tcPr>
          <w:p w14:paraId="413AB843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MAU</w:t>
            </w:r>
          </w:p>
        </w:tc>
        <w:tc>
          <w:tcPr>
            <w:tcW w:w="0" w:type="auto"/>
            <w:hideMark/>
          </w:tcPr>
          <w:p w14:paraId="04BBBC08" w14:textId="128E9C6B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Mauri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c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i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o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 xml:space="preserve">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312942A5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100550137</w:t>
            </w:r>
          </w:p>
        </w:tc>
        <w:tc>
          <w:tcPr>
            <w:tcW w:w="0" w:type="auto"/>
            <w:hideMark/>
          </w:tcPr>
          <w:p w14:paraId="16EE6F36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MAU__100</w:t>
            </w:r>
          </w:p>
        </w:tc>
        <w:tc>
          <w:tcPr>
            <w:tcW w:w="0" w:type="auto"/>
            <w:hideMark/>
          </w:tcPr>
          <w:p w14:paraId="542D3818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29</w:t>
            </w:r>
          </w:p>
        </w:tc>
      </w:tr>
      <w:tr w:rsidR="00036114" w:rsidRPr="004355EF" w14:paraId="502C71B1" w14:textId="77777777" w:rsidTr="00036114">
        <w:trPr>
          <w:jc w:val="center"/>
        </w:trPr>
        <w:tc>
          <w:tcPr>
            <w:tcW w:w="938" w:type="dxa"/>
            <w:hideMark/>
          </w:tcPr>
          <w:p w14:paraId="21D26DC8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MDA</w:t>
            </w:r>
          </w:p>
        </w:tc>
        <w:tc>
          <w:tcPr>
            <w:tcW w:w="0" w:type="auto"/>
            <w:hideMark/>
          </w:tcPr>
          <w:p w14:paraId="20CA486E" w14:textId="323F49D9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Moldova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0B497556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100550139</w:t>
            </w:r>
          </w:p>
        </w:tc>
        <w:tc>
          <w:tcPr>
            <w:tcW w:w="0" w:type="auto"/>
            <w:hideMark/>
          </w:tcPr>
          <w:p w14:paraId="1C2721C3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MDA06300</w:t>
            </w:r>
          </w:p>
        </w:tc>
        <w:tc>
          <w:tcPr>
            <w:tcW w:w="0" w:type="auto"/>
            <w:hideMark/>
          </w:tcPr>
          <w:p w14:paraId="2446EE30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50</w:t>
            </w:r>
          </w:p>
        </w:tc>
      </w:tr>
      <w:tr w:rsidR="00036114" w:rsidRPr="004355EF" w14:paraId="663C380D" w14:textId="77777777" w:rsidTr="00036114">
        <w:trPr>
          <w:jc w:val="center"/>
        </w:trPr>
        <w:tc>
          <w:tcPr>
            <w:tcW w:w="938" w:type="dxa"/>
            <w:hideMark/>
          </w:tcPr>
          <w:p w14:paraId="54126D5D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MDG</w:t>
            </w:r>
          </w:p>
        </w:tc>
        <w:tc>
          <w:tcPr>
            <w:tcW w:w="0" w:type="auto"/>
            <w:hideMark/>
          </w:tcPr>
          <w:p w14:paraId="61FA6F5C" w14:textId="7CB3A9AC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Madagascar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5F8F0FCF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100550140</w:t>
            </w:r>
          </w:p>
        </w:tc>
        <w:tc>
          <w:tcPr>
            <w:tcW w:w="0" w:type="auto"/>
            <w:hideMark/>
          </w:tcPr>
          <w:p w14:paraId="0E5E6DEA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MDG23600</w:t>
            </w:r>
          </w:p>
        </w:tc>
        <w:tc>
          <w:tcPr>
            <w:tcW w:w="0" w:type="auto"/>
            <w:hideMark/>
          </w:tcPr>
          <w:p w14:paraId="57AB6B32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29</w:t>
            </w:r>
          </w:p>
        </w:tc>
      </w:tr>
      <w:tr w:rsidR="00036114" w:rsidRPr="004355EF" w14:paraId="2F0F9961" w14:textId="77777777" w:rsidTr="00036114">
        <w:trPr>
          <w:jc w:val="center"/>
        </w:trPr>
        <w:tc>
          <w:tcPr>
            <w:tcW w:w="938" w:type="dxa"/>
            <w:hideMark/>
          </w:tcPr>
          <w:p w14:paraId="2F3F313A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MKD</w:t>
            </w:r>
          </w:p>
        </w:tc>
        <w:tc>
          <w:tcPr>
            <w:tcW w:w="0" w:type="auto"/>
            <w:hideMark/>
          </w:tcPr>
          <w:p w14:paraId="26504421" w14:textId="2DCB4039" w:rsidR="00CE559B" w:rsidRPr="004355EF" w:rsidRDefault="00036114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 xml:space="preserve">República del Norte de </w:t>
            </w:r>
            <w:r w:rsidR="00CE559B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Macedonia</w:t>
            </w:r>
          </w:p>
        </w:tc>
        <w:tc>
          <w:tcPr>
            <w:tcW w:w="0" w:type="auto"/>
            <w:hideMark/>
          </w:tcPr>
          <w:p w14:paraId="70527975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100550142</w:t>
            </w:r>
          </w:p>
        </w:tc>
        <w:tc>
          <w:tcPr>
            <w:tcW w:w="0" w:type="auto"/>
            <w:hideMark/>
          </w:tcPr>
          <w:p w14:paraId="270A64AF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MKD14800</w:t>
            </w:r>
          </w:p>
        </w:tc>
        <w:tc>
          <w:tcPr>
            <w:tcW w:w="0" w:type="auto"/>
            <w:hideMark/>
          </w:tcPr>
          <w:p w14:paraId="54C545B2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22,8</w:t>
            </w:r>
          </w:p>
        </w:tc>
      </w:tr>
      <w:tr w:rsidR="00036114" w:rsidRPr="004355EF" w14:paraId="767D67B4" w14:textId="77777777" w:rsidTr="00036114">
        <w:trPr>
          <w:jc w:val="center"/>
        </w:trPr>
        <w:tc>
          <w:tcPr>
            <w:tcW w:w="938" w:type="dxa"/>
            <w:hideMark/>
          </w:tcPr>
          <w:p w14:paraId="047BDE4E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MLD</w:t>
            </w:r>
          </w:p>
        </w:tc>
        <w:tc>
          <w:tcPr>
            <w:tcW w:w="0" w:type="auto"/>
            <w:hideMark/>
          </w:tcPr>
          <w:p w14:paraId="1F0C156E" w14:textId="3834DFB0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Maldiv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s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2D9ECE31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100550144</w:t>
            </w:r>
          </w:p>
        </w:tc>
        <w:tc>
          <w:tcPr>
            <w:tcW w:w="0" w:type="auto"/>
            <w:hideMark/>
          </w:tcPr>
          <w:p w14:paraId="4058EE3D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MLD30600</w:t>
            </w:r>
          </w:p>
        </w:tc>
        <w:tc>
          <w:tcPr>
            <w:tcW w:w="0" w:type="auto"/>
            <w:hideMark/>
          </w:tcPr>
          <w:p w14:paraId="2EB87C18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50</w:t>
            </w:r>
          </w:p>
        </w:tc>
      </w:tr>
      <w:tr w:rsidR="00036114" w:rsidRPr="004355EF" w14:paraId="4C1B7C78" w14:textId="77777777" w:rsidTr="00036114">
        <w:trPr>
          <w:jc w:val="center"/>
        </w:trPr>
        <w:tc>
          <w:tcPr>
            <w:tcW w:w="938" w:type="dxa"/>
            <w:hideMark/>
          </w:tcPr>
          <w:p w14:paraId="44004D11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MLI</w:t>
            </w:r>
          </w:p>
        </w:tc>
        <w:tc>
          <w:tcPr>
            <w:tcW w:w="0" w:type="auto"/>
            <w:hideMark/>
          </w:tcPr>
          <w:p w14:paraId="5A995593" w14:textId="3DB04187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Mal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í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 xml:space="preserve">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4774BE6B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100550145</w:t>
            </w:r>
          </w:p>
        </w:tc>
        <w:tc>
          <w:tcPr>
            <w:tcW w:w="0" w:type="auto"/>
            <w:hideMark/>
          </w:tcPr>
          <w:p w14:paraId="64B9FCCA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MLI__100</w:t>
            </w:r>
          </w:p>
        </w:tc>
        <w:tc>
          <w:tcPr>
            <w:tcW w:w="0" w:type="auto"/>
            <w:hideMark/>
          </w:tcPr>
          <w:p w14:paraId="4E23BD21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-19,2</w:t>
            </w:r>
          </w:p>
        </w:tc>
      </w:tr>
      <w:tr w:rsidR="00036114" w:rsidRPr="004355EF" w14:paraId="15D640B5" w14:textId="77777777" w:rsidTr="00036114">
        <w:trPr>
          <w:jc w:val="center"/>
        </w:trPr>
        <w:tc>
          <w:tcPr>
            <w:tcW w:w="938" w:type="dxa"/>
            <w:hideMark/>
          </w:tcPr>
          <w:p w14:paraId="5582ED7F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MLT</w:t>
            </w:r>
          </w:p>
        </w:tc>
        <w:tc>
          <w:tcPr>
            <w:tcW w:w="0" w:type="auto"/>
            <w:hideMark/>
          </w:tcPr>
          <w:p w14:paraId="1ADDFC2D" w14:textId="77777777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Malta</w:t>
            </w:r>
          </w:p>
        </w:tc>
        <w:tc>
          <w:tcPr>
            <w:tcW w:w="0" w:type="auto"/>
            <w:hideMark/>
          </w:tcPr>
          <w:p w14:paraId="5120186C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100550146</w:t>
            </w:r>
          </w:p>
        </w:tc>
        <w:tc>
          <w:tcPr>
            <w:tcW w:w="0" w:type="auto"/>
            <w:hideMark/>
          </w:tcPr>
          <w:p w14:paraId="5755CB6A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MLT14700</w:t>
            </w:r>
          </w:p>
        </w:tc>
        <w:tc>
          <w:tcPr>
            <w:tcW w:w="0" w:type="auto"/>
            <w:hideMark/>
          </w:tcPr>
          <w:p w14:paraId="116975BB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22,8</w:t>
            </w:r>
          </w:p>
        </w:tc>
      </w:tr>
      <w:tr w:rsidR="00036114" w:rsidRPr="004355EF" w14:paraId="44901979" w14:textId="77777777" w:rsidTr="00036114">
        <w:trPr>
          <w:jc w:val="center"/>
        </w:trPr>
        <w:tc>
          <w:tcPr>
            <w:tcW w:w="938" w:type="dxa"/>
            <w:hideMark/>
          </w:tcPr>
          <w:p w14:paraId="577D14F4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MOZ</w:t>
            </w:r>
          </w:p>
        </w:tc>
        <w:tc>
          <w:tcPr>
            <w:tcW w:w="0" w:type="auto"/>
            <w:hideMark/>
          </w:tcPr>
          <w:p w14:paraId="7499AD21" w14:textId="1F2BA3AC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Mozambique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4693B8AF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100550148</w:t>
            </w:r>
          </w:p>
        </w:tc>
        <w:tc>
          <w:tcPr>
            <w:tcW w:w="0" w:type="auto"/>
            <w:hideMark/>
          </w:tcPr>
          <w:p w14:paraId="2C20E86B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MOZ30700</w:t>
            </w:r>
          </w:p>
        </w:tc>
        <w:tc>
          <w:tcPr>
            <w:tcW w:w="0" w:type="auto"/>
            <w:hideMark/>
          </w:tcPr>
          <w:p w14:paraId="0581185B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-1</w:t>
            </w:r>
          </w:p>
        </w:tc>
      </w:tr>
      <w:tr w:rsidR="00036114" w:rsidRPr="004355EF" w14:paraId="3143396C" w14:textId="77777777" w:rsidTr="00036114">
        <w:trPr>
          <w:jc w:val="center"/>
        </w:trPr>
        <w:tc>
          <w:tcPr>
            <w:tcW w:w="938" w:type="dxa"/>
            <w:hideMark/>
          </w:tcPr>
          <w:p w14:paraId="672E1C8F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MWI</w:t>
            </w:r>
          </w:p>
        </w:tc>
        <w:tc>
          <w:tcPr>
            <w:tcW w:w="0" w:type="auto"/>
            <w:hideMark/>
          </w:tcPr>
          <w:p w14:paraId="6F0A7F79" w14:textId="77777777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Malawi</w:t>
            </w:r>
          </w:p>
        </w:tc>
        <w:tc>
          <w:tcPr>
            <w:tcW w:w="0" w:type="auto"/>
            <w:hideMark/>
          </w:tcPr>
          <w:p w14:paraId="00C949E2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100550151</w:t>
            </w:r>
          </w:p>
        </w:tc>
        <w:tc>
          <w:tcPr>
            <w:tcW w:w="0" w:type="auto"/>
            <w:hideMark/>
          </w:tcPr>
          <w:p w14:paraId="45241F92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MWI30800</w:t>
            </w:r>
          </w:p>
        </w:tc>
        <w:tc>
          <w:tcPr>
            <w:tcW w:w="0" w:type="auto"/>
            <w:hideMark/>
          </w:tcPr>
          <w:p w14:paraId="15DBEDEC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4,8</w:t>
            </w:r>
          </w:p>
        </w:tc>
      </w:tr>
      <w:tr w:rsidR="00036114" w:rsidRPr="004355EF" w14:paraId="1D3066E0" w14:textId="77777777" w:rsidTr="00036114">
        <w:trPr>
          <w:jc w:val="center"/>
        </w:trPr>
        <w:tc>
          <w:tcPr>
            <w:tcW w:w="938" w:type="dxa"/>
            <w:hideMark/>
          </w:tcPr>
          <w:p w14:paraId="7AFEB108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NIG</w:t>
            </w:r>
          </w:p>
        </w:tc>
        <w:tc>
          <w:tcPr>
            <w:tcW w:w="0" w:type="auto"/>
            <w:hideMark/>
          </w:tcPr>
          <w:p w14:paraId="17DA8714" w14:textId="7CC50836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Nigeria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Federal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357CD7D1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100550153</w:t>
            </w:r>
          </w:p>
        </w:tc>
        <w:tc>
          <w:tcPr>
            <w:tcW w:w="0" w:type="auto"/>
            <w:hideMark/>
          </w:tcPr>
          <w:p w14:paraId="117046B1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NIG11900</w:t>
            </w:r>
          </w:p>
        </w:tc>
        <w:tc>
          <w:tcPr>
            <w:tcW w:w="0" w:type="auto"/>
            <w:hideMark/>
          </w:tcPr>
          <w:p w14:paraId="1B54BF02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-19,2</w:t>
            </w:r>
          </w:p>
        </w:tc>
      </w:tr>
      <w:tr w:rsidR="00036114" w:rsidRPr="004355EF" w14:paraId="5F23BFE4" w14:textId="77777777" w:rsidTr="00036114">
        <w:trPr>
          <w:jc w:val="center"/>
        </w:trPr>
        <w:tc>
          <w:tcPr>
            <w:tcW w:w="938" w:type="dxa"/>
            <w:hideMark/>
          </w:tcPr>
          <w:p w14:paraId="64E76D39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lastRenderedPageBreak/>
              <w:t>NMB</w:t>
            </w:r>
          </w:p>
        </w:tc>
        <w:tc>
          <w:tcPr>
            <w:tcW w:w="0" w:type="auto"/>
            <w:hideMark/>
          </w:tcPr>
          <w:p w14:paraId="1D561959" w14:textId="64870F57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Namibia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0B17258E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100550154</w:t>
            </w:r>
          </w:p>
        </w:tc>
        <w:tc>
          <w:tcPr>
            <w:tcW w:w="0" w:type="auto"/>
            <w:hideMark/>
          </w:tcPr>
          <w:p w14:paraId="1208713C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NMB02500</w:t>
            </w:r>
          </w:p>
        </w:tc>
        <w:tc>
          <w:tcPr>
            <w:tcW w:w="0" w:type="auto"/>
            <w:hideMark/>
          </w:tcPr>
          <w:p w14:paraId="68ECCA8F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-18,8</w:t>
            </w:r>
          </w:p>
        </w:tc>
      </w:tr>
      <w:tr w:rsidR="00036114" w:rsidRPr="004355EF" w14:paraId="731E2A89" w14:textId="77777777" w:rsidTr="00036114">
        <w:trPr>
          <w:jc w:val="center"/>
        </w:trPr>
        <w:tc>
          <w:tcPr>
            <w:tcW w:w="938" w:type="dxa"/>
            <w:hideMark/>
          </w:tcPr>
          <w:p w14:paraId="798575E6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NPL</w:t>
            </w:r>
          </w:p>
        </w:tc>
        <w:tc>
          <w:tcPr>
            <w:tcW w:w="0" w:type="auto"/>
            <w:hideMark/>
          </w:tcPr>
          <w:p w14:paraId="10090439" w14:textId="7C897C64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Nepal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 xml:space="preserve">República 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Democr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 xml:space="preserve">ática </w:t>
            </w:r>
            <w:r w:rsidR="007D23B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 xml:space="preserve">Federal 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44F3C85D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100550157</w:t>
            </w:r>
          </w:p>
        </w:tc>
        <w:tc>
          <w:tcPr>
            <w:tcW w:w="0" w:type="auto"/>
            <w:hideMark/>
          </w:tcPr>
          <w:p w14:paraId="575A6077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NPL12200</w:t>
            </w:r>
          </w:p>
        </w:tc>
        <w:tc>
          <w:tcPr>
            <w:tcW w:w="0" w:type="auto"/>
            <w:hideMark/>
          </w:tcPr>
          <w:p w14:paraId="4133966A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50</w:t>
            </w:r>
          </w:p>
        </w:tc>
      </w:tr>
      <w:tr w:rsidR="00036114" w:rsidRPr="004355EF" w14:paraId="267F5580" w14:textId="77777777" w:rsidTr="00036114">
        <w:trPr>
          <w:jc w:val="center"/>
        </w:trPr>
        <w:tc>
          <w:tcPr>
            <w:tcW w:w="938" w:type="dxa"/>
            <w:hideMark/>
          </w:tcPr>
          <w:p w14:paraId="6752B54A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POL</w:t>
            </w:r>
          </w:p>
        </w:tc>
        <w:tc>
          <w:tcPr>
            <w:tcW w:w="0" w:type="auto"/>
            <w:hideMark/>
          </w:tcPr>
          <w:p w14:paraId="6B01CAE5" w14:textId="3CF4EF0F" w:rsidR="00CE559B" w:rsidRPr="004355EF" w:rsidRDefault="00036114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Polonia</w:t>
            </w:r>
            <w:r w:rsidR="00CE559B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 xml:space="preserve"> (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="00CE559B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3ED1AC6D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100550165</w:t>
            </w:r>
          </w:p>
        </w:tc>
        <w:tc>
          <w:tcPr>
            <w:tcW w:w="0" w:type="auto"/>
            <w:hideMark/>
          </w:tcPr>
          <w:p w14:paraId="0CD0A78B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POL13200</w:t>
            </w:r>
          </w:p>
        </w:tc>
        <w:tc>
          <w:tcPr>
            <w:tcW w:w="0" w:type="auto"/>
            <w:hideMark/>
          </w:tcPr>
          <w:p w14:paraId="3BB84016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50</w:t>
            </w:r>
          </w:p>
        </w:tc>
      </w:tr>
      <w:tr w:rsidR="00036114" w:rsidRPr="004355EF" w14:paraId="484AB894" w14:textId="77777777" w:rsidTr="00036114">
        <w:trPr>
          <w:jc w:val="center"/>
        </w:trPr>
        <w:tc>
          <w:tcPr>
            <w:tcW w:w="938" w:type="dxa"/>
            <w:hideMark/>
          </w:tcPr>
          <w:p w14:paraId="7DFFCA3E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ROU</w:t>
            </w:r>
          </w:p>
        </w:tc>
        <w:tc>
          <w:tcPr>
            <w:tcW w:w="0" w:type="auto"/>
            <w:hideMark/>
          </w:tcPr>
          <w:p w14:paraId="58FE95F2" w14:textId="305455D0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u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mania</w:t>
            </w:r>
          </w:p>
        </w:tc>
        <w:tc>
          <w:tcPr>
            <w:tcW w:w="0" w:type="auto"/>
            <w:hideMark/>
          </w:tcPr>
          <w:p w14:paraId="39CB54A2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100550169</w:t>
            </w:r>
          </w:p>
        </w:tc>
        <w:tc>
          <w:tcPr>
            <w:tcW w:w="0" w:type="auto"/>
            <w:hideMark/>
          </w:tcPr>
          <w:p w14:paraId="487A9E06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ROU13600</w:t>
            </w:r>
          </w:p>
        </w:tc>
        <w:tc>
          <w:tcPr>
            <w:tcW w:w="0" w:type="auto"/>
            <w:hideMark/>
          </w:tcPr>
          <w:p w14:paraId="230D177C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50</w:t>
            </w:r>
          </w:p>
        </w:tc>
      </w:tr>
      <w:tr w:rsidR="00036114" w:rsidRPr="004355EF" w14:paraId="3CF76C24" w14:textId="77777777" w:rsidTr="00036114">
        <w:trPr>
          <w:jc w:val="center"/>
        </w:trPr>
        <w:tc>
          <w:tcPr>
            <w:tcW w:w="938" w:type="dxa"/>
            <w:hideMark/>
          </w:tcPr>
          <w:p w14:paraId="7597D902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RRW</w:t>
            </w:r>
          </w:p>
        </w:tc>
        <w:tc>
          <w:tcPr>
            <w:tcW w:w="0" w:type="auto"/>
            <w:hideMark/>
          </w:tcPr>
          <w:p w14:paraId="5D6D1A5C" w14:textId="1560CD15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Rwanda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3D992658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100550170</w:t>
            </w:r>
          </w:p>
        </w:tc>
        <w:tc>
          <w:tcPr>
            <w:tcW w:w="0" w:type="auto"/>
            <w:hideMark/>
          </w:tcPr>
          <w:p w14:paraId="3760DF87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RRW31000</w:t>
            </w:r>
          </w:p>
        </w:tc>
        <w:tc>
          <w:tcPr>
            <w:tcW w:w="0" w:type="auto"/>
            <w:hideMark/>
          </w:tcPr>
          <w:p w14:paraId="1A6C048E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11</w:t>
            </w:r>
          </w:p>
        </w:tc>
      </w:tr>
      <w:tr w:rsidR="00036114" w:rsidRPr="004355EF" w14:paraId="63F93B30" w14:textId="77777777" w:rsidTr="00036114">
        <w:trPr>
          <w:jc w:val="center"/>
        </w:trPr>
        <w:tc>
          <w:tcPr>
            <w:tcW w:w="938" w:type="dxa"/>
            <w:hideMark/>
          </w:tcPr>
          <w:p w14:paraId="7AFC6F86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SDN</w:t>
            </w:r>
          </w:p>
        </w:tc>
        <w:tc>
          <w:tcPr>
            <w:tcW w:w="0" w:type="auto"/>
            <w:hideMark/>
          </w:tcPr>
          <w:p w14:paraId="414F6EB3" w14:textId="324BD3D9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Sud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á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n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1F56AF28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100550179</w:t>
            </w:r>
          </w:p>
        </w:tc>
        <w:tc>
          <w:tcPr>
            <w:tcW w:w="0" w:type="auto"/>
            <w:hideMark/>
          </w:tcPr>
          <w:p w14:paraId="5B8A5B1C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SDN__100</w:t>
            </w:r>
          </w:p>
        </w:tc>
        <w:tc>
          <w:tcPr>
            <w:tcW w:w="0" w:type="auto"/>
            <w:hideMark/>
          </w:tcPr>
          <w:p w14:paraId="65D6293F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-7</w:t>
            </w:r>
          </w:p>
        </w:tc>
      </w:tr>
      <w:tr w:rsidR="00036114" w:rsidRPr="004355EF" w14:paraId="6DDA9335" w14:textId="77777777" w:rsidTr="00036114">
        <w:trPr>
          <w:jc w:val="center"/>
        </w:trPr>
        <w:tc>
          <w:tcPr>
            <w:tcW w:w="938" w:type="dxa"/>
            <w:hideMark/>
          </w:tcPr>
          <w:p w14:paraId="6B609074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SEY</w:t>
            </w:r>
          </w:p>
        </w:tc>
        <w:tc>
          <w:tcPr>
            <w:tcW w:w="0" w:type="auto"/>
            <w:hideMark/>
          </w:tcPr>
          <w:p w14:paraId="7292A12E" w14:textId="5F8D4D1B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Seychelles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7E3E6967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100550181</w:t>
            </w:r>
          </w:p>
        </w:tc>
        <w:tc>
          <w:tcPr>
            <w:tcW w:w="0" w:type="auto"/>
            <w:hideMark/>
          </w:tcPr>
          <w:p w14:paraId="3B5E92D3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SEY00000</w:t>
            </w:r>
          </w:p>
        </w:tc>
        <w:tc>
          <w:tcPr>
            <w:tcW w:w="0" w:type="auto"/>
            <w:hideMark/>
          </w:tcPr>
          <w:p w14:paraId="36336C9D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42,5</w:t>
            </w:r>
          </w:p>
        </w:tc>
      </w:tr>
      <w:tr w:rsidR="00036114" w:rsidRPr="004355EF" w14:paraId="0A7AADC5" w14:textId="77777777" w:rsidTr="00036114">
        <w:trPr>
          <w:jc w:val="center"/>
        </w:trPr>
        <w:tc>
          <w:tcPr>
            <w:tcW w:w="938" w:type="dxa"/>
            <w:hideMark/>
          </w:tcPr>
          <w:p w14:paraId="754E3FBA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SOM</w:t>
            </w:r>
          </w:p>
        </w:tc>
        <w:tc>
          <w:tcPr>
            <w:tcW w:w="0" w:type="auto"/>
            <w:hideMark/>
          </w:tcPr>
          <w:p w14:paraId="55EFBCED" w14:textId="78B4464F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Somalia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Federal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692FC1C3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100550186</w:t>
            </w:r>
          </w:p>
        </w:tc>
        <w:tc>
          <w:tcPr>
            <w:tcW w:w="0" w:type="auto"/>
            <w:hideMark/>
          </w:tcPr>
          <w:p w14:paraId="682944BB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SOM31200</w:t>
            </w:r>
          </w:p>
        </w:tc>
        <w:tc>
          <w:tcPr>
            <w:tcW w:w="0" w:type="auto"/>
            <w:hideMark/>
          </w:tcPr>
          <w:p w14:paraId="123EB38C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37,8</w:t>
            </w:r>
          </w:p>
        </w:tc>
      </w:tr>
      <w:tr w:rsidR="00036114" w:rsidRPr="004355EF" w14:paraId="13A2CE0C" w14:textId="77777777" w:rsidTr="00036114">
        <w:trPr>
          <w:jc w:val="center"/>
        </w:trPr>
        <w:tc>
          <w:tcPr>
            <w:tcW w:w="938" w:type="dxa"/>
            <w:hideMark/>
          </w:tcPr>
          <w:p w14:paraId="1F6922FA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SRB</w:t>
            </w:r>
          </w:p>
        </w:tc>
        <w:tc>
          <w:tcPr>
            <w:tcW w:w="0" w:type="auto"/>
            <w:hideMark/>
          </w:tcPr>
          <w:p w14:paraId="1F6FA471" w14:textId="03CA6195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Serbia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190451CE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100550221</w:t>
            </w:r>
          </w:p>
        </w:tc>
        <w:tc>
          <w:tcPr>
            <w:tcW w:w="0" w:type="auto"/>
            <w:hideMark/>
          </w:tcPr>
          <w:p w14:paraId="55C2FBA4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SRB14800</w:t>
            </w:r>
          </w:p>
        </w:tc>
        <w:tc>
          <w:tcPr>
            <w:tcW w:w="0" w:type="auto"/>
            <w:hideMark/>
          </w:tcPr>
          <w:p w14:paraId="343C9813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-7</w:t>
            </w:r>
          </w:p>
        </w:tc>
      </w:tr>
      <w:tr w:rsidR="00036114" w:rsidRPr="004355EF" w14:paraId="2E20D9A5" w14:textId="77777777" w:rsidTr="00036114">
        <w:trPr>
          <w:jc w:val="center"/>
        </w:trPr>
        <w:tc>
          <w:tcPr>
            <w:tcW w:w="938" w:type="dxa"/>
            <w:hideMark/>
          </w:tcPr>
          <w:p w14:paraId="67C75E3A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SWZ</w:t>
            </w:r>
          </w:p>
        </w:tc>
        <w:tc>
          <w:tcPr>
            <w:tcW w:w="0" w:type="auto"/>
            <w:hideMark/>
          </w:tcPr>
          <w:p w14:paraId="6676B5ED" w14:textId="3D9B5599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Eswatini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Reino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732E43A6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100550194</w:t>
            </w:r>
          </w:p>
        </w:tc>
        <w:tc>
          <w:tcPr>
            <w:tcW w:w="0" w:type="auto"/>
            <w:hideMark/>
          </w:tcPr>
          <w:p w14:paraId="50E62F7D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SWZ31300</w:t>
            </w:r>
          </w:p>
        </w:tc>
        <w:tc>
          <w:tcPr>
            <w:tcW w:w="0" w:type="auto"/>
            <w:hideMark/>
          </w:tcPr>
          <w:p w14:paraId="29B8B5BD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4,8</w:t>
            </w:r>
          </w:p>
        </w:tc>
      </w:tr>
      <w:tr w:rsidR="00036114" w:rsidRPr="004355EF" w14:paraId="690750D0" w14:textId="77777777" w:rsidTr="00036114">
        <w:trPr>
          <w:jc w:val="center"/>
        </w:trPr>
        <w:tc>
          <w:tcPr>
            <w:tcW w:w="938" w:type="dxa"/>
            <w:hideMark/>
          </w:tcPr>
          <w:p w14:paraId="3D4A5B72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TCD</w:t>
            </w:r>
          </w:p>
        </w:tc>
        <w:tc>
          <w:tcPr>
            <w:tcW w:w="0" w:type="auto"/>
            <w:hideMark/>
          </w:tcPr>
          <w:p w14:paraId="68A2E959" w14:textId="6DC14221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Chad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4CDED95E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100550197</w:t>
            </w:r>
          </w:p>
        </w:tc>
        <w:tc>
          <w:tcPr>
            <w:tcW w:w="0" w:type="auto"/>
            <w:hideMark/>
          </w:tcPr>
          <w:p w14:paraId="1C45C36B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TCD14300</w:t>
            </w:r>
          </w:p>
        </w:tc>
        <w:tc>
          <w:tcPr>
            <w:tcW w:w="0" w:type="auto"/>
            <w:hideMark/>
          </w:tcPr>
          <w:p w14:paraId="3B66924C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17</w:t>
            </w:r>
          </w:p>
        </w:tc>
      </w:tr>
      <w:tr w:rsidR="00036114" w:rsidRPr="004355EF" w14:paraId="337745DC" w14:textId="77777777" w:rsidTr="00036114">
        <w:trPr>
          <w:jc w:val="center"/>
        </w:trPr>
        <w:tc>
          <w:tcPr>
            <w:tcW w:w="938" w:type="dxa"/>
            <w:hideMark/>
          </w:tcPr>
          <w:p w14:paraId="58B42848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TKM</w:t>
            </w:r>
          </w:p>
        </w:tc>
        <w:tc>
          <w:tcPr>
            <w:tcW w:w="0" w:type="auto"/>
            <w:hideMark/>
          </w:tcPr>
          <w:p w14:paraId="127A4181" w14:textId="2E1C5DAD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Turkmenist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á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n</w:t>
            </w:r>
          </w:p>
        </w:tc>
        <w:tc>
          <w:tcPr>
            <w:tcW w:w="0" w:type="auto"/>
            <w:hideMark/>
          </w:tcPr>
          <w:p w14:paraId="772FA230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100550201</w:t>
            </w:r>
          </w:p>
        </w:tc>
        <w:tc>
          <w:tcPr>
            <w:tcW w:w="0" w:type="auto"/>
            <w:hideMark/>
          </w:tcPr>
          <w:p w14:paraId="796E11B5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TKM06800</w:t>
            </w:r>
          </w:p>
        </w:tc>
        <w:tc>
          <w:tcPr>
            <w:tcW w:w="0" w:type="auto"/>
            <w:hideMark/>
          </w:tcPr>
          <w:p w14:paraId="0EAA39C7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50</w:t>
            </w:r>
          </w:p>
        </w:tc>
      </w:tr>
      <w:tr w:rsidR="00036114" w:rsidRPr="004355EF" w14:paraId="7D00E8C6" w14:textId="77777777" w:rsidTr="00036114">
        <w:trPr>
          <w:jc w:val="center"/>
        </w:trPr>
        <w:tc>
          <w:tcPr>
            <w:tcW w:w="938" w:type="dxa"/>
            <w:hideMark/>
          </w:tcPr>
          <w:p w14:paraId="01BFD61A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TUN</w:t>
            </w:r>
          </w:p>
        </w:tc>
        <w:tc>
          <w:tcPr>
            <w:tcW w:w="0" w:type="auto"/>
            <w:hideMark/>
          </w:tcPr>
          <w:p w14:paraId="37855A5E" w14:textId="44A086BF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T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únez</w:t>
            </w:r>
          </w:p>
        </w:tc>
        <w:tc>
          <w:tcPr>
            <w:tcW w:w="0" w:type="auto"/>
            <w:hideMark/>
          </w:tcPr>
          <w:p w14:paraId="11E8A776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100550204</w:t>
            </w:r>
          </w:p>
        </w:tc>
        <w:tc>
          <w:tcPr>
            <w:tcW w:w="0" w:type="auto"/>
            <w:hideMark/>
          </w:tcPr>
          <w:p w14:paraId="256D2625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TUN15000</w:t>
            </w:r>
          </w:p>
        </w:tc>
        <w:tc>
          <w:tcPr>
            <w:tcW w:w="0" w:type="auto"/>
            <w:hideMark/>
          </w:tcPr>
          <w:p w14:paraId="675D2FD5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-25,2</w:t>
            </w:r>
          </w:p>
        </w:tc>
      </w:tr>
      <w:tr w:rsidR="00036114" w:rsidRPr="004355EF" w14:paraId="4D385F38" w14:textId="77777777" w:rsidTr="00036114">
        <w:trPr>
          <w:jc w:val="center"/>
        </w:trPr>
        <w:tc>
          <w:tcPr>
            <w:tcW w:w="938" w:type="dxa"/>
            <w:hideMark/>
          </w:tcPr>
          <w:p w14:paraId="26EEF170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TUN</w:t>
            </w:r>
          </w:p>
        </w:tc>
        <w:tc>
          <w:tcPr>
            <w:tcW w:w="0" w:type="auto"/>
            <w:hideMark/>
          </w:tcPr>
          <w:p w14:paraId="37B112C1" w14:textId="2D31352E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T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únez</w:t>
            </w:r>
          </w:p>
        </w:tc>
        <w:tc>
          <w:tcPr>
            <w:tcW w:w="0" w:type="auto"/>
            <w:hideMark/>
          </w:tcPr>
          <w:p w14:paraId="1F295161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100550205</w:t>
            </w:r>
          </w:p>
        </w:tc>
        <w:tc>
          <w:tcPr>
            <w:tcW w:w="0" w:type="auto"/>
            <w:hideMark/>
          </w:tcPr>
          <w:p w14:paraId="0F23B2DC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TUN27200</w:t>
            </w:r>
          </w:p>
        </w:tc>
        <w:tc>
          <w:tcPr>
            <w:tcW w:w="0" w:type="auto"/>
            <w:hideMark/>
          </w:tcPr>
          <w:p w14:paraId="6791535F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-25,2</w:t>
            </w:r>
          </w:p>
        </w:tc>
      </w:tr>
      <w:tr w:rsidR="00036114" w:rsidRPr="004355EF" w14:paraId="508F6BD9" w14:textId="77777777" w:rsidTr="00036114">
        <w:trPr>
          <w:jc w:val="center"/>
        </w:trPr>
        <w:tc>
          <w:tcPr>
            <w:tcW w:w="938" w:type="dxa"/>
            <w:hideMark/>
          </w:tcPr>
          <w:p w14:paraId="06A9BCEA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TZA</w:t>
            </w:r>
          </w:p>
        </w:tc>
        <w:tc>
          <w:tcPr>
            <w:tcW w:w="0" w:type="auto"/>
            <w:hideMark/>
          </w:tcPr>
          <w:p w14:paraId="38C1211E" w14:textId="1E26B0FC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Tanzan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í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a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Unida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64205A02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100550208</w:t>
            </w:r>
          </w:p>
        </w:tc>
        <w:tc>
          <w:tcPr>
            <w:tcW w:w="0" w:type="auto"/>
            <w:hideMark/>
          </w:tcPr>
          <w:p w14:paraId="4829DDF6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TZA22500</w:t>
            </w:r>
          </w:p>
        </w:tc>
        <w:tc>
          <w:tcPr>
            <w:tcW w:w="0" w:type="auto"/>
            <w:hideMark/>
          </w:tcPr>
          <w:p w14:paraId="0934FB0A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11</w:t>
            </w:r>
          </w:p>
        </w:tc>
      </w:tr>
      <w:tr w:rsidR="00036114" w:rsidRPr="004355EF" w14:paraId="529FF10F" w14:textId="77777777" w:rsidTr="00036114">
        <w:trPr>
          <w:jc w:val="center"/>
        </w:trPr>
        <w:tc>
          <w:tcPr>
            <w:tcW w:w="938" w:type="dxa"/>
            <w:hideMark/>
          </w:tcPr>
          <w:p w14:paraId="29294D08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UGA</w:t>
            </w:r>
          </w:p>
        </w:tc>
        <w:tc>
          <w:tcPr>
            <w:tcW w:w="0" w:type="auto"/>
            <w:hideMark/>
          </w:tcPr>
          <w:p w14:paraId="307D06A5" w14:textId="04BCF3C1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Uganda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4774C082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100550210</w:t>
            </w:r>
          </w:p>
        </w:tc>
        <w:tc>
          <w:tcPr>
            <w:tcW w:w="0" w:type="auto"/>
            <w:hideMark/>
          </w:tcPr>
          <w:p w14:paraId="650A0986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UGA05100</w:t>
            </w:r>
          </w:p>
        </w:tc>
        <w:tc>
          <w:tcPr>
            <w:tcW w:w="0" w:type="auto"/>
            <w:hideMark/>
          </w:tcPr>
          <w:p w14:paraId="4D1C52C3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17</w:t>
            </w:r>
          </w:p>
        </w:tc>
      </w:tr>
      <w:tr w:rsidR="00036114" w:rsidRPr="004355EF" w14:paraId="352F1F40" w14:textId="77777777" w:rsidTr="00036114">
        <w:trPr>
          <w:jc w:val="center"/>
        </w:trPr>
        <w:tc>
          <w:tcPr>
            <w:tcW w:w="938" w:type="dxa"/>
            <w:hideMark/>
          </w:tcPr>
          <w:p w14:paraId="5CEFADB4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YEM</w:t>
            </w:r>
          </w:p>
        </w:tc>
        <w:tc>
          <w:tcPr>
            <w:tcW w:w="0" w:type="auto"/>
            <w:hideMark/>
          </w:tcPr>
          <w:p w14:paraId="71E7C9C0" w14:textId="1749FE4C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Yemen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6433B226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100550220</w:t>
            </w:r>
          </w:p>
        </w:tc>
        <w:tc>
          <w:tcPr>
            <w:tcW w:w="0" w:type="auto"/>
            <w:hideMark/>
          </w:tcPr>
          <w:p w14:paraId="2E464F1F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YEM__100</w:t>
            </w:r>
          </w:p>
        </w:tc>
        <w:tc>
          <w:tcPr>
            <w:tcW w:w="0" w:type="auto"/>
            <w:hideMark/>
          </w:tcPr>
          <w:p w14:paraId="5A5620A4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11</w:t>
            </w:r>
          </w:p>
        </w:tc>
      </w:tr>
      <w:tr w:rsidR="00036114" w:rsidRPr="004355EF" w14:paraId="33C6A68D" w14:textId="77777777" w:rsidTr="00036114">
        <w:trPr>
          <w:jc w:val="center"/>
        </w:trPr>
        <w:tc>
          <w:tcPr>
            <w:tcW w:w="938" w:type="dxa"/>
            <w:hideMark/>
          </w:tcPr>
          <w:p w14:paraId="6BCEB4C3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ZMB</w:t>
            </w:r>
          </w:p>
        </w:tc>
        <w:tc>
          <w:tcPr>
            <w:tcW w:w="0" w:type="auto"/>
            <w:hideMark/>
          </w:tcPr>
          <w:p w14:paraId="73F986DC" w14:textId="7627F8A2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Zambia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46B7A706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100550222</w:t>
            </w:r>
          </w:p>
        </w:tc>
        <w:tc>
          <w:tcPr>
            <w:tcW w:w="0" w:type="auto"/>
            <w:hideMark/>
          </w:tcPr>
          <w:p w14:paraId="0E8F69D3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ZMB31400</w:t>
            </w:r>
          </w:p>
        </w:tc>
        <w:tc>
          <w:tcPr>
            <w:tcW w:w="0" w:type="auto"/>
            <w:hideMark/>
          </w:tcPr>
          <w:p w14:paraId="2EDB728F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-0,8</w:t>
            </w:r>
          </w:p>
        </w:tc>
      </w:tr>
      <w:tr w:rsidR="00036114" w:rsidRPr="004355EF" w14:paraId="6277EDCE" w14:textId="77777777" w:rsidTr="00036114">
        <w:trPr>
          <w:jc w:val="center"/>
        </w:trPr>
        <w:tc>
          <w:tcPr>
            <w:tcW w:w="938" w:type="dxa"/>
            <w:hideMark/>
          </w:tcPr>
          <w:p w14:paraId="66F03774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ZWE</w:t>
            </w:r>
          </w:p>
        </w:tc>
        <w:tc>
          <w:tcPr>
            <w:tcW w:w="0" w:type="auto"/>
            <w:hideMark/>
          </w:tcPr>
          <w:p w14:paraId="288C3AE1" w14:textId="23C38088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Zimbabwe (</w:t>
            </w:r>
            <w:r w:rsidR="0003611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República de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hideMark/>
          </w:tcPr>
          <w:p w14:paraId="26BB8622" w14:textId="77777777" w:rsidR="00CE559B" w:rsidRPr="004355EF" w:rsidRDefault="00CE559B" w:rsidP="00036114">
            <w:pPr>
              <w:spacing w:line="240" w:lineRule="auto"/>
              <w:jc w:val="righ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100550223</w:t>
            </w:r>
          </w:p>
        </w:tc>
        <w:tc>
          <w:tcPr>
            <w:tcW w:w="0" w:type="auto"/>
            <w:hideMark/>
          </w:tcPr>
          <w:p w14:paraId="03158944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ZWE13500</w:t>
            </w:r>
          </w:p>
        </w:tc>
        <w:tc>
          <w:tcPr>
            <w:tcW w:w="0" w:type="auto"/>
            <w:hideMark/>
          </w:tcPr>
          <w:p w14:paraId="6C3FB10B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-0,8</w:t>
            </w:r>
          </w:p>
        </w:tc>
      </w:tr>
      <w:tr w:rsidR="00036114" w:rsidRPr="004355EF" w14:paraId="716E6961" w14:textId="77777777" w:rsidTr="00036114">
        <w:trPr>
          <w:jc w:val="center"/>
        </w:trPr>
        <w:tc>
          <w:tcPr>
            <w:tcW w:w="938" w:type="dxa"/>
          </w:tcPr>
          <w:p w14:paraId="2DEADD84" w14:textId="77777777" w:rsidR="00CE559B" w:rsidRPr="004355EF" w:rsidRDefault="00CE559B" w:rsidP="0003611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SSD</w:t>
            </w:r>
            <w:r w:rsidRPr="004355EF">
              <w:rPr>
                <w:rFonts w:asciiTheme="minorHAnsi" w:hAnsiTheme="minorHAnsi" w:cstheme="minorHAnsi"/>
                <w:color w:val="000000"/>
                <w:position w:val="6"/>
                <w:szCs w:val="24"/>
                <w:lang w:val="es-ES"/>
              </w:rPr>
              <w:footnoteReference w:id="1"/>
            </w:r>
          </w:p>
        </w:tc>
        <w:tc>
          <w:tcPr>
            <w:tcW w:w="0" w:type="auto"/>
          </w:tcPr>
          <w:p w14:paraId="2640D717" w14:textId="38065F7D" w:rsidR="00CE559B" w:rsidRPr="004355EF" w:rsidRDefault="00CE559B" w:rsidP="0003611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Sud</w:t>
            </w:r>
            <w:r w:rsidR="007D23B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á</w:t>
            </w: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n</w:t>
            </w:r>
            <w:r w:rsidR="007D23B4"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 xml:space="preserve"> del Sur</w:t>
            </w:r>
          </w:p>
        </w:tc>
        <w:tc>
          <w:tcPr>
            <w:tcW w:w="0" w:type="auto"/>
          </w:tcPr>
          <w:p w14:paraId="2088416F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--</w:t>
            </w:r>
          </w:p>
        </w:tc>
        <w:tc>
          <w:tcPr>
            <w:tcW w:w="0" w:type="auto"/>
          </w:tcPr>
          <w:p w14:paraId="2642FC05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--</w:t>
            </w:r>
          </w:p>
        </w:tc>
        <w:tc>
          <w:tcPr>
            <w:tcW w:w="0" w:type="auto"/>
          </w:tcPr>
          <w:p w14:paraId="72CB043C" w14:textId="77777777" w:rsidR="00CE559B" w:rsidRPr="004355EF" w:rsidRDefault="00CE559B" w:rsidP="0003611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</w:pPr>
            <w:r w:rsidRPr="004355EF">
              <w:rPr>
                <w:rFonts w:asciiTheme="minorHAnsi" w:hAnsiTheme="minorHAnsi" w:cstheme="minorHAnsi"/>
                <w:color w:val="000000"/>
                <w:szCs w:val="24"/>
                <w:lang w:val="es-ES"/>
              </w:rPr>
              <w:t>--</w:t>
            </w:r>
          </w:p>
        </w:tc>
      </w:tr>
    </w:tbl>
    <w:p w14:paraId="2751C8E8" w14:textId="77777777" w:rsidR="00D239B4" w:rsidRPr="004355EF" w:rsidRDefault="00D239B4" w:rsidP="00FE4822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"/>
        </w:rPr>
      </w:pPr>
    </w:p>
    <w:sectPr w:rsidR="00D239B4" w:rsidRPr="004355EF" w:rsidSect="00B65C9B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F0286" w14:textId="77777777" w:rsidR="00036114" w:rsidRDefault="00036114">
      <w:r>
        <w:separator/>
      </w:r>
    </w:p>
  </w:endnote>
  <w:endnote w:type="continuationSeparator" w:id="0">
    <w:p w14:paraId="62CEC0BF" w14:textId="77777777" w:rsidR="00036114" w:rsidRDefault="0003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B0A8B" w14:textId="66FDD11B" w:rsidR="00036114" w:rsidRPr="002B7EE0" w:rsidRDefault="00036114" w:rsidP="002B7EE0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  <w:t xml:space="preserve">Tél: +41 22 730 5111 • courriel: </w:t>
    </w:r>
    <w:hyperlink r:id="rId1" w:history="1">
      <w:r w:rsidRPr="002B7EE0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hyperlink r:id="rId2" w:history="1">
      <w:r w:rsidR="004355EF" w:rsidRPr="00D6303D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</w:hyperlink>
    <w:r w:rsidRPr="002B7EE0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53E1B" w14:textId="77777777" w:rsidR="00036114" w:rsidRDefault="00036114">
      <w:r>
        <w:t>____________________</w:t>
      </w:r>
    </w:p>
  </w:footnote>
  <w:footnote w:type="continuationSeparator" w:id="0">
    <w:p w14:paraId="53803BE9" w14:textId="77777777" w:rsidR="00036114" w:rsidRDefault="00036114">
      <w:r>
        <w:continuationSeparator/>
      </w:r>
    </w:p>
  </w:footnote>
  <w:footnote w:id="1">
    <w:p w14:paraId="51204E27" w14:textId="77777777" w:rsidR="00036114" w:rsidRPr="00E631B9" w:rsidRDefault="00036114" w:rsidP="00CE559B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E631B9">
        <w:rPr>
          <w:lang w:val="es-ES"/>
        </w:rPr>
        <w:t xml:space="preserve"> </w:t>
      </w:r>
      <w:r>
        <w:rPr>
          <w:lang w:val="es-ES"/>
        </w:rPr>
        <w:t>La aplicación d</w:t>
      </w:r>
      <w:r w:rsidRPr="00E631B9">
        <w:rPr>
          <w:lang w:val="es-ES"/>
        </w:rPr>
        <w:t xml:space="preserve">el procedimiento especial no requiere </w:t>
      </w:r>
      <w:r>
        <w:rPr>
          <w:lang w:val="es-ES"/>
        </w:rPr>
        <w:t>ninguna</w:t>
      </w:r>
      <w:r w:rsidRPr="00E631B9">
        <w:rPr>
          <w:lang w:val="es-ES"/>
        </w:rPr>
        <w:t xml:space="preserve"> referencia al nombre de las asignaciones del Plan.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2933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5AD16C" w14:textId="55AC60F9" w:rsidR="00B65C9B" w:rsidRDefault="00B65C9B">
        <w:pPr>
          <w:pStyle w:val="Header"/>
          <w:jc w:val="center"/>
        </w:pPr>
        <w:r>
          <w:t>-</w:t>
        </w:r>
        <w:r w:rsidRPr="00B65C9B">
          <w:rPr>
            <w:sz w:val="18"/>
            <w:szCs w:val="18"/>
          </w:rPr>
          <w:fldChar w:fldCharType="begin"/>
        </w:r>
        <w:r w:rsidRPr="00B65C9B">
          <w:rPr>
            <w:sz w:val="18"/>
            <w:szCs w:val="18"/>
          </w:rPr>
          <w:instrText xml:space="preserve"> PAGE   \* MERGEFORMAT </w:instrText>
        </w:r>
        <w:r w:rsidRPr="00B65C9B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B65C9B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>-</w:t>
        </w:r>
      </w:p>
    </w:sdtContent>
  </w:sdt>
  <w:p w14:paraId="159F2F64" w14:textId="77777777" w:rsidR="00B65C9B" w:rsidRDefault="00B65C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10EEB" w14:textId="0FA215AE" w:rsidR="00B65C9B" w:rsidRPr="00B65C9B" w:rsidRDefault="00B65C9B">
    <w:pPr>
      <w:pStyle w:val="Header"/>
      <w:jc w:val="center"/>
      <w:rPr>
        <w:sz w:val="18"/>
        <w:szCs w:val="18"/>
      </w:rPr>
    </w:pPr>
    <w:r w:rsidRPr="00B65C9B">
      <w:rPr>
        <w:sz w:val="18"/>
        <w:szCs w:val="18"/>
      </w:rPr>
      <w:t>-</w:t>
    </w:r>
    <w:sdt>
      <w:sdtPr>
        <w:rPr>
          <w:sz w:val="18"/>
          <w:szCs w:val="18"/>
        </w:rPr>
        <w:id w:val="17415963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65C9B">
          <w:rPr>
            <w:sz w:val="18"/>
            <w:szCs w:val="18"/>
          </w:rPr>
          <w:fldChar w:fldCharType="begin"/>
        </w:r>
        <w:r w:rsidRPr="00B65C9B">
          <w:rPr>
            <w:sz w:val="18"/>
            <w:szCs w:val="18"/>
          </w:rPr>
          <w:instrText xml:space="preserve"> PAGE   \* MERGEFORMAT </w:instrText>
        </w:r>
        <w:r w:rsidRPr="00B65C9B">
          <w:rPr>
            <w:sz w:val="18"/>
            <w:szCs w:val="18"/>
          </w:rPr>
          <w:fldChar w:fldCharType="separate"/>
        </w:r>
        <w:r w:rsidR="00154A8B">
          <w:rPr>
            <w:noProof/>
            <w:sz w:val="18"/>
            <w:szCs w:val="18"/>
          </w:rPr>
          <w:t>6</w:t>
        </w:r>
        <w:r w:rsidRPr="00B65C9B">
          <w:rPr>
            <w:noProof/>
            <w:sz w:val="18"/>
            <w:szCs w:val="18"/>
          </w:rPr>
          <w:fldChar w:fldCharType="end"/>
        </w:r>
        <w:r w:rsidRPr="00B65C9B">
          <w:rPr>
            <w:noProof/>
            <w:sz w:val="18"/>
            <w:szCs w:val="18"/>
          </w:rPr>
          <w:t>-</w:t>
        </w:r>
      </w:sdtContent>
    </w:sdt>
  </w:p>
  <w:p w14:paraId="4E8D286B" w14:textId="77777777" w:rsidR="00B65C9B" w:rsidRDefault="00B65C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499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  <w:gridCol w:w="5131"/>
    </w:tblGrid>
    <w:tr w:rsidR="00036114" w14:paraId="02EB503F" w14:textId="77777777" w:rsidTr="002B7EE0">
      <w:tc>
        <w:tcPr>
          <w:tcW w:w="9862" w:type="dxa"/>
          <w:tcMar>
            <w:left w:w="0" w:type="dxa"/>
          </w:tcMar>
        </w:tcPr>
        <w:p w14:paraId="03CCDF04" w14:textId="77777777" w:rsidR="00036114" w:rsidRDefault="00036114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zh-CN"/>
            </w:rPr>
            <w:drawing>
              <wp:inline distT="0" distB="0" distL="0" distR="0" wp14:anchorId="4A2943A5" wp14:editId="2C14F3A0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65943CBF" w14:textId="77777777" w:rsidR="00036114" w:rsidRDefault="00036114" w:rsidP="001B3D4D">
          <w:pPr>
            <w:pStyle w:val="Header"/>
            <w:spacing w:before="240" w:line="360" w:lineRule="auto"/>
            <w:jc w:val="right"/>
          </w:pPr>
        </w:p>
      </w:tc>
    </w:tr>
  </w:tbl>
  <w:p w14:paraId="187220BC" w14:textId="77777777" w:rsidR="00036114" w:rsidRPr="001B3D4D" w:rsidRDefault="00036114" w:rsidP="001B3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D4E55"/>
    <w:multiLevelType w:val="hybridMultilevel"/>
    <w:tmpl w:val="EADC9596"/>
    <w:lvl w:ilvl="0" w:tplc="4D10B51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36114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4A8B"/>
    <w:rsid w:val="00167606"/>
    <w:rsid w:val="00187CA3"/>
    <w:rsid w:val="00195EB7"/>
    <w:rsid w:val="00196710"/>
    <w:rsid w:val="00196770"/>
    <w:rsid w:val="00197324"/>
    <w:rsid w:val="001A6A51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77DFF"/>
    <w:rsid w:val="00283C3B"/>
    <w:rsid w:val="002861E6"/>
    <w:rsid w:val="00287D18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47AD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55EF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23B4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4151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041E"/>
    <w:rsid w:val="00B34CF9"/>
    <w:rsid w:val="00B37559"/>
    <w:rsid w:val="00B4054B"/>
    <w:rsid w:val="00B579B0"/>
    <w:rsid w:val="00B57D11"/>
    <w:rsid w:val="00B649D7"/>
    <w:rsid w:val="00B65C9B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E559B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06A54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7C8A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B435B01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B3D4D"/>
    <w:rPr>
      <w:sz w:val="24"/>
      <w:szCs w:val="22"/>
      <w:lang w:val="en-US" w:eastAsia="en-US"/>
    </w:rPr>
  </w:style>
  <w:style w:type="table" w:styleId="TableGridLight">
    <w:name w:val="Grid Table Light"/>
    <w:basedOn w:val="TableNormal"/>
    <w:uiPriority w:val="40"/>
    <w:rsid w:val="00CE559B"/>
    <w:rPr>
      <w:rFonts w:eastAsia="SimSu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CE559B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5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55EF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568/en" TargetMode="External"/><Relationship Id="rId13" Type="http://schemas.openxmlformats.org/officeDocument/2006/relationships/hyperlink" Target="https://www.itu.int/ITU-R/space/asreceived/Publication/AsReceive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space/plans/Pages/WRC-19_AI14_Resources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30_assistance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R00-CR-CIR-0434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R/space/e-submission/Pages/default.aspx" TargetMode="External"/><Relationship Id="rId14" Type="http://schemas.openxmlformats.org/officeDocument/2006/relationships/hyperlink" Target="https://www.itu.int/en/ITU-R/space/plans/Pages/WRC-19_AI14_Resources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9631C-FA78-4E95-BF74-73D7C1BE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1589</Words>
  <Characters>9323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10891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BR</cp:lastModifiedBy>
  <cp:revision>3</cp:revision>
  <cp:lastPrinted>2020-02-20T10:46:00Z</cp:lastPrinted>
  <dcterms:created xsi:type="dcterms:W3CDTF">2020-02-21T13:23:00Z</dcterms:created>
  <dcterms:modified xsi:type="dcterms:W3CDTF">2020-02-21T13:23:00Z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