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A641BE" w14:paraId="2F244239" w14:textId="77777777" w:rsidTr="004228FA">
        <w:trPr>
          <w:jc w:val="center"/>
        </w:trPr>
        <w:tc>
          <w:tcPr>
            <w:tcW w:w="9889" w:type="dxa"/>
            <w:gridSpan w:val="3"/>
            <w:shd w:val="clear" w:color="auto" w:fill="auto"/>
          </w:tcPr>
          <w:p w14:paraId="1234F698" w14:textId="77777777" w:rsidR="00E53DCE" w:rsidRPr="00A641BE" w:rsidRDefault="00E53DCE" w:rsidP="00437BD9">
            <w:pPr>
              <w:spacing w:before="0" w:line="240" w:lineRule="auto"/>
              <w:jc w:val="left"/>
              <w:rPr>
                <w:rFonts w:cstheme="minorHAnsi"/>
                <w:b/>
                <w:bCs/>
                <w:color w:val="808080"/>
                <w:sz w:val="28"/>
                <w:szCs w:val="28"/>
                <w:lang w:val="fr-FR"/>
              </w:rPr>
            </w:pPr>
            <w:r w:rsidRPr="00A641BE">
              <w:rPr>
                <w:rFonts w:cstheme="minorHAnsi"/>
                <w:b/>
                <w:bCs/>
                <w:color w:val="808080"/>
                <w:sz w:val="28"/>
                <w:szCs w:val="28"/>
                <w:lang w:val="fr-FR"/>
              </w:rPr>
              <w:t>Bureau des radiocommunications (BR)</w:t>
            </w:r>
          </w:p>
          <w:p w14:paraId="14E4D0C1" w14:textId="77777777" w:rsidR="00E53DCE" w:rsidRPr="00A641BE" w:rsidRDefault="00E53DCE" w:rsidP="00437BD9">
            <w:pPr>
              <w:spacing w:before="0" w:line="240" w:lineRule="auto"/>
              <w:jc w:val="left"/>
              <w:rPr>
                <w:rFonts w:cstheme="minorHAnsi"/>
                <w:b/>
                <w:bCs/>
                <w:color w:val="808080"/>
                <w:sz w:val="28"/>
                <w:szCs w:val="28"/>
                <w:lang w:val="fr-FR"/>
              </w:rPr>
            </w:pPr>
          </w:p>
          <w:p w14:paraId="2929440C" w14:textId="77777777" w:rsidR="00E53DCE" w:rsidRPr="00A641BE" w:rsidRDefault="00E53DCE" w:rsidP="00437BD9">
            <w:pPr>
              <w:spacing w:before="0" w:line="240" w:lineRule="auto"/>
              <w:jc w:val="left"/>
              <w:rPr>
                <w:rFonts w:cs="Times New Roman Bold"/>
                <w:b/>
                <w:bCs/>
                <w:color w:val="808080"/>
                <w:sz w:val="28"/>
                <w:szCs w:val="28"/>
                <w:lang w:val="fr-FR"/>
              </w:rPr>
            </w:pPr>
          </w:p>
        </w:tc>
      </w:tr>
      <w:tr w:rsidR="00E53DCE" w:rsidRPr="00A641BE" w14:paraId="1C1F4142" w14:textId="77777777" w:rsidTr="004228FA">
        <w:trPr>
          <w:jc w:val="center"/>
        </w:trPr>
        <w:tc>
          <w:tcPr>
            <w:tcW w:w="7054" w:type="dxa"/>
            <w:gridSpan w:val="2"/>
            <w:shd w:val="clear" w:color="auto" w:fill="auto"/>
          </w:tcPr>
          <w:p w14:paraId="1D0D5196" w14:textId="25FCD4CA" w:rsidR="00E53DCE" w:rsidRPr="00A641BE" w:rsidRDefault="00AA781A" w:rsidP="00437BD9">
            <w:pPr>
              <w:spacing w:before="0" w:line="240" w:lineRule="auto"/>
              <w:jc w:val="left"/>
              <w:rPr>
                <w:sz w:val="28"/>
                <w:szCs w:val="28"/>
                <w:lang w:val="fr-FR"/>
              </w:rPr>
            </w:pPr>
            <w:r w:rsidRPr="00A641BE">
              <w:rPr>
                <w:szCs w:val="24"/>
                <w:lang w:val="fr-FR"/>
              </w:rPr>
              <w:t>Lettre circulaire</w:t>
            </w:r>
          </w:p>
          <w:p w14:paraId="22FFA8E8" w14:textId="2669077A" w:rsidR="00E53DCE" w:rsidRPr="00A641BE" w:rsidRDefault="00AA781A" w:rsidP="00437BD9">
            <w:pPr>
              <w:spacing w:before="0" w:line="240" w:lineRule="auto"/>
              <w:jc w:val="left"/>
              <w:rPr>
                <w:b/>
                <w:bCs/>
                <w:sz w:val="28"/>
                <w:szCs w:val="28"/>
                <w:lang w:val="fr-FR"/>
              </w:rPr>
            </w:pPr>
            <w:r w:rsidRPr="00A641BE">
              <w:rPr>
                <w:b/>
                <w:bCs/>
                <w:szCs w:val="24"/>
                <w:lang w:val="fr-FR"/>
              </w:rPr>
              <w:t>CR</w:t>
            </w:r>
            <w:r w:rsidR="00D235A4" w:rsidRPr="00A641BE">
              <w:rPr>
                <w:b/>
                <w:bCs/>
                <w:szCs w:val="24"/>
                <w:lang w:val="fr-FR"/>
              </w:rPr>
              <w:t>/456</w:t>
            </w:r>
          </w:p>
        </w:tc>
        <w:tc>
          <w:tcPr>
            <w:tcW w:w="2835" w:type="dxa"/>
            <w:shd w:val="clear" w:color="auto" w:fill="auto"/>
          </w:tcPr>
          <w:p w14:paraId="44FF95B6" w14:textId="616953F3" w:rsidR="00E53DCE" w:rsidRPr="00A641BE" w:rsidRDefault="00AA781A" w:rsidP="00437BD9">
            <w:pPr>
              <w:spacing w:before="0" w:line="240" w:lineRule="auto"/>
              <w:jc w:val="right"/>
              <w:rPr>
                <w:sz w:val="28"/>
                <w:szCs w:val="28"/>
                <w:lang w:val="fr-FR"/>
              </w:rPr>
            </w:pPr>
            <w:r w:rsidRPr="00A641BE">
              <w:rPr>
                <w:szCs w:val="24"/>
                <w:lang w:val="fr-FR"/>
              </w:rPr>
              <w:t xml:space="preserve">Le </w:t>
            </w:r>
            <w:r w:rsidR="008B75A2">
              <w:rPr>
                <w:szCs w:val="24"/>
                <w:lang w:val="fr-FR"/>
              </w:rPr>
              <w:t>6</w:t>
            </w:r>
            <w:r w:rsidR="00D235A4" w:rsidRPr="00A641BE">
              <w:rPr>
                <w:rFonts w:cs="Arial"/>
                <w:szCs w:val="24"/>
                <w:lang w:val="fr-FR"/>
              </w:rPr>
              <w:t xml:space="preserve"> mars 2020</w:t>
            </w:r>
          </w:p>
        </w:tc>
      </w:tr>
      <w:tr w:rsidR="00E53DCE" w:rsidRPr="00A641BE" w14:paraId="763815CC" w14:textId="77777777" w:rsidTr="004228FA">
        <w:trPr>
          <w:jc w:val="center"/>
        </w:trPr>
        <w:tc>
          <w:tcPr>
            <w:tcW w:w="9889" w:type="dxa"/>
            <w:gridSpan w:val="3"/>
            <w:shd w:val="clear" w:color="auto" w:fill="auto"/>
          </w:tcPr>
          <w:p w14:paraId="76174828" w14:textId="77777777" w:rsidR="00E53DCE" w:rsidRPr="00A641BE" w:rsidRDefault="00E53DCE" w:rsidP="00437BD9">
            <w:pPr>
              <w:spacing w:before="0" w:line="240" w:lineRule="auto"/>
              <w:jc w:val="left"/>
              <w:rPr>
                <w:rFonts w:cs="Arial"/>
                <w:szCs w:val="24"/>
                <w:lang w:val="fr-FR"/>
              </w:rPr>
            </w:pPr>
          </w:p>
        </w:tc>
      </w:tr>
      <w:tr w:rsidR="00E53DCE" w:rsidRPr="00A641BE" w14:paraId="54A12723" w14:textId="77777777" w:rsidTr="004228FA">
        <w:trPr>
          <w:jc w:val="center"/>
        </w:trPr>
        <w:tc>
          <w:tcPr>
            <w:tcW w:w="9889" w:type="dxa"/>
            <w:gridSpan w:val="3"/>
            <w:shd w:val="clear" w:color="auto" w:fill="auto"/>
          </w:tcPr>
          <w:p w14:paraId="60A92945" w14:textId="77777777" w:rsidR="00E53DCE" w:rsidRPr="00A641BE" w:rsidRDefault="00E53DCE" w:rsidP="00437BD9">
            <w:pPr>
              <w:spacing w:before="0" w:line="240" w:lineRule="auto"/>
              <w:jc w:val="left"/>
              <w:rPr>
                <w:szCs w:val="24"/>
                <w:lang w:val="fr-FR"/>
              </w:rPr>
            </w:pPr>
          </w:p>
        </w:tc>
      </w:tr>
      <w:tr w:rsidR="00E53DCE" w:rsidRPr="00AD36B1" w14:paraId="3B37F7C5" w14:textId="77777777" w:rsidTr="004228FA">
        <w:trPr>
          <w:jc w:val="center"/>
        </w:trPr>
        <w:tc>
          <w:tcPr>
            <w:tcW w:w="9889" w:type="dxa"/>
            <w:gridSpan w:val="3"/>
            <w:shd w:val="clear" w:color="auto" w:fill="auto"/>
          </w:tcPr>
          <w:p w14:paraId="45675935" w14:textId="391AD488" w:rsidR="00E53DCE" w:rsidRPr="00A641BE" w:rsidRDefault="00EE1A57" w:rsidP="00437BD9">
            <w:pPr>
              <w:spacing w:before="0" w:line="240" w:lineRule="auto"/>
              <w:jc w:val="left"/>
              <w:rPr>
                <w:b/>
                <w:bCs/>
                <w:szCs w:val="24"/>
                <w:lang w:val="fr-FR"/>
              </w:rPr>
            </w:pPr>
            <w:r w:rsidRPr="00A641BE">
              <w:rPr>
                <w:b/>
                <w:bCs/>
                <w:szCs w:val="24"/>
                <w:lang w:val="fr-FR"/>
              </w:rPr>
              <w:t xml:space="preserve">Aux Administrations des </w:t>
            </w:r>
            <w:r w:rsidR="00D235A4" w:rsidRPr="00A641BE">
              <w:rPr>
                <w:b/>
                <w:bCs/>
                <w:szCs w:val="24"/>
                <w:lang w:val="fr-FR"/>
              </w:rPr>
              <w:t>É</w:t>
            </w:r>
            <w:r w:rsidRPr="00A641BE">
              <w:rPr>
                <w:b/>
                <w:bCs/>
                <w:szCs w:val="24"/>
                <w:lang w:val="fr-FR"/>
              </w:rPr>
              <w:t>tats Membres de l'UIT</w:t>
            </w:r>
          </w:p>
          <w:p w14:paraId="28D62AE2" w14:textId="77777777" w:rsidR="00E53DCE" w:rsidRPr="00A641BE" w:rsidRDefault="00E53DCE" w:rsidP="00437BD9">
            <w:pPr>
              <w:spacing w:before="0" w:line="240" w:lineRule="auto"/>
              <w:jc w:val="left"/>
              <w:rPr>
                <w:b/>
                <w:bCs/>
                <w:szCs w:val="24"/>
                <w:lang w:val="fr-FR"/>
              </w:rPr>
            </w:pPr>
          </w:p>
        </w:tc>
      </w:tr>
      <w:tr w:rsidR="00E53DCE" w:rsidRPr="00AD36B1" w14:paraId="5A23B944" w14:textId="77777777" w:rsidTr="004228FA">
        <w:trPr>
          <w:jc w:val="center"/>
        </w:trPr>
        <w:tc>
          <w:tcPr>
            <w:tcW w:w="9889" w:type="dxa"/>
            <w:gridSpan w:val="3"/>
            <w:shd w:val="clear" w:color="auto" w:fill="auto"/>
          </w:tcPr>
          <w:p w14:paraId="6D2907F8" w14:textId="77777777" w:rsidR="00E53DCE" w:rsidRPr="00A641BE" w:rsidRDefault="00E53DCE" w:rsidP="00437BD9">
            <w:pPr>
              <w:spacing w:before="0" w:line="240" w:lineRule="auto"/>
              <w:jc w:val="left"/>
              <w:rPr>
                <w:szCs w:val="24"/>
                <w:lang w:val="fr-FR"/>
              </w:rPr>
            </w:pPr>
          </w:p>
        </w:tc>
      </w:tr>
      <w:tr w:rsidR="00E53DCE" w:rsidRPr="00AD36B1" w14:paraId="0CFEEDC1" w14:textId="77777777" w:rsidTr="004228FA">
        <w:trPr>
          <w:jc w:val="center"/>
        </w:trPr>
        <w:tc>
          <w:tcPr>
            <w:tcW w:w="9889" w:type="dxa"/>
            <w:gridSpan w:val="3"/>
            <w:shd w:val="clear" w:color="auto" w:fill="auto"/>
          </w:tcPr>
          <w:p w14:paraId="27874F6E" w14:textId="77777777" w:rsidR="00E53DCE" w:rsidRPr="00A641BE" w:rsidRDefault="00E53DCE" w:rsidP="00437BD9">
            <w:pPr>
              <w:spacing w:before="0" w:line="240" w:lineRule="auto"/>
              <w:jc w:val="left"/>
              <w:rPr>
                <w:szCs w:val="24"/>
                <w:lang w:val="fr-FR"/>
              </w:rPr>
            </w:pPr>
          </w:p>
        </w:tc>
      </w:tr>
      <w:tr w:rsidR="00E53DCE" w:rsidRPr="00AD36B1" w14:paraId="0C627669" w14:textId="77777777" w:rsidTr="004228FA">
        <w:trPr>
          <w:jc w:val="center"/>
        </w:trPr>
        <w:tc>
          <w:tcPr>
            <w:tcW w:w="1526" w:type="dxa"/>
            <w:shd w:val="clear" w:color="auto" w:fill="auto"/>
          </w:tcPr>
          <w:p w14:paraId="2AF3C0D5" w14:textId="77777777" w:rsidR="00E53DCE" w:rsidRPr="00A641BE" w:rsidRDefault="003471C9" w:rsidP="00437BD9">
            <w:pPr>
              <w:tabs>
                <w:tab w:val="clear" w:pos="1588"/>
                <w:tab w:val="left" w:pos="1560"/>
              </w:tabs>
              <w:spacing w:before="0" w:line="240" w:lineRule="auto"/>
              <w:jc w:val="left"/>
              <w:rPr>
                <w:szCs w:val="24"/>
                <w:lang w:val="fr-FR"/>
              </w:rPr>
            </w:pPr>
            <w:r w:rsidRPr="00A641BE">
              <w:rPr>
                <w:lang w:val="fr-FR"/>
              </w:rPr>
              <w:t>Objet</w:t>
            </w:r>
            <w:r w:rsidR="00E53DCE" w:rsidRPr="00A641BE">
              <w:rPr>
                <w:szCs w:val="24"/>
                <w:lang w:val="fr-FR"/>
              </w:rPr>
              <w:t>:</w:t>
            </w:r>
          </w:p>
        </w:tc>
        <w:tc>
          <w:tcPr>
            <w:tcW w:w="8363" w:type="dxa"/>
            <w:gridSpan w:val="2"/>
            <w:vMerge w:val="restart"/>
            <w:shd w:val="clear" w:color="auto" w:fill="auto"/>
          </w:tcPr>
          <w:p w14:paraId="64397C4D" w14:textId="7D0AB6A3" w:rsidR="00E53DCE" w:rsidRPr="00A641BE" w:rsidRDefault="00D235A4" w:rsidP="00437BD9">
            <w:pPr>
              <w:tabs>
                <w:tab w:val="clear" w:pos="1588"/>
                <w:tab w:val="left" w:pos="1560"/>
              </w:tabs>
              <w:spacing w:before="0" w:line="240" w:lineRule="auto"/>
              <w:rPr>
                <w:b/>
                <w:bCs/>
                <w:szCs w:val="24"/>
                <w:lang w:val="fr-FR"/>
              </w:rPr>
            </w:pPr>
            <w:r w:rsidRPr="00A641BE">
              <w:rPr>
                <w:b/>
                <w:bCs/>
                <w:szCs w:val="24"/>
                <w:lang w:val="fr-FR"/>
              </w:rPr>
              <w:t xml:space="preserve">Décisions de la CMR-19 consignées dans </w:t>
            </w:r>
            <w:r w:rsidR="00437BD9">
              <w:rPr>
                <w:b/>
                <w:bCs/>
                <w:szCs w:val="24"/>
                <w:lang w:val="fr-FR"/>
              </w:rPr>
              <w:t>l</w:t>
            </w:r>
            <w:r w:rsidRPr="00A641BE">
              <w:rPr>
                <w:b/>
                <w:bCs/>
                <w:szCs w:val="24"/>
                <w:lang w:val="fr-FR"/>
              </w:rPr>
              <w:t>es procès-verbaux de séances plénières</w:t>
            </w:r>
          </w:p>
        </w:tc>
      </w:tr>
      <w:tr w:rsidR="00E53DCE" w:rsidRPr="00AD36B1" w14:paraId="061F7C83" w14:textId="77777777" w:rsidTr="004228FA">
        <w:trPr>
          <w:jc w:val="center"/>
        </w:trPr>
        <w:tc>
          <w:tcPr>
            <w:tcW w:w="1526" w:type="dxa"/>
            <w:shd w:val="clear" w:color="auto" w:fill="auto"/>
          </w:tcPr>
          <w:p w14:paraId="386544DB" w14:textId="77777777" w:rsidR="00E53DCE" w:rsidRPr="00A641BE" w:rsidRDefault="00E53DCE" w:rsidP="00437BD9">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200F4D91" w14:textId="77777777" w:rsidR="00E53DCE" w:rsidRPr="00A641BE" w:rsidRDefault="00E53DCE" w:rsidP="00437BD9">
            <w:pPr>
              <w:tabs>
                <w:tab w:val="clear" w:pos="1588"/>
                <w:tab w:val="left" w:pos="1560"/>
              </w:tabs>
              <w:spacing w:before="0" w:line="240" w:lineRule="auto"/>
              <w:rPr>
                <w:b/>
                <w:bCs/>
                <w:szCs w:val="24"/>
                <w:lang w:val="fr-FR"/>
              </w:rPr>
            </w:pPr>
          </w:p>
        </w:tc>
      </w:tr>
      <w:tr w:rsidR="00E53DCE" w:rsidRPr="00AD36B1" w14:paraId="027B0128" w14:textId="77777777" w:rsidTr="004228FA">
        <w:trPr>
          <w:jc w:val="center"/>
        </w:trPr>
        <w:tc>
          <w:tcPr>
            <w:tcW w:w="1526" w:type="dxa"/>
            <w:shd w:val="clear" w:color="auto" w:fill="auto"/>
          </w:tcPr>
          <w:p w14:paraId="00F84FFC" w14:textId="77777777" w:rsidR="00E53DCE" w:rsidRPr="00A641BE" w:rsidRDefault="00E53DCE" w:rsidP="00437BD9">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51213855" w14:textId="77777777" w:rsidR="00E53DCE" w:rsidRPr="00A641BE" w:rsidRDefault="00E53DCE" w:rsidP="00437BD9">
            <w:pPr>
              <w:tabs>
                <w:tab w:val="clear" w:pos="1588"/>
                <w:tab w:val="left" w:pos="1560"/>
              </w:tabs>
              <w:spacing w:before="0" w:line="240" w:lineRule="auto"/>
              <w:rPr>
                <w:b/>
                <w:bCs/>
                <w:szCs w:val="24"/>
                <w:lang w:val="fr-FR"/>
              </w:rPr>
            </w:pPr>
          </w:p>
        </w:tc>
      </w:tr>
      <w:tr w:rsidR="00E53DCE" w:rsidRPr="00AD36B1" w14:paraId="374160A9" w14:textId="77777777" w:rsidTr="004228FA">
        <w:trPr>
          <w:jc w:val="center"/>
        </w:trPr>
        <w:tc>
          <w:tcPr>
            <w:tcW w:w="9889" w:type="dxa"/>
            <w:gridSpan w:val="3"/>
            <w:shd w:val="clear" w:color="auto" w:fill="auto"/>
          </w:tcPr>
          <w:p w14:paraId="43E8062A" w14:textId="77777777" w:rsidR="00E53DCE" w:rsidRPr="00A641BE" w:rsidRDefault="00E53DCE" w:rsidP="00437BD9">
            <w:pPr>
              <w:tabs>
                <w:tab w:val="clear" w:pos="1588"/>
                <w:tab w:val="left" w:pos="1560"/>
              </w:tabs>
              <w:spacing w:before="0" w:line="240" w:lineRule="auto"/>
              <w:jc w:val="left"/>
              <w:rPr>
                <w:szCs w:val="24"/>
                <w:lang w:val="fr-FR"/>
              </w:rPr>
            </w:pPr>
          </w:p>
        </w:tc>
      </w:tr>
      <w:tr w:rsidR="00E53DCE" w:rsidRPr="00AD36B1" w14:paraId="6A5A9702" w14:textId="77777777" w:rsidTr="004228FA">
        <w:trPr>
          <w:jc w:val="center"/>
        </w:trPr>
        <w:tc>
          <w:tcPr>
            <w:tcW w:w="9889" w:type="dxa"/>
            <w:gridSpan w:val="3"/>
            <w:shd w:val="clear" w:color="auto" w:fill="auto"/>
          </w:tcPr>
          <w:p w14:paraId="62261759" w14:textId="77777777" w:rsidR="00E53DCE" w:rsidRPr="00A641BE" w:rsidRDefault="00E53DCE" w:rsidP="00437BD9">
            <w:pPr>
              <w:spacing w:before="0" w:line="240" w:lineRule="auto"/>
              <w:jc w:val="left"/>
              <w:rPr>
                <w:b/>
                <w:bCs/>
                <w:szCs w:val="24"/>
                <w:lang w:val="fr-FR"/>
              </w:rPr>
            </w:pPr>
          </w:p>
        </w:tc>
      </w:tr>
    </w:tbl>
    <w:p w14:paraId="50B096A5" w14:textId="1F517A38" w:rsidR="00D235A4" w:rsidRPr="00A641BE" w:rsidRDefault="00D235A4" w:rsidP="00437BD9">
      <w:pPr>
        <w:spacing w:line="240" w:lineRule="auto"/>
        <w:rPr>
          <w:szCs w:val="24"/>
          <w:lang w:val="fr-FR"/>
        </w:rPr>
      </w:pPr>
      <w:r w:rsidRPr="00A641BE">
        <w:rPr>
          <w:szCs w:val="24"/>
          <w:lang w:val="fr-FR"/>
        </w:rPr>
        <w:t xml:space="preserve">La Conférence mondiale des radiocommunications </w:t>
      </w:r>
      <w:r w:rsidR="00437BD9">
        <w:rPr>
          <w:szCs w:val="24"/>
          <w:lang w:val="fr-FR"/>
        </w:rPr>
        <w:t xml:space="preserve">tenue à </w:t>
      </w:r>
      <w:r w:rsidRPr="00A641BE">
        <w:rPr>
          <w:szCs w:val="24"/>
          <w:lang w:val="fr-FR"/>
        </w:rPr>
        <w:t>Charm el-Cheikh</w:t>
      </w:r>
      <w:r w:rsidR="00437BD9">
        <w:rPr>
          <w:szCs w:val="24"/>
          <w:lang w:val="fr-FR"/>
        </w:rPr>
        <w:t xml:space="preserve"> en</w:t>
      </w:r>
      <w:r w:rsidRPr="00A641BE">
        <w:rPr>
          <w:szCs w:val="24"/>
          <w:lang w:val="fr-FR"/>
        </w:rPr>
        <w:t xml:space="preserve"> 2019 (CMR-19) a adopté une révision partielle du Règlement des radiocommunications et a pris un certain nombre de décisions qui ne figurent pas dans les Actes finals de la Conférence</w:t>
      </w:r>
      <w:r w:rsidR="00437BD9">
        <w:rPr>
          <w:szCs w:val="24"/>
          <w:lang w:val="fr-FR"/>
        </w:rPr>
        <w:t>,</w:t>
      </w:r>
      <w:r w:rsidRPr="00A641BE">
        <w:rPr>
          <w:szCs w:val="24"/>
          <w:lang w:val="fr-FR"/>
        </w:rPr>
        <w:t xml:space="preserve"> mais sont consignées dans les procès-verbaux des séances plénières de la CMR-19. L'objet de la présente Lettre circulaire</w:t>
      </w:r>
      <w:r w:rsidR="00DB124B" w:rsidRPr="00A641BE">
        <w:rPr>
          <w:szCs w:val="24"/>
          <w:lang w:val="fr-FR"/>
        </w:rPr>
        <w:t xml:space="preserve"> </w:t>
      </w:r>
      <w:r w:rsidRPr="00A641BE">
        <w:rPr>
          <w:szCs w:val="24"/>
          <w:lang w:val="fr-FR"/>
        </w:rPr>
        <w:t xml:space="preserve">est de regrouper ces décisions et de les porter à l'attention des administrations. </w:t>
      </w:r>
    </w:p>
    <w:p w14:paraId="21902A5C" w14:textId="108E0150" w:rsidR="00D235A4" w:rsidRPr="00A641BE" w:rsidRDefault="00D235A4" w:rsidP="00437BD9">
      <w:pPr>
        <w:spacing w:line="240" w:lineRule="auto"/>
        <w:rPr>
          <w:szCs w:val="24"/>
          <w:lang w:val="fr-FR"/>
        </w:rPr>
      </w:pPr>
      <w:r w:rsidRPr="00A641BE">
        <w:rPr>
          <w:szCs w:val="24"/>
          <w:lang w:val="fr-FR"/>
        </w:rPr>
        <w:t xml:space="preserve">L'Annexe de la présente Lettre circulaire est </w:t>
      </w:r>
      <w:r w:rsidR="00DB124B" w:rsidRPr="00A641BE">
        <w:rPr>
          <w:szCs w:val="24"/>
          <w:lang w:val="fr-FR"/>
        </w:rPr>
        <w:t>la</w:t>
      </w:r>
      <w:r w:rsidRPr="00A641BE">
        <w:rPr>
          <w:szCs w:val="24"/>
          <w:lang w:val="fr-FR"/>
        </w:rPr>
        <w:t xml:space="preserve"> compilation des textes de ces décisions ainsi que des références aux paragraphes correspondants des documents contenant les procès-verbaux des séances plénières de la CMR-19 ainsi qu'aux documents pour lesquels il a été demandé à la plénière de donner son accord</w:t>
      </w:r>
      <w:r w:rsidR="00DB124B" w:rsidRPr="00A641BE">
        <w:rPr>
          <w:szCs w:val="24"/>
          <w:lang w:val="fr-FR"/>
        </w:rPr>
        <w:t xml:space="preserve"> ou son </w:t>
      </w:r>
      <w:r w:rsidRPr="00A641BE">
        <w:rPr>
          <w:szCs w:val="24"/>
          <w:lang w:val="fr-FR"/>
        </w:rPr>
        <w:t>aval.</w:t>
      </w:r>
    </w:p>
    <w:p w14:paraId="32B5CCE9" w14:textId="2FED253E" w:rsidR="00D235A4" w:rsidRPr="00A641BE" w:rsidRDefault="00D235A4" w:rsidP="00437BD9">
      <w:pPr>
        <w:spacing w:line="240" w:lineRule="auto"/>
        <w:rPr>
          <w:szCs w:val="24"/>
          <w:lang w:val="fr-FR"/>
        </w:rPr>
      </w:pPr>
      <w:r w:rsidRPr="00A641BE">
        <w:rPr>
          <w:szCs w:val="24"/>
          <w:lang w:val="fr-FR"/>
        </w:rPr>
        <w:t xml:space="preserve">Le Bureau </w:t>
      </w:r>
      <w:r w:rsidR="00DB124B" w:rsidRPr="00A641BE">
        <w:rPr>
          <w:szCs w:val="24"/>
          <w:lang w:val="fr-FR"/>
        </w:rPr>
        <w:t xml:space="preserve">des radiocommunications </w:t>
      </w:r>
      <w:r w:rsidRPr="00A641BE">
        <w:rPr>
          <w:szCs w:val="24"/>
          <w:lang w:val="fr-FR"/>
        </w:rPr>
        <w:t>reste à la disposition de votre Administration pour toute précision dont elle pourrait avoir besoin concernant les sujets traités dans la présente Lettre circulaire.</w:t>
      </w:r>
    </w:p>
    <w:p w14:paraId="0382D70C" w14:textId="682C0259" w:rsidR="00D235A4" w:rsidRPr="00A641BE" w:rsidRDefault="00D235A4" w:rsidP="00437BD9">
      <w:pPr>
        <w:spacing w:before="840" w:line="240" w:lineRule="auto"/>
        <w:jc w:val="left"/>
        <w:rPr>
          <w:szCs w:val="24"/>
          <w:lang w:val="fr-FR"/>
        </w:rPr>
      </w:pPr>
      <w:bookmarkStart w:id="0" w:name="lt_pId030"/>
      <w:r w:rsidRPr="00A641BE">
        <w:rPr>
          <w:szCs w:val="24"/>
          <w:lang w:val="fr-FR"/>
        </w:rPr>
        <w:t>Mario Maniewicz</w:t>
      </w:r>
      <w:bookmarkEnd w:id="0"/>
      <w:r w:rsidRPr="00A641BE">
        <w:rPr>
          <w:szCs w:val="24"/>
          <w:lang w:val="fr-FR"/>
        </w:rPr>
        <w:br/>
        <w:t xml:space="preserve">Directeur </w:t>
      </w:r>
    </w:p>
    <w:p w14:paraId="2853E997" w14:textId="77777777" w:rsidR="00D235A4" w:rsidRPr="00A641BE" w:rsidRDefault="00D235A4" w:rsidP="007E1D70">
      <w:pPr>
        <w:spacing w:before="960" w:line="240" w:lineRule="auto"/>
        <w:rPr>
          <w:szCs w:val="24"/>
          <w:lang w:val="fr-FR"/>
        </w:rPr>
      </w:pPr>
      <w:r w:rsidRPr="00A641BE">
        <w:rPr>
          <w:b/>
          <w:bCs/>
          <w:szCs w:val="24"/>
          <w:lang w:val="fr-FR"/>
        </w:rPr>
        <w:t>Annexe</w:t>
      </w:r>
      <w:r w:rsidRPr="00A641BE">
        <w:rPr>
          <w:szCs w:val="24"/>
          <w:lang w:val="fr-FR"/>
        </w:rPr>
        <w:t>: 1</w:t>
      </w:r>
    </w:p>
    <w:p w14:paraId="363520E5" w14:textId="77777777" w:rsidR="00D235A4" w:rsidRPr="00A641BE" w:rsidRDefault="00D235A4" w:rsidP="00437BD9">
      <w:pPr>
        <w:spacing w:before="360" w:line="240" w:lineRule="auto"/>
        <w:rPr>
          <w:b/>
          <w:bCs/>
          <w:sz w:val="20"/>
          <w:szCs w:val="20"/>
          <w:lang w:val="fr-FR"/>
        </w:rPr>
      </w:pPr>
      <w:r w:rsidRPr="00A641BE">
        <w:rPr>
          <w:b/>
          <w:bCs/>
          <w:sz w:val="20"/>
          <w:szCs w:val="20"/>
          <w:lang w:val="fr-FR"/>
        </w:rPr>
        <w:t>Distribution:</w:t>
      </w:r>
    </w:p>
    <w:p w14:paraId="2F3BBF45" w14:textId="3109458D" w:rsidR="00D235A4" w:rsidRPr="00A641BE" w:rsidRDefault="00D235A4" w:rsidP="00437BD9">
      <w:pPr>
        <w:spacing w:line="240" w:lineRule="auto"/>
        <w:jc w:val="left"/>
        <w:rPr>
          <w:sz w:val="20"/>
          <w:szCs w:val="20"/>
          <w:lang w:val="fr-FR"/>
        </w:rPr>
      </w:pPr>
      <w:r w:rsidRPr="00A641BE">
        <w:rPr>
          <w:sz w:val="20"/>
          <w:szCs w:val="20"/>
          <w:lang w:val="fr-FR"/>
        </w:rPr>
        <w:t>−</w:t>
      </w:r>
      <w:r w:rsidRPr="00A641BE">
        <w:rPr>
          <w:sz w:val="20"/>
          <w:szCs w:val="20"/>
          <w:lang w:val="fr-FR"/>
        </w:rPr>
        <w:tab/>
        <w:t>Administrations des États Membres de l'UIT</w:t>
      </w:r>
      <w:r w:rsidRPr="00A641BE">
        <w:rPr>
          <w:sz w:val="20"/>
          <w:szCs w:val="20"/>
          <w:lang w:val="fr-FR"/>
        </w:rPr>
        <w:br/>
        <w:t>−</w:t>
      </w:r>
      <w:r w:rsidRPr="00A641BE">
        <w:rPr>
          <w:sz w:val="20"/>
          <w:szCs w:val="20"/>
          <w:lang w:val="fr-FR"/>
        </w:rPr>
        <w:tab/>
        <w:t>Membres du Comité du Règlement des radiocommunications</w:t>
      </w:r>
    </w:p>
    <w:p w14:paraId="47E71C79" w14:textId="77777777" w:rsidR="00D235A4" w:rsidRPr="00A641BE" w:rsidRDefault="00D235A4" w:rsidP="00437BD9">
      <w:pPr>
        <w:spacing w:line="240" w:lineRule="auto"/>
        <w:rPr>
          <w:szCs w:val="24"/>
          <w:lang w:val="fr-FR"/>
        </w:rPr>
        <w:sectPr w:rsidR="00D235A4" w:rsidRPr="00A641BE" w:rsidSect="003F2F34">
          <w:headerReference w:type="even" r:id="rId8"/>
          <w:headerReference w:type="default" r:id="rId9"/>
          <w:footerReference w:type="default" r:id="rId10"/>
          <w:headerReference w:type="first" r:id="rId11"/>
          <w:footerReference w:type="first" r:id="rId12"/>
          <w:pgSz w:w="11907" w:h="16834" w:code="9"/>
          <w:pgMar w:top="1134" w:right="1134" w:bottom="993" w:left="1134" w:header="567" w:footer="397" w:gutter="0"/>
          <w:cols w:space="720"/>
          <w:titlePg/>
          <w:docGrid w:linePitch="326"/>
        </w:sectPr>
      </w:pPr>
    </w:p>
    <w:p w14:paraId="5CA0DBCC" w14:textId="77777777" w:rsidR="00D235A4" w:rsidRPr="00A641BE" w:rsidRDefault="00D235A4" w:rsidP="00437BD9">
      <w:pPr>
        <w:pStyle w:val="AnnexNoTitle"/>
        <w:spacing w:before="120" w:after="240" w:line="240" w:lineRule="auto"/>
        <w:rPr>
          <w:lang w:val="fr-FR"/>
        </w:rPr>
      </w:pPr>
      <w:r w:rsidRPr="00A641BE">
        <w:rPr>
          <w:lang w:val="fr-FR"/>
        </w:rPr>
        <w:lastRenderedPageBreak/>
        <w:t>ANNEXE</w:t>
      </w:r>
    </w:p>
    <w:tbl>
      <w:tblPr>
        <w:tblStyle w:val="TableGrid"/>
        <w:tblW w:w="15163" w:type="dxa"/>
        <w:tblLayout w:type="fixed"/>
        <w:tblLook w:val="04A0" w:firstRow="1" w:lastRow="0" w:firstColumn="1" w:lastColumn="0" w:noHBand="0" w:noVBand="1"/>
      </w:tblPr>
      <w:tblGrid>
        <w:gridCol w:w="1696"/>
        <w:gridCol w:w="2127"/>
        <w:gridCol w:w="11340"/>
      </w:tblGrid>
      <w:tr w:rsidR="00D235A4" w:rsidRPr="00AD36B1" w14:paraId="2CA59E12" w14:textId="77777777" w:rsidTr="00F75811">
        <w:trPr>
          <w:trHeight w:val="1139"/>
          <w:tblHeader/>
        </w:trPr>
        <w:tc>
          <w:tcPr>
            <w:tcW w:w="1696" w:type="dxa"/>
            <w:vAlign w:val="center"/>
          </w:tcPr>
          <w:p w14:paraId="221D13FA" w14:textId="77777777" w:rsidR="00D235A4" w:rsidRPr="00A641BE" w:rsidRDefault="00D235A4" w:rsidP="00437BD9">
            <w:pPr>
              <w:pStyle w:val="Tablehead"/>
              <w:keepNext w:val="0"/>
              <w:rPr>
                <w:sz w:val="22"/>
                <w:lang w:val="fr-FR"/>
              </w:rPr>
            </w:pPr>
            <w:r w:rsidRPr="00A641BE">
              <w:rPr>
                <w:sz w:val="22"/>
                <w:lang w:val="fr-FR"/>
              </w:rPr>
              <w:t>Document source (procès</w:t>
            </w:r>
            <w:r w:rsidRPr="00A641BE">
              <w:rPr>
                <w:sz w:val="22"/>
                <w:lang w:val="fr-FR"/>
              </w:rPr>
              <w:noBreakHyphen/>
              <w:t>verbal de la plénière)</w:t>
            </w:r>
          </w:p>
        </w:tc>
        <w:tc>
          <w:tcPr>
            <w:tcW w:w="2127" w:type="dxa"/>
            <w:vAlign w:val="center"/>
          </w:tcPr>
          <w:p w14:paraId="509422C1" w14:textId="77777777" w:rsidR="00D235A4" w:rsidRPr="00A641BE" w:rsidRDefault="00D235A4" w:rsidP="00437BD9">
            <w:pPr>
              <w:pStyle w:val="Tablehead"/>
              <w:keepNext w:val="0"/>
              <w:rPr>
                <w:sz w:val="22"/>
                <w:lang w:val="fr-FR"/>
              </w:rPr>
            </w:pPr>
            <w:r w:rsidRPr="00A641BE">
              <w:rPr>
                <w:sz w:val="22"/>
                <w:lang w:val="fr-FR"/>
              </w:rPr>
              <w:t>Contexte de la décision de la plénière</w:t>
            </w:r>
          </w:p>
        </w:tc>
        <w:tc>
          <w:tcPr>
            <w:tcW w:w="11340" w:type="dxa"/>
            <w:vAlign w:val="center"/>
          </w:tcPr>
          <w:p w14:paraId="5E062426" w14:textId="77777777" w:rsidR="00D235A4" w:rsidRPr="00A641BE" w:rsidRDefault="00D235A4" w:rsidP="00437BD9">
            <w:pPr>
              <w:pStyle w:val="Tablehead"/>
              <w:keepNext w:val="0"/>
              <w:rPr>
                <w:sz w:val="22"/>
                <w:lang w:val="fr-FR"/>
              </w:rPr>
            </w:pPr>
            <w:r w:rsidRPr="00A641BE">
              <w:rPr>
                <w:sz w:val="22"/>
                <w:lang w:val="fr-FR"/>
              </w:rPr>
              <w:t>Décision de la plénière et texte associé</w:t>
            </w:r>
          </w:p>
        </w:tc>
      </w:tr>
      <w:tr w:rsidR="00D235A4" w:rsidRPr="00AD36B1" w14:paraId="5C015601" w14:textId="77777777" w:rsidTr="00D235A4">
        <w:trPr>
          <w:cantSplit/>
        </w:trPr>
        <w:tc>
          <w:tcPr>
            <w:tcW w:w="1696" w:type="dxa"/>
            <w:vMerge w:val="restart"/>
          </w:tcPr>
          <w:p w14:paraId="68ADF154" w14:textId="020F8D3C" w:rsidR="00D235A4" w:rsidRPr="00A641BE" w:rsidRDefault="00D235A4" w:rsidP="00437BD9">
            <w:pPr>
              <w:pStyle w:val="Tablehead"/>
              <w:keepNext w:val="0"/>
              <w:jc w:val="left"/>
              <w:rPr>
                <w:sz w:val="22"/>
                <w:lang w:val="fr-FR"/>
              </w:rPr>
            </w:pPr>
            <w:r w:rsidRPr="00A641BE">
              <w:rPr>
                <w:sz w:val="22"/>
                <w:lang w:val="fr-FR"/>
              </w:rPr>
              <w:t xml:space="preserve">Document </w:t>
            </w:r>
            <w:hyperlink r:id="rId13" w:history="1">
              <w:r w:rsidRPr="00EA3EF0">
                <w:rPr>
                  <w:rStyle w:val="Hyperlink"/>
                  <w:sz w:val="22"/>
                  <w:lang w:val="fr-FR"/>
                </w:rPr>
                <w:t>CMR19/237</w:t>
              </w:r>
            </w:hyperlink>
            <w:r w:rsidRPr="00A641BE">
              <w:rPr>
                <w:sz w:val="22"/>
                <w:lang w:val="fr-FR"/>
              </w:rPr>
              <w:t xml:space="preserve"> – Procès-verbal de la quatrième séance plénière</w:t>
            </w:r>
          </w:p>
        </w:tc>
        <w:tc>
          <w:tcPr>
            <w:tcW w:w="2127" w:type="dxa"/>
          </w:tcPr>
          <w:p w14:paraId="741006B8" w14:textId="184A433C" w:rsidR="00D235A4" w:rsidRPr="00A641BE" w:rsidRDefault="00D235A4" w:rsidP="00437BD9">
            <w:pPr>
              <w:pStyle w:val="Tablehead"/>
              <w:keepNext w:val="0"/>
              <w:jc w:val="left"/>
              <w:rPr>
                <w:sz w:val="22"/>
                <w:lang w:val="fr-FR"/>
              </w:rPr>
            </w:pPr>
            <w:r w:rsidRPr="00A641BE">
              <w:rPr>
                <w:sz w:val="22"/>
                <w:lang w:val="fr-FR"/>
              </w:rPr>
              <w:t>Paragraphes 2.1 à</w:t>
            </w:r>
            <w:r w:rsidR="007E1D70">
              <w:rPr>
                <w:sz w:val="22"/>
                <w:lang w:val="fr-FR"/>
              </w:rPr>
              <w:t> </w:t>
            </w:r>
            <w:r w:rsidRPr="00A641BE">
              <w:rPr>
                <w:sz w:val="22"/>
                <w:lang w:val="fr-FR"/>
              </w:rPr>
              <w:t>2.3</w:t>
            </w:r>
          </w:p>
          <w:p w14:paraId="25DEAD91" w14:textId="76FA0834" w:rsidR="00D235A4" w:rsidRPr="00A641BE" w:rsidRDefault="00D235A4" w:rsidP="00437BD9">
            <w:pPr>
              <w:pStyle w:val="Tablehead"/>
              <w:keepNext w:val="0"/>
              <w:jc w:val="left"/>
              <w:rPr>
                <w:i/>
                <w:iCs/>
                <w:sz w:val="22"/>
                <w:lang w:val="fr-FR"/>
              </w:rPr>
            </w:pPr>
            <w:r w:rsidRPr="00A641BE">
              <w:rPr>
                <w:sz w:val="22"/>
                <w:lang w:val="fr-FR"/>
              </w:rPr>
              <w:t xml:space="preserve">Approbation du Document </w:t>
            </w:r>
            <w:hyperlink r:id="rId14" w:history="1">
              <w:r w:rsidRPr="00EA3EF0">
                <w:rPr>
                  <w:rStyle w:val="Hyperlink"/>
                  <w:sz w:val="22"/>
                  <w:lang w:val="fr-FR"/>
                </w:rPr>
                <w:t>201</w:t>
              </w:r>
            </w:hyperlink>
          </w:p>
        </w:tc>
        <w:tc>
          <w:tcPr>
            <w:tcW w:w="11340" w:type="dxa"/>
          </w:tcPr>
          <w:p w14:paraId="487545BC" w14:textId="5A190EA1" w:rsidR="00D235A4" w:rsidRPr="00A641BE" w:rsidRDefault="00D235A4" w:rsidP="007E1D70">
            <w:pPr>
              <w:pStyle w:val="Tabletext"/>
              <w:spacing w:before="80"/>
              <w:rPr>
                <w:sz w:val="22"/>
                <w:lang w:val="fr-FR"/>
              </w:rPr>
            </w:pPr>
            <w:r w:rsidRPr="00A641BE">
              <w:rPr>
                <w:sz w:val="22"/>
                <w:lang w:val="fr-FR"/>
              </w:rPr>
              <w:t xml:space="preserve">Il a été pris note des informations fournies au paragraphe 3.4.1 de l'Addendum 2 </w:t>
            </w:r>
            <w:r w:rsidR="00437BD9">
              <w:rPr>
                <w:sz w:val="22"/>
                <w:lang w:val="fr-FR"/>
              </w:rPr>
              <w:t>a</w:t>
            </w:r>
            <w:r w:rsidRPr="00A641BE">
              <w:rPr>
                <w:sz w:val="22"/>
                <w:lang w:val="fr-FR"/>
              </w:rPr>
              <w:t>u Rapport du Directeur (Doc. CMR19/4) à la CMR-19, selon lesquelles, à l'heure actuelle, lors de l'application des diverses procédures prévues dans le RR et dans les Accords régionaux, le Bureau procède à tous les examens des assignations de fréquence aux services de Terre et à l'identification des administrations susceptibles d'être affectées en utilisant des modèles de prévision de la propagation dépourvus de profils topographiques.</w:t>
            </w:r>
          </w:p>
          <w:p w14:paraId="56011470" w14:textId="0E53156D" w:rsidR="00D235A4" w:rsidRPr="00A641BE" w:rsidRDefault="00D235A4" w:rsidP="007E1D70">
            <w:pPr>
              <w:pStyle w:val="Tabletext"/>
              <w:spacing w:before="120"/>
              <w:rPr>
                <w:sz w:val="22"/>
                <w:lang w:val="fr-FR"/>
              </w:rPr>
            </w:pPr>
            <w:r w:rsidRPr="00A641BE">
              <w:rPr>
                <w:sz w:val="22"/>
                <w:lang w:val="fr-FR"/>
              </w:rPr>
              <w:t>Il a été reconnu que l'utilisation des données topographiques pour l'identification des administrations susceptibles d'être affectées pourrait être utile aux administrations et qu'une telle approche permettrait de raccourcir la liste des besoins de coordination et de réduire la charge en matière de coordination</w:t>
            </w:r>
            <w:r w:rsidR="00437BD9">
              <w:rPr>
                <w:sz w:val="22"/>
                <w:lang w:val="fr-FR"/>
              </w:rPr>
              <w:t>,</w:t>
            </w:r>
            <w:r w:rsidRPr="00A641BE">
              <w:rPr>
                <w:sz w:val="22"/>
                <w:lang w:val="fr-FR"/>
              </w:rPr>
              <w:t xml:space="preserve"> tant pour les administrations que pour le Bureau. </w:t>
            </w:r>
          </w:p>
          <w:p w14:paraId="0279F00C" w14:textId="14EFA45F" w:rsidR="00D235A4" w:rsidRPr="00A641BE" w:rsidRDefault="00D235A4" w:rsidP="00437BD9">
            <w:pPr>
              <w:pStyle w:val="Tabletext"/>
              <w:rPr>
                <w:sz w:val="22"/>
                <w:lang w:val="fr-FR"/>
              </w:rPr>
            </w:pPr>
            <w:r w:rsidRPr="00A641BE">
              <w:rPr>
                <w:sz w:val="22"/>
                <w:lang w:val="fr-FR"/>
              </w:rPr>
              <w:t xml:space="preserve">Compte tenu de ce qui précède, il a été proposé de charger le Bureau de simuler l'examen de fiches de notification relevant du numéro 9.21 du RR dans les bandes non planifiées, en utilisant des modèles numériques d'élévation (DEM), et de rendre compte des résultats au Comité du Règlement des radiocommunications. Le Comité pourrait ensuite décider que, conformément </w:t>
            </w:r>
            <w:r w:rsidR="00437BD9">
              <w:rPr>
                <w:sz w:val="22"/>
                <w:lang w:val="fr-FR"/>
              </w:rPr>
              <w:t>aux</w:t>
            </w:r>
            <w:r w:rsidRPr="00A641BE">
              <w:rPr>
                <w:sz w:val="22"/>
                <w:lang w:val="fr-FR"/>
              </w:rPr>
              <w:t xml:space="preserve"> Règles de procédure pertinentes, le Bureau devrait utiliser des données topographiques dans le cadre des examens au titre du numéro 9.21 du RR, et qu'il soit rendu compte des résultats à la prochaine CMR.</w:t>
            </w:r>
          </w:p>
          <w:p w14:paraId="4AB34F98" w14:textId="2B5D7E05" w:rsidR="00D235A4" w:rsidRPr="00A641BE" w:rsidRDefault="00D235A4" w:rsidP="007E1D70">
            <w:pPr>
              <w:pStyle w:val="Tabletext"/>
              <w:spacing w:before="120"/>
              <w:rPr>
                <w:sz w:val="22"/>
                <w:lang w:val="fr-FR"/>
              </w:rPr>
            </w:pPr>
            <w:r w:rsidRPr="00A641BE">
              <w:rPr>
                <w:sz w:val="22"/>
                <w:lang w:val="fr-FR"/>
              </w:rPr>
              <w:t>Étant donné que l'ensemble de données provenant de la mission de topographie radar effectuée par une navette spatiale actuellement disponible</w:t>
            </w:r>
            <w:r w:rsidR="00437BD9">
              <w:rPr>
                <w:sz w:val="22"/>
                <w:lang w:val="fr-FR"/>
              </w:rPr>
              <w:t>,</w:t>
            </w:r>
            <w:r w:rsidRPr="00A641BE">
              <w:rPr>
                <w:sz w:val="22"/>
                <w:lang w:val="fr-FR"/>
              </w:rPr>
              <w:t xml:space="preserve"> avec une résolution d'une seconde d'arc en longitude et en latitude (SRTM1)</w:t>
            </w:r>
            <w:r w:rsidR="00437BD9">
              <w:rPr>
                <w:sz w:val="22"/>
                <w:lang w:val="fr-FR"/>
              </w:rPr>
              <w:t>,</w:t>
            </w:r>
            <w:r w:rsidRPr="00A641BE">
              <w:rPr>
                <w:sz w:val="22"/>
                <w:lang w:val="fr-FR"/>
              </w:rPr>
              <w:t xml:space="preserve"> ne s'étend pas au</w:t>
            </w:r>
            <w:r w:rsidR="00437BD9">
              <w:rPr>
                <w:sz w:val="22"/>
                <w:lang w:val="fr-FR"/>
              </w:rPr>
              <w:noBreakHyphen/>
            </w:r>
            <w:r w:rsidRPr="00A641BE">
              <w:rPr>
                <w:sz w:val="22"/>
                <w:lang w:val="fr-FR"/>
              </w:rPr>
              <w:t>delà de 60 degrés nord et au-delà de 56 degrés sud, le Bureau pourrait également être chargé de poursuivre l'examen des stations de Terre situées en dehors de la zone géographique en question sans utiliser de données topographiques</w:t>
            </w:r>
            <w:r w:rsidR="00437BD9">
              <w:rPr>
                <w:sz w:val="22"/>
                <w:lang w:val="fr-FR"/>
              </w:rPr>
              <w:t>,</w:t>
            </w:r>
            <w:r w:rsidRPr="00A641BE">
              <w:rPr>
                <w:sz w:val="22"/>
                <w:lang w:val="fr-FR"/>
              </w:rPr>
              <w:t xml:space="preserve"> et d'étudier la possibilité d'utiliser d'autres modèles numériques d'élévation avec une zone géographique plus vaste.</w:t>
            </w:r>
          </w:p>
        </w:tc>
      </w:tr>
      <w:tr w:rsidR="00D235A4" w:rsidRPr="00AD36B1" w14:paraId="4FE69688" w14:textId="77777777" w:rsidTr="00D235A4">
        <w:trPr>
          <w:cantSplit/>
        </w:trPr>
        <w:tc>
          <w:tcPr>
            <w:tcW w:w="1696" w:type="dxa"/>
            <w:vMerge/>
          </w:tcPr>
          <w:p w14:paraId="3A4D51C2" w14:textId="77777777" w:rsidR="00D235A4" w:rsidRPr="00A641BE" w:rsidRDefault="00D235A4" w:rsidP="00437BD9">
            <w:pPr>
              <w:pStyle w:val="Tablehead"/>
              <w:keepNext w:val="0"/>
              <w:jc w:val="left"/>
              <w:rPr>
                <w:bCs/>
                <w:sz w:val="22"/>
                <w:lang w:val="fr-FR"/>
              </w:rPr>
            </w:pPr>
          </w:p>
        </w:tc>
        <w:tc>
          <w:tcPr>
            <w:tcW w:w="2127" w:type="dxa"/>
          </w:tcPr>
          <w:p w14:paraId="434660CF" w14:textId="77D271EB" w:rsidR="00D235A4" w:rsidRPr="00A641BE" w:rsidRDefault="00D235A4" w:rsidP="00437BD9">
            <w:pPr>
              <w:pStyle w:val="Tablehead"/>
              <w:keepNext w:val="0"/>
              <w:jc w:val="left"/>
              <w:rPr>
                <w:sz w:val="22"/>
                <w:lang w:val="fr-FR"/>
              </w:rPr>
            </w:pPr>
            <w:r w:rsidRPr="00A641BE">
              <w:rPr>
                <w:sz w:val="22"/>
                <w:lang w:val="fr-FR"/>
              </w:rPr>
              <w:t>Paragraphes 5.1 à</w:t>
            </w:r>
            <w:r w:rsidR="007E1D70">
              <w:rPr>
                <w:sz w:val="22"/>
                <w:lang w:val="fr-FR"/>
              </w:rPr>
              <w:t> </w:t>
            </w:r>
            <w:r w:rsidRPr="00A641BE">
              <w:rPr>
                <w:sz w:val="22"/>
                <w:lang w:val="fr-FR"/>
              </w:rPr>
              <w:t>5.8</w:t>
            </w:r>
          </w:p>
          <w:p w14:paraId="7DFCBD29" w14:textId="48B57FD8" w:rsidR="00D235A4" w:rsidRPr="00A641BE" w:rsidRDefault="00D235A4" w:rsidP="00437BD9">
            <w:pPr>
              <w:pStyle w:val="Tablehead"/>
              <w:keepNext w:val="0"/>
              <w:jc w:val="left"/>
              <w:rPr>
                <w:sz w:val="22"/>
                <w:lang w:val="fr-FR"/>
              </w:rPr>
            </w:pPr>
            <w:r w:rsidRPr="00A641BE">
              <w:rPr>
                <w:sz w:val="22"/>
                <w:lang w:val="fr-FR"/>
              </w:rPr>
              <w:t xml:space="preserve">Approbation du Document </w:t>
            </w:r>
            <w:hyperlink r:id="rId15" w:history="1">
              <w:r w:rsidRPr="00EA3EF0">
                <w:rPr>
                  <w:rStyle w:val="Hyperlink"/>
                  <w:sz w:val="22"/>
                  <w:lang w:val="fr-FR"/>
                </w:rPr>
                <w:t>189</w:t>
              </w:r>
            </w:hyperlink>
          </w:p>
        </w:tc>
        <w:tc>
          <w:tcPr>
            <w:tcW w:w="11340" w:type="dxa"/>
          </w:tcPr>
          <w:p w14:paraId="63F1D789" w14:textId="155449E5" w:rsidR="00D235A4" w:rsidRPr="00A641BE" w:rsidRDefault="00D235A4" w:rsidP="007E1D70">
            <w:pPr>
              <w:pStyle w:val="Tabletext"/>
              <w:spacing w:before="80"/>
              <w:rPr>
                <w:sz w:val="22"/>
                <w:lang w:val="fr-FR"/>
              </w:rPr>
            </w:pPr>
            <w:r w:rsidRPr="00A641BE">
              <w:rPr>
                <w:sz w:val="22"/>
                <w:lang w:val="fr-FR"/>
              </w:rPr>
              <w:t>Avant l'expiration du délai énoncé dans ce document, le Bureau des radiocommunications enverra un message aux administrations concernées pour attirer leur attention sur la nécessité de répondre dans le délai prévu dans le document.</w:t>
            </w:r>
          </w:p>
        </w:tc>
      </w:tr>
      <w:tr w:rsidR="00D235A4" w:rsidRPr="00AD36B1" w14:paraId="1914112E" w14:textId="77777777" w:rsidTr="00D235A4">
        <w:trPr>
          <w:cantSplit/>
        </w:trPr>
        <w:tc>
          <w:tcPr>
            <w:tcW w:w="1696" w:type="dxa"/>
            <w:vMerge w:val="restart"/>
          </w:tcPr>
          <w:p w14:paraId="2F951772" w14:textId="76F23F72" w:rsidR="00D235A4" w:rsidRPr="00A641BE" w:rsidRDefault="00D235A4" w:rsidP="00437BD9">
            <w:pPr>
              <w:pStyle w:val="Tablehead"/>
              <w:keepNext w:val="0"/>
              <w:jc w:val="left"/>
              <w:rPr>
                <w:bCs/>
                <w:sz w:val="22"/>
                <w:lang w:val="fr-FR"/>
              </w:rPr>
            </w:pPr>
            <w:r w:rsidRPr="00A641BE">
              <w:rPr>
                <w:sz w:val="22"/>
                <w:lang w:val="fr-FR"/>
              </w:rPr>
              <w:lastRenderedPageBreak/>
              <w:t xml:space="preserve">Document </w:t>
            </w:r>
            <w:hyperlink r:id="rId16" w:history="1">
              <w:r w:rsidRPr="00EA3EF0">
                <w:rPr>
                  <w:rStyle w:val="Hyperlink"/>
                  <w:sz w:val="22"/>
                  <w:lang w:val="fr-FR"/>
                </w:rPr>
                <w:t>CMR19/469</w:t>
              </w:r>
            </w:hyperlink>
            <w:r w:rsidRPr="00A641BE">
              <w:rPr>
                <w:sz w:val="22"/>
                <w:lang w:val="fr-FR"/>
              </w:rPr>
              <w:t xml:space="preserve"> – Procès-verbal de la sixième séance plénière</w:t>
            </w:r>
          </w:p>
        </w:tc>
        <w:tc>
          <w:tcPr>
            <w:tcW w:w="2127" w:type="dxa"/>
          </w:tcPr>
          <w:p w14:paraId="222F9581" w14:textId="61E64AD7" w:rsidR="00D235A4" w:rsidRPr="00A641BE" w:rsidRDefault="00D235A4" w:rsidP="00437BD9">
            <w:pPr>
              <w:pStyle w:val="Tablehead"/>
              <w:keepNext w:val="0"/>
              <w:jc w:val="left"/>
              <w:rPr>
                <w:sz w:val="22"/>
                <w:lang w:val="fr-FR"/>
              </w:rPr>
            </w:pPr>
            <w:r w:rsidRPr="00A641BE">
              <w:rPr>
                <w:sz w:val="22"/>
                <w:lang w:val="fr-FR"/>
              </w:rPr>
              <w:t>Paragraphes 2.4 à</w:t>
            </w:r>
            <w:r w:rsidR="007E1D70">
              <w:rPr>
                <w:sz w:val="22"/>
                <w:lang w:val="fr-FR"/>
              </w:rPr>
              <w:t> </w:t>
            </w:r>
            <w:r w:rsidRPr="00A641BE">
              <w:rPr>
                <w:sz w:val="22"/>
                <w:lang w:val="fr-FR"/>
              </w:rPr>
              <w:t>2.13</w:t>
            </w:r>
          </w:p>
          <w:p w14:paraId="05B13008" w14:textId="767AAD96" w:rsidR="00D235A4" w:rsidRPr="00A641BE" w:rsidRDefault="00D235A4" w:rsidP="00437BD9">
            <w:pPr>
              <w:pStyle w:val="Tablehead"/>
              <w:keepNext w:val="0"/>
              <w:jc w:val="left"/>
              <w:rPr>
                <w:sz w:val="22"/>
                <w:lang w:val="fr-FR"/>
              </w:rPr>
            </w:pPr>
            <w:r w:rsidRPr="00A641BE">
              <w:rPr>
                <w:sz w:val="22"/>
                <w:lang w:val="fr-FR"/>
              </w:rPr>
              <w:t xml:space="preserve">Approbation du Document </w:t>
            </w:r>
            <w:hyperlink r:id="rId17" w:history="1">
              <w:r w:rsidRPr="00EA3EF0">
                <w:rPr>
                  <w:rStyle w:val="Hyperlink"/>
                  <w:sz w:val="22"/>
                  <w:lang w:val="fr-FR"/>
                </w:rPr>
                <w:t>228</w:t>
              </w:r>
            </w:hyperlink>
          </w:p>
        </w:tc>
        <w:tc>
          <w:tcPr>
            <w:tcW w:w="11340" w:type="dxa"/>
          </w:tcPr>
          <w:p w14:paraId="0F430834" w14:textId="003C86D1" w:rsidR="00FC53D7" w:rsidRPr="00A641BE" w:rsidRDefault="00FC53D7" w:rsidP="00437BD9">
            <w:pPr>
              <w:pStyle w:val="Tabletext"/>
              <w:rPr>
                <w:sz w:val="22"/>
                <w:lang w:val="fr-FR"/>
              </w:rPr>
            </w:pPr>
            <w:r w:rsidRPr="00A641BE">
              <w:rPr>
                <w:sz w:val="22"/>
                <w:lang w:val="fr-FR"/>
              </w:rPr>
              <w:t>La CMR-19 charge le Bureau des radiocommunications d'appliquer les principes suivants lors du traitement des fiches de notification des assignations de fréquence aux stations «IMT»:</w:t>
            </w:r>
          </w:p>
          <w:p w14:paraId="199E6386" w14:textId="77777777" w:rsidR="00FC53D7" w:rsidRPr="00A641BE" w:rsidRDefault="00FC53D7" w:rsidP="00437BD9">
            <w:pPr>
              <w:pStyle w:val="Tabletext"/>
              <w:ind w:left="284" w:hanging="284"/>
              <w:rPr>
                <w:sz w:val="22"/>
                <w:lang w:val="fr-FR"/>
              </w:rPr>
            </w:pPr>
            <w:r w:rsidRPr="00A641BE">
              <w:rPr>
                <w:sz w:val="22"/>
                <w:lang w:val="fr-FR"/>
              </w:rPr>
              <w:t>a)</w:t>
            </w:r>
            <w:r w:rsidRPr="00A641BE">
              <w:rPr>
                <w:sz w:val="22"/>
                <w:lang w:val="fr-FR"/>
              </w:rPr>
              <w:tab/>
              <w:t xml:space="preserve">Les assignations aux stations de base dans des bandes de fréquences identifiées pour les IMT dans le pays qui soumet la fiche de notification peuvent être notifiées avec la nature du service «IM»*. </w:t>
            </w:r>
          </w:p>
          <w:p w14:paraId="6C5CBABB" w14:textId="38DE3A42" w:rsidR="00FC53D7" w:rsidRPr="00A641BE" w:rsidRDefault="00FC53D7" w:rsidP="00437BD9">
            <w:pPr>
              <w:pStyle w:val="Tabletext"/>
              <w:ind w:left="284" w:hanging="284"/>
              <w:rPr>
                <w:sz w:val="22"/>
                <w:lang w:val="fr-FR"/>
              </w:rPr>
            </w:pPr>
            <w:r w:rsidRPr="00A641BE">
              <w:rPr>
                <w:sz w:val="22"/>
                <w:lang w:val="fr-FR"/>
              </w:rPr>
              <w:t>b)</w:t>
            </w:r>
            <w:r w:rsidRPr="00A641BE">
              <w:rPr>
                <w:sz w:val="22"/>
                <w:lang w:val="fr-FR"/>
              </w:rPr>
              <w:tab/>
              <w:t>Les assignations aux stations de base dans des bandes de fréquences attribuées au service mobile, mais non identifiées pour les IMT dans le pays qui soumet la fiche de notification, peuvent être notifiées avec une nature du service autre que</w:t>
            </w:r>
            <w:r w:rsidR="007E1D70">
              <w:rPr>
                <w:sz w:val="22"/>
                <w:lang w:val="fr-FR"/>
              </w:rPr>
              <w:t> </w:t>
            </w:r>
            <w:r w:rsidRPr="00A641BE">
              <w:rPr>
                <w:sz w:val="22"/>
                <w:lang w:val="fr-FR"/>
              </w:rPr>
              <w:t>«IM». Si, dans ce cas, les assignations aux stations de base sont notifiées avec la nature du service «IM», la fiche de notification doit être retournée à l'administration notificatrice.</w:t>
            </w:r>
          </w:p>
          <w:p w14:paraId="3C749AD5" w14:textId="43407FD2" w:rsidR="00FC53D7" w:rsidRPr="00A641BE" w:rsidRDefault="00FC53D7" w:rsidP="00437BD9">
            <w:pPr>
              <w:pStyle w:val="Tabletext"/>
              <w:rPr>
                <w:sz w:val="22"/>
                <w:lang w:val="fr-FR"/>
              </w:rPr>
            </w:pPr>
            <w:r w:rsidRPr="00A641BE">
              <w:rPr>
                <w:sz w:val="22"/>
                <w:lang w:val="fr-FR"/>
              </w:rPr>
              <w:t>*</w:t>
            </w:r>
            <w:r w:rsidRPr="00A641BE">
              <w:rPr>
                <w:sz w:val="22"/>
                <w:lang w:val="fr-FR"/>
              </w:rPr>
              <w:tab/>
              <w:t>Le symbole «IM» désigne les stations IMT du service mobile, comme expliqué dans la Lettre circulaire CR/391 du</w:t>
            </w:r>
            <w:r w:rsidR="007E1D70">
              <w:rPr>
                <w:sz w:val="22"/>
                <w:lang w:val="fr-FR"/>
              </w:rPr>
              <w:t> </w:t>
            </w:r>
            <w:r w:rsidRPr="00A641BE">
              <w:rPr>
                <w:sz w:val="22"/>
                <w:lang w:val="fr-FR"/>
              </w:rPr>
              <w:t>26/02/2016.</w:t>
            </w:r>
          </w:p>
          <w:p w14:paraId="798C5E8C" w14:textId="07EFC512" w:rsidR="00D235A4" w:rsidRPr="00A641BE" w:rsidRDefault="00FC53D7" w:rsidP="00437BD9">
            <w:pPr>
              <w:pStyle w:val="Tabletext"/>
              <w:rPr>
                <w:sz w:val="22"/>
                <w:lang w:val="fr-FR"/>
              </w:rPr>
            </w:pPr>
            <w:r w:rsidRPr="00A641BE">
              <w:rPr>
                <w:sz w:val="22"/>
                <w:lang w:val="fr-FR"/>
              </w:rPr>
              <w:t xml:space="preserve">Le Directeur du BR apporte les précisions suivantes: le texte relatif au traitement des notifications des stations IMT par le Bureau des radiocommunications vise à ce que les administrations puissent notifier des assignations comportant l'indication «IM» uniquement pour les stations de base fonctionnant dans des bandes de fréquences déjà identifiées pour les IMT dans le pays. Dans le cas contraire, les assignations peuvent être notifiées uniquement avec </w:t>
            </w:r>
            <w:r w:rsidR="00437BD9">
              <w:rPr>
                <w:sz w:val="22"/>
                <w:lang w:val="fr-FR"/>
              </w:rPr>
              <w:t>l'</w:t>
            </w:r>
            <w:r w:rsidRPr="00A641BE">
              <w:rPr>
                <w:sz w:val="22"/>
                <w:lang w:val="fr-FR"/>
              </w:rPr>
              <w:t>indication «autre que IM».</w:t>
            </w:r>
          </w:p>
        </w:tc>
      </w:tr>
      <w:tr w:rsidR="00437BD9" w:rsidRPr="00AD36B1" w14:paraId="314891FE" w14:textId="77777777" w:rsidTr="00D235A4">
        <w:trPr>
          <w:cantSplit/>
        </w:trPr>
        <w:tc>
          <w:tcPr>
            <w:tcW w:w="1696" w:type="dxa"/>
            <w:vMerge/>
          </w:tcPr>
          <w:p w14:paraId="6644A161" w14:textId="77777777" w:rsidR="00437BD9" w:rsidRPr="00A641BE" w:rsidRDefault="00437BD9" w:rsidP="00437BD9">
            <w:pPr>
              <w:pStyle w:val="Tablehead"/>
              <w:keepNext w:val="0"/>
              <w:jc w:val="left"/>
              <w:rPr>
                <w:sz w:val="22"/>
                <w:lang w:val="fr-FR"/>
              </w:rPr>
            </w:pPr>
          </w:p>
        </w:tc>
        <w:tc>
          <w:tcPr>
            <w:tcW w:w="2127" w:type="dxa"/>
            <w:vMerge w:val="restart"/>
          </w:tcPr>
          <w:p w14:paraId="4F2C900C" w14:textId="59D49A52" w:rsidR="00437BD9" w:rsidRPr="00A641BE" w:rsidRDefault="00437BD9" w:rsidP="00437BD9">
            <w:pPr>
              <w:pStyle w:val="Tablehead"/>
              <w:keepNext w:val="0"/>
              <w:jc w:val="left"/>
              <w:rPr>
                <w:sz w:val="22"/>
                <w:lang w:val="fr-FR"/>
              </w:rPr>
            </w:pPr>
            <w:r w:rsidRPr="00A641BE">
              <w:rPr>
                <w:sz w:val="22"/>
                <w:lang w:val="fr-FR"/>
              </w:rPr>
              <w:t>Paragraphes 2.14 à</w:t>
            </w:r>
            <w:r w:rsidR="003B7DE7">
              <w:rPr>
                <w:sz w:val="22"/>
                <w:lang w:val="fr-FR"/>
              </w:rPr>
              <w:t> </w:t>
            </w:r>
            <w:r w:rsidRPr="00A641BE">
              <w:rPr>
                <w:sz w:val="22"/>
                <w:lang w:val="fr-FR"/>
              </w:rPr>
              <w:t>2.16</w:t>
            </w:r>
          </w:p>
          <w:p w14:paraId="71EFECD0" w14:textId="1F76BF8F" w:rsidR="00437BD9" w:rsidRPr="00A641BE" w:rsidRDefault="00437BD9" w:rsidP="00437BD9">
            <w:pPr>
              <w:pStyle w:val="Tablehead"/>
              <w:keepNext w:val="0"/>
              <w:jc w:val="left"/>
              <w:rPr>
                <w:sz w:val="22"/>
                <w:lang w:val="fr-FR"/>
              </w:rPr>
            </w:pPr>
            <w:r w:rsidRPr="00A641BE">
              <w:rPr>
                <w:sz w:val="22"/>
                <w:lang w:val="fr-FR"/>
              </w:rPr>
              <w:t xml:space="preserve">Approbation du Document </w:t>
            </w:r>
            <w:hyperlink r:id="rId18" w:history="1">
              <w:r w:rsidRPr="00EA3EF0">
                <w:rPr>
                  <w:rStyle w:val="Hyperlink"/>
                  <w:sz w:val="22"/>
                  <w:lang w:val="fr-FR"/>
                </w:rPr>
                <w:t>232</w:t>
              </w:r>
            </w:hyperlink>
          </w:p>
        </w:tc>
        <w:tc>
          <w:tcPr>
            <w:tcW w:w="11340" w:type="dxa"/>
          </w:tcPr>
          <w:p w14:paraId="7D8A7A10" w14:textId="77777777" w:rsidR="00437BD9" w:rsidRPr="00A641BE" w:rsidRDefault="00437BD9" w:rsidP="003B7DE7">
            <w:pPr>
              <w:pStyle w:val="Tabletext"/>
              <w:tabs>
                <w:tab w:val="clear" w:pos="284"/>
              </w:tabs>
              <w:spacing w:before="80"/>
              <w:rPr>
                <w:sz w:val="22"/>
                <w:lang w:val="fr-FR"/>
              </w:rPr>
            </w:pPr>
            <w:r w:rsidRPr="00A641BE">
              <w:rPr>
                <w:sz w:val="22"/>
                <w:lang w:val="fr-FR"/>
              </w:rPr>
              <w:t>1</w:t>
            </w:r>
            <w:r w:rsidRPr="00A641BE">
              <w:rPr>
                <w:sz w:val="22"/>
                <w:lang w:val="fr-FR"/>
              </w:rPr>
              <w:tab/>
              <w:t xml:space="preserve">Sur la base des informations données au § 3.1.3.5 de l'Addendum 2 au Rapport du Directeur, il a été noté que le Bureau identifie les besoins de coordination pour les assignations aux services de Terre vis-à-vis des stations terriennes types du service de radiodiffusion par satellite au titre du numéro </w:t>
            </w:r>
            <w:r w:rsidRPr="00A641BE">
              <w:rPr>
                <w:b/>
                <w:bCs/>
                <w:sz w:val="22"/>
                <w:lang w:val="fr-FR"/>
              </w:rPr>
              <w:t xml:space="preserve">9.19 </w:t>
            </w:r>
            <w:r w:rsidRPr="00A641BE">
              <w:rPr>
                <w:sz w:val="22"/>
                <w:lang w:val="fr-FR"/>
              </w:rPr>
              <w:t>du RR dans les huit bandes de fréquences suivantes: 620</w:t>
            </w:r>
            <w:r w:rsidRPr="00A641BE">
              <w:rPr>
                <w:sz w:val="22"/>
                <w:lang w:val="fr-FR"/>
              </w:rPr>
              <w:noBreakHyphen/>
              <w:t>790 MHz, 1 452</w:t>
            </w:r>
            <w:r w:rsidRPr="00A641BE">
              <w:rPr>
                <w:sz w:val="22"/>
                <w:lang w:val="fr-FR"/>
              </w:rPr>
              <w:noBreakHyphen/>
              <w:t>1 492 MHz, 2 310</w:t>
            </w:r>
            <w:r w:rsidRPr="00A641BE">
              <w:rPr>
                <w:sz w:val="22"/>
                <w:lang w:val="fr-FR"/>
              </w:rPr>
              <w:noBreakHyphen/>
              <w:t>2 360 MHz, 2 520</w:t>
            </w:r>
            <w:r w:rsidRPr="00A641BE">
              <w:rPr>
                <w:sz w:val="22"/>
                <w:lang w:val="fr-FR"/>
              </w:rPr>
              <w:noBreakHyphen/>
              <w:t>2 670 MHz, 11,7</w:t>
            </w:r>
            <w:r w:rsidRPr="00A641BE">
              <w:rPr>
                <w:sz w:val="22"/>
                <w:lang w:val="fr-FR"/>
              </w:rPr>
              <w:noBreakHyphen/>
              <w:t>12,75 GHz, 17,7</w:t>
            </w:r>
            <w:r w:rsidRPr="00A641BE">
              <w:rPr>
                <w:sz w:val="22"/>
                <w:lang w:val="fr-FR"/>
              </w:rPr>
              <w:noBreakHyphen/>
              <w:t>17,8 GHz, 40,5</w:t>
            </w:r>
            <w:r w:rsidRPr="00A641BE">
              <w:rPr>
                <w:sz w:val="22"/>
                <w:lang w:val="fr-FR"/>
              </w:rPr>
              <w:noBreakHyphen/>
              <w:t>42,5 GHz et 74</w:t>
            </w:r>
            <w:r w:rsidRPr="00A641BE">
              <w:rPr>
                <w:sz w:val="22"/>
                <w:lang w:val="fr-FR"/>
              </w:rPr>
              <w:noBreakHyphen/>
              <w:t>76 GHz.</w:t>
            </w:r>
          </w:p>
          <w:p w14:paraId="1C5CDAF4" w14:textId="644F86D1" w:rsidR="00437BD9" w:rsidRPr="00A641BE" w:rsidRDefault="00437BD9" w:rsidP="00437BD9">
            <w:pPr>
              <w:pStyle w:val="Tabletext"/>
              <w:rPr>
                <w:sz w:val="22"/>
                <w:lang w:val="fr-FR"/>
              </w:rPr>
            </w:pPr>
            <w:r w:rsidRPr="00A641BE">
              <w:rPr>
                <w:sz w:val="22"/>
                <w:lang w:val="fr-FR"/>
              </w:rPr>
              <w:t>2</w:t>
            </w:r>
            <w:r w:rsidRPr="00A641BE">
              <w:rPr>
                <w:sz w:val="22"/>
                <w:lang w:val="fr-FR"/>
              </w:rPr>
              <w:tab/>
              <w:t xml:space="preserve">Il a également été noté qu'actuellement, les seuils de déclenchement de la coordination </w:t>
            </w:r>
            <w:r>
              <w:rPr>
                <w:sz w:val="22"/>
                <w:lang w:val="fr-FR"/>
              </w:rPr>
              <w:t>ne sont</w:t>
            </w:r>
            <w:r w:rsidRPr="00A641BE">
              <w:rPr>
                <w:sz w:val="22"/>
                <w:lang w:val="fr-FR"/>
              </w:rPr>
              <w:t xml:space="preserve"> disponibles que pour la bande 11,7</w:t>
            </w:r>
            <w:r w:rsidRPr="00A641BE">
              <w:rPr>
                <w:sz w:val="22"/>
                <w:lang w:val="fr-FR"/>
              </w:rPr>
              <w:noBreakHyphen/>
              <w:t>12,7 GHz et figurent dans l'Annexe 3 de l'Appendice </w:t>
            </w:r>
            <w:r w:rsidRPr="00A641BE">
              <w:rPr>
                <w:b/>
                <w:bCs/>
                <w:sz w:val="22"/>
                <w:lang w:val="fr-FR"/>
              </w:rPr>
              <w:t>30</w:t>
            </w:r>
            <w:r w:rsidRPr="00A641BE">
              <w:rPr>
                <w:sz w:val="22"/>
                <w:lang w:val="fr-FR"/>
              </w:rPr>
              <w:t xml:space="preserve"> du RR. Pour toutes les autres bandes, le Bureau utilise les Règles de procédure relatives au numéro </w:t>
            </w:r>
            <w:r w:rsidRPr="00A641BE">
              <w:rPr>
                <w:b/>
                <w:bCs/>
                <w:sz w:val="22"/>
                <w:lang w:val="fr-FR"/>
              </w:rPr>
              <w:t>9.19</w:t>
            </w:r>
            <w:r w:rsidRPr="00A641BE">
              <w:rPr>
                <w:sz w:val="22"/>
                <w:lang w:val="fr-FR"/>
              </w:rPr>
              <w:t xml:space="preserve"> du RR, qui définissent comme critères de coordination le chevauchement de fréquences et une distance de coordination de 1 200 km par rapport aux territoires sur lesquels sont situées les stations terriennes types du SRS. Il a été reconnu qu'une distance de coordination de 1 200 km était une valeur très prudente qui risquait d'entraîner une surestimation des besoins réels de coordination et de faire peser sur les administrations une charge considérable en matière de coordination.</w:t>
            </w:r>
          </w:p>
        </w:tc>
      </w:tr>
      <w:tr w:rsidR="00437BD9" w:rsidRPr="00AD36B1" w14:paraId="08E46054" w14:textId="77777777" w:rsidTr="00D235A4">
        <w:trPr>
          <w:cantSplit/>
        </w:trPr>
        <w:tc>
          <w:tcPr>
            <w:tcW w:w="1696" w:type="dxa"/>
            <w:vMerge/>
          </w:tcPr>
          <w:p w14:paraId="632AB2BC" w14:textId="77777777" w:rsidR="00437BD9" w:rsidRPr="00A641BE" w:rsidRDefault="00437BD9" w:rsidP="00437BD9">
            <w:pPr>
              <w:pStyle w:val="Tablehead"/>
              <w:keepNext w:val="0"/>
              <w:jc w:val="left"/>
              <w:rPr>
                <w:bCs/>
                <w:sz w:val="22"/>
                <w:lang w:val="fr-FR"/>
              </w:rPr>
            </w:pPr>
          </w:p>
        </w:tc>
        <w:tc>
          <w:tcPr>
            <w:tcW w:w="2127" w:type="dxa"/>
            <w:vMerge/>
          </w:tcPr>
          <w:p w14:paraId="7817C005" w14:textId="0E726DBC" w:rsidR="00437BD9" w:rsidRPr="00A641BE" w:rsidRDefault="00437BD9" w:rsidP="00437BD9">
            <w:pPr>
              <w:pStyle w:val="Tablehead"/>
              <w:keepNext w:val="0"/>
              <w:jc w:val="left"/>
              <w:rPr>
                <w:sz w:val="22"/>
                <w:lang w:val="fr-FR"/>
              </w:rPr>
            </w:pPr>
          </w:p>
        </w:tc>
        <w:tc>
          <w:tcPr>
            <w:tcW w:w="11340" w:type="dxa"/>
          </w:tcPr>
          <w:p w14:paraId="7A8C9E3D" w14:textId="12B78D1F" w:rsidR="00437BD9" w:rsidRDefault="00437BD9" w:rsidP="00437BD9">
            <w:pPr>
              <w:pStyle w:val="Tabletext"/>
              <w:tabs>
                <w:tab w:val="clear" w:pos="284"/>
              </w:tabs>
              <w:rPr>
                <w:sz w:val="22"/>
                <w:lang w:val="fr-FR"/>
              </w:rPr>
            </w:pPr>
            <w:r w:rsidRPr="00A641BE">
              <w:rPr>
                <w:sz w:val="22"/>
                <w:lang w:val="fr-FR"/>
              </w:rPr>
              <w:t>3</w:t>
            </w:r>
            <w:r w:rsidRPr="00A641BE">
              <w:rPr>
                <w:sz w:val="22"/>
                <w:lang w:val="fr-FR"/>
              </w:rPr>
              <w:tab/>
              <w:t xml:space="preserve">Les Commissions d'études compétentes de l'UIT-R sont invitées à élaborer des critères plus précis pour la définition des besoins de coordination au titre du numéro </w:t>
            </w:r>
            <w:r w:rsidRPr="00A641BE">
              <w:rPr>
                <w:b/>
                <w:bCs/>
                <w:sz w:val="22"/>
                <w:lang w:val="fr-FR"/>
              </w:rPr>
              <w:t>9.19</w:t>
            </w:r>
            <w:r w:rsidRPr="00A641BE">
              <w:rPr>
                <w:sz w:val="22"/>
                <w:lang w:val="fr-FR"/>
              </w:rPr>
              <w:t xml:space="preserve"> du RR dans les bandes </w:t>
            </w:r>
            <w:r>
              <w:rPr>
                <w:sz w:val="22"/>
                <w:lang w:val="fr-FR"/>
              </w:rPr>
              <w:t xml:space="preserve">de fréquences </w:t>
            </w:r>
            <w:r w:rsidRPr="00A641BE">
              <w:rPr>
                <w:sz w:val="22"/>
                <w:lang w:val="fr-FR"/>
              </w:rPr>
              <w:t>620</w:t>
            </w:r>
            <w:r w:rsidRPr="00A641BE">
              <w:rPr>
                <w:sz w:val="22"/>
                <w:lang w:val="fr-FR"/>
              </w:rPr>
              <w:noBreakHyphen/>
              <w:t>790 MHz</w:t>
            </w:r>
            <w:r w:rsidRPr="00A641BE">
              <w:rPr>
                <w:rStyle w:val="FootnoteReference"/>
                <w:lang w:val="fr-FR"/>
              </w:rPr>
              <w:footnoteReference w:id="1"/>
            </w:r>
            <w:r w:rsidRPr="00A641BE">
              <w:rPr>
                <w:sz w:val="22"/>
                <w:lang w:val="fr-FR"/>
              </w:rPr>
              <w:t>, 1 452</w:t>
            </w:r>
            <w:r w:rsidRPr="00A641BE">
              <w:rPr>
                <w:sz w:val="22"/>
                <w:lang w:val="fr-FR"/>
              </w:rPr>
              <w:noBreakHyphen/>
              <w:t>1 492 MHz, 2 310</w:t>
            </w:r>
            <w:r w:rsidRPr="00A641BE">
              <w:rPr>
                <w:sz w:val="22"/>
                <w:lang w:val="fr-FR"/>
              </w:rPr>
              <w:noBreakHyphen/>
              <w:t>2 360 MHz, 2 520</w:t>
            </w:r>
            <w:r w:rsidRPr="00A641BE">
              <w:rPr>
                <w:sz w:val="22"/>
                <w:lang w:val="fr-FR"/>
              </w:rPr>
              <w:noBreakHyphen/>
              <w:t>2 670 MHz, 17,7</w:t>
            </w:r>
            <w:r w:rsidRPr="00A641BE">
              <w:rPr>
                <w:sz w:val="22"/>
                <w:lang w:val="fr-FR"/>
              </w:rPr>
              <w:noBreakHyphen/>
              <w:t>17,8 GHz, 40,5</w:t>
            </w:r>
            <w:r w:rsidRPr="00A641BE">
              <w:rPr>
                <w:sz w:val="22"/>
                <w:lang w:val="fr-FR"/>
              </w:rPr>
              <w:noBreakHyphen/>
              <w:t>42,5 GHz et 74</w:t>
            </w:r>
            <w:r w:rsidRPr="00A641BE">
              <w:rPr>
                <w:sz w:val="22"/>
                <w:lang w:val="fr-FR"/>
              </w:rPr>
              <w:noBreakHyphen/>
              <w:t>76 GHz.</w:t>
            </w:r>
          </w:p>
          <w:p w14:paraId="422E64F8" w14:textId="2E7C887B" w:rsidR="00437BD9" w:rsidRPr="00A641BE" w:rsidRDefault="00437BD9" w:rsidP="00437BD9">
            <w:pPr>
              <w:pStyle w:val="Tabletext"/>
              <w:tabs>
                <w:tab w:val="clear" w:pos="284"/>
              </w:tabs>
              <w:rPr>
                <w:sz w:val="22"/>
                <w:lang w:val="fr-FR"/>
              </w:rPr>
            </w:pPr>
            <w:r w:rsidRPr="00A641BE">
              <w:rPr>
                <w:sz w:val="22"/>
                <w:lang w:val="fr-FR"/>
              </w:rPr>
              <w:t>4</w:t>
            </w:r>
            <w:r w:rsidRPr="00A641BE">
              <w:rPr>
                <w:sz w:val="22"/>
                <w:lang w:val="fr-FR"/>
              </w:rPr>
              <w:tab/>
              <w:t xml:space="preserve">En outre, le Bureau est invité, lorsque les seuils de déclenchement de la coordination seront disponibles, à simuler un examen des fiches de notification relevant du numéro </w:t>
            </w:r>
            <w:r w:rsidRPr="00A641BE">
              <w:rPr>
                <w:b/>
                <w:bCs/>
                <w:sz w:val="22"/>
                <w:lang w:val="fr-FR"/>
              </w:rPr>
              <w:t>9.19</w:t>
            </w:r>
            <w:r w:rsidRPr="00A641BE">
              <w:rPr>
                <w:sz w:val="22"/>
                <w:lang w:val="fr-FR"/>
              </w:rPr>
              <w:t xml:space="preserve"> du RR dans les bandes non planifiées, en utilisant des modèles d'élévation numérique (DEM), et à présenter les résultats au Comité du Règlement des radiocommunications, afin qu'il prenne des mesures à cet égard.</w:t>
            </w:r>
          </w:p>
        </w:tc>
      </w:tr>
      <w:tr w:rsidR="00D235A4" w:rsidRPr="00AD36B1" w14:paraId="2129CC67" w14:textId="77777777" w:rsidTr="00D235A4">
        <w:trPr>
          <w:cantSplit/>
        </w:trPr>
        <w:tc>
          <w:tcPr>
            <w:tcW w:w="1696" w:type="dxa"/>
            <w:vMerge/>
          </w:tcPr>
          <w:p w14:paraId="05DF7B26" w14:textId="77777777" w:rsidR="00D235A4" w:rsidRPr="00A641BE" w:rsidRDefault="00D235A4" w:rsidP="00437BD9">
            <w:pPr>
              <w:pStyle w:val="Tablehead"/>
              <w:keepNext w:val="0"/>
              <w:jc w:val="left"/>
              <w:rPr>
                <w:bCs/>
                <w:sz w:val="22"/>
                <w:lang w:val="fr-FR"/>
              </w:rPr>
            </w:pPr>
          </w:p>
        </w:tc>
        <w:tc>
          <w:tcPr>
            <w:tcW w:w="2127" w:type="dxa"/>
          </w:tcPr>
          <w:p w14:paraId="67129701" w14:textId="139E8193" w:rsidR="00D235A4" w:rsidRPr="00A641BE" w:rsidRDefault="00D235A4" w:rsidP="00437BD9">
            <w:pPr>
              <w:pStyle w:val="Tablehead"/>
              <w:keepNext w:val="0"/>
              <w:jc w:val="left"/>
              <w:rPr>
                <w:sz w:val="22"/>
                <w:lang w:val="fr-FR"/>
              </w:rPr>
            </w:pPr>
            <w:r w:rsidRPr="00A641BE">
              <w:rPr>
                <w:sz w:val="22"/>
                <w:lang w:val="fr-FR"/>
              </w:rPr>
              <w:t>Paragraphes 2.20 à</w:t>
            </w:r>
            <w:r w:rsidR="003B7DE7">
              <w:rPr>
                <w:sz w:val="22"/>
                <w:lang w:val="fr-FR"/>
              </w:rPr>
              <w:t> </w:t>
            </w:r>
            <w:r w:rsidRPr="00A641BE">
              <w:rPr>
                <w:sz w:val="22"/>
                <w:lang w:val="fr-FR"/>
              </w:rPr>
              <w:t>2.22</w:t>
            </w:r>
          </w:p>
          <w:p w14:paraId="698426C9" w14:textId="5E2ADB82" w:rsidR="00D235A4" w:rsidRPr="00A641BE" w:rsidRDefault="00D235A4" w:rsidP="00437BD9">
            <w:pPr>
              <w:pStyle w:val="Tablehead"/>
              <w:keepNext w:val="0"/>
              <w:jc w:val="left"/>
              <w:rPr>
                <w:sz w:val="22"/>
                <w:lang w:val="fr-FR"/>
              </w:rPr>
            </w:pPr>
            <w:r w:rsidRPr="00A641BE">
              <w:rPr>
                <w:sz w:val="22"/>
                <w:lang w:val="fr-FR"/>
              </w:rPr>
              <w:t xml:space="preserve">Approbation du Document </w:t>
            </w:r>
            <w:hyperlink r:id="rId19" w:history="1">
              <w:r w:rsidRPr="00EA3EF0">
                <w:rPr>
                  <w:rStyle w:val="Hyperlink"/>
                  <w:sz w:val="22"/>
                  <w:lang w:val="fr-FR"/>
                </w:rPr>
                <w:t>293</w:t>
              </w:r>
            </w:hyperlink>
          </w:p>
        </w:tc>
        <w:tc>
          <w:tcPr>
            <w:tcW w:w="11340" w:type="dxa"/>
          </w:tcPr>
          <w:p w14:paraId="0DD0DFE3" w14:textId="5CC927E6" w:rsidR="00D235A4" w:rsidRPr="00A641BE" w:rsidRDefault="00FC53D7" w:rsidP="003B7DE7">
            <w:pPr>
              <w:pStyle w:val="Tabletext"/>
              <w:spacing w:before="80"/>
              <w:rPr>
                <w:b/>
                <w:bCs/>
                <w:sz w:val="22"/>
                <w:lang w:val="fr-FR"/>
              </w:rPr>
            </w:pPr>
            <w:r w:rsidRPr="00A641BE">
              <w:rPr>
                <w:sz w:val="22"/>
                <w:lang w:val="fr-FR"/>
              </w:rPr>
              <w:t>Compte tenu des circonstances exceptionnelles rencontrées par l'Administration de la Slovénie lors de la mise en service du réseau à satellite NEMO-HD, la CMR-19 a décidé d'exclure les assignations de ce réseau à satellite, qui sont inscrites dans le Fichier de référence (voir la Partie II</w:t>
            </w:r>
            <w:r w:rsidRPr="00A641BE">
              <w:rPr>
                <w:sz w:val="22"/>
                <w:lang w:val="fr-FR"/>
              </w:rPr>
              <w:noBreakHyphen/>
              <w:t xml:space="preserve">S de la BR IFIC 2832), de l'application des limites de p.i.r.e. dans la bande de fréquences 401-403 MHz indiquées dans le renvoi </w:t>
            </w:r>
            <w:r w:rsidRPr="00A641BE">
              <w:rPr>
                <w:b/>
                <w:bCs/>
                <w:sz w:val="22"/>
                <w:lang w:val="fr-FR"/>
              </w:rPr>
              <w:t>5.C12</w:t>
            </w:r>
            <w:r w:rsidRPr="00A641BE">
              <w:rPr>
                <w:sz w:val="22"/>
                <w:lang w:val="fr-FR"/>
              </w:rPr>
              <w:t xml:space="preserve"> du RR jusqu'au 22 novembre 2029, et a chargé le Bureau des radiocommunications d'agir en conséquence.</w:t>
            </w:r>
          </w:p>
        </w:tc>
      </w:tr>
      <w:tr w:rsidR="00D235A4" w:rsidRPr="00AD36B1" w14:paraId="55D42521" w14:textId="77777777" w:rsidTr="00D235A4">
        <w:trPr>
          <w:cantSplit/>
        </w:trPr>
        <w:tc>
          <w:tcPr>
            <w:tcW w:w="1696" w:type="dxa"/>
            <w:vMerge/>
          </w:tcPr>
          <w:p w14:paraId="74A0E96D" w14:textId="77777777" w:rsidR="00D235A4" w:rsidRPr="00A641BE" w:rsidRDefault="00D235A4" w:rsidP="00437BD9">
            <w:pPr>
              <w:pStyle w:val="Tablehead"/>
              <w:keepNext w:val="0"/>
              <w:jc w:val="left"/>
              <w:rPr>
                <w:bCs/>
                <w:sz w:val="22"/>
                <w:lang w:val="fr-FR"/>
              </w:rPr>
            </w:pPr>
          </w:p>
        </w:tc>
        <w:tc>
          <w:tcPr>
            <w:tcW w:w="2127" w:type="dxa"/>
          </w:tcPr>
          <w:p w14:paraId="325BEC74" w14:textId="4C460B52" w:rsidR="00D235A4" w:rsidRPr="00A641BE" w:rsidRDefault="00D235A4" w:rsidP="00437BD9">
            <w:pPr>
              <w:pStyle w:val="Tablehead"/>
              <w:keepNext w:val="0"/>
              <w:jc w:val="left"/>
              <w:rPr>
                <w:sz w:val="22"/>
                <w:lang w:val="fr-FR"/>
              </w:rPr>
            </w:pPr>
            <w:r w:rsidRPr="00A641BE">
              <w:rPr>
                <w:sz w:val="22"/>
                <w:lang w:val="fr-FR"/>
              </w:rPr>
              <w:t>Paragraphes 2.23 à</w:t>
            </w:r>
            <w:r w:rsidR="003B7DE7">
              <w:rPr>
                <w:sz w:val="22"/>
                <w:lang w:val="fr-FR"/>
              </w:rPr>
              <w:t> </w:t>
            </w:r>
            <w:r w:rsidRPr="00A641BE">
              <w:rPr>
                <w:sz w:val="22"/>
                <w:lang w:val="fr-FR"/>
              </w:rPr>
              <w:t>2.26</w:t>
            </w:r>
          </w:p>
          <w:p w14:paraId="5C27E751" w14:textId="3B76DEBB" w:rsidR="00D235A4" w:rsidRPr="00A641BE" w:rsidRDefault="00D235A4" w:rsidP="00437BD9">
            <w:pPr>
              <w:pStyle w:val="Tablehead"/>
              <w:keepNext w:val="0"/>
              <w:jc w:val="left"/>
              <w:rPr>
                <w:sz w:val="22"/>
                <w:lang w:val="fr-FR"/>
              </w:rPr>
            </w:pPr>
            <w:r w:rsidRPr="00A641BE">
              <w:rPr>
                <w:sz w:val="22"/>
                <w:lang w:val="fr-FR"/>
              </w:rPr>
              <w:t xml:space="preserve">Approbation du Document </w:t>
            </w:r>
            <w:hyperlink r:id="rId20" w:history="1">
              <w:r w:rsidRPr="00EA3EF0">
                <w:rPr>
                  <w:rStyle w:val="Hyperlink"/>
                  <w:sz w:val="22"/>
                  <w:lang w:val="fr-FR"/>
                </w:rPr>
                <w:t>289</w:t>
              </w:r>
            </w:hyperlink>
          </w:p>
        </w:tc>
        <w:tc>
          <w:tcPr>
            <w:tcW w:w="11340" w:type="dxa"/>
          </w:tcPr>
          <w:p w14:paraId="01E1FDD9" w14:textId="69D93B74" w:rsidR="00D235A4" w:rsidRPr="00A641BE" w:rsidRDefault="00FC53D7" w:rsidP="003B7DE7">
            <w:pPr>
              <w:pStyle w:val="Tabletext"/>
              <w:spacing w:before="80"/>
              <w:rPr>
                <w:sz w:val="22"/>
                <w:lang w:val="fr-FR"/>
              </w:rPr>
            </w:pPr>
            <w:r w:rsidRPr="00A641BE">
              <w:rPr>
                <w:sz w:val="22"/>
                <w:lang w:val="fr-FR"/>
              </w:rPr>
              <w:t xml:space="preserve">À la suite de la suppression de la Résolution </w:t>
            </w:r>
            <w:r w:rsidRPr="00A641BE">
              <w:rPr>
                <w:b/>
                <w:bCs/>
                <w:sz w:val="22"/>
                <w:lang w:val="fr-FR"/>
              </w:rPr>
              <w:t>556 (CMR-15)</w:t>
            </w:r>
            <w:r w:rsidRPr="00A641BE">
              <w:rPr>
                <w:sz w:val="22"/>
                <w:lang w:val="fr-FR"/>
              </w:rPr>
              <w:t>, le Bureau est chargé de continuer d'appliquer la méthode de calcul actuelle en ce qui concerne les assignations analogiques figurant dans le Plan pour la Région 2.</w:t>
            </w:r>
          </w:p>
        </w:tc>
      </w:tr>
    </w:tbl>
    <w:p w14:paraId="17944E35" w14:textId="2F891196" w:rsidR="00F75811" w:rsidRPr="007E1D70" w:rsidRDefault="00F75811">
      <w:pPr>
        <w:rPr>
          <w:b/>
          <w:lang w:val="fr-CH"/>
        </w:rPr>
      </w:pPr>
      <w:r w:rsidRPr="007E1D70">
        <w:rPr>
          <w:b/>
          <w:lang w:val="fr-CH"/>
        </w:rPr>
        <w:br w:type="page"/>
      </w:r>
    </w:p>
    <w:tbl>
      <w:tblPr>
        <w:tblStyle w:val="TableGrid"/>
        <w:tblW w:w="15163" w:type="dxa"/>
        <w:tblLayout w:type="fixed"/>
        <w:tblLook w:val="04A0" w:firstRow="1" w:lastRow="0" w:firstColumn="1" w:lastColumn="0" w:noHBand="0" w:noVBand="1"/>
      </w:tblPr>
      <w:tblGrid>
        <w:gridCol w:w="1696"/>
        <w:gridCol w:w="2127"/>
        <w:gridCol w:w="11340"/>
      </w:tblGrid>
      <w:tr w:rsidR="00F75811" w:rsidRPr="00AD36B1" w14:paraId="2206AD69" w14:textId="77777777" w:rsidTr="00F75811">
        <w:trPr>
          <w:trHeight w:val="1139"/>
        </w:trPr>
        <w:tc>
          <w:tcPr>
            <w:tcW w:w="1696" w:type="dxa"/>
          </w:tcPr>
          <w:p w14:paraId="43B9794B" w14:textId="77777777" w:rsidR="00F75811" w:rsidRPr="00A641BE" w:rsidRDefault="00F75811" w:rsidP="007E1D70">
            <w:pPr>
              <w:pStyle w:val="Tablehead"/>
              <w:keepNext w:val="0"/>
              <w:rPr>
                <w:sz w:val="22"/>
                <w:lang w:val="fr-FR"/>
              </w:rPr>
            </w:pPr>
            <w:r w:rsidRPr="00A641BE">
              <w:rPr>
                <w:sz w:val="22"/>
                <w:lang w:val="fr-FR"/>
              </w:rPr>
              <w:lastRenderedPageBreak/>
              <w:t>Document source (procès</w:t>
            </w:r>
            <w:r w:rsidRPr="00A641BE">
              <w:rPr>
                <w:sz w:val="22"/>
                <w:lang w:val="fr-FR"/>
              </w:rPr>
              <w:noBreakHyphen/>
              <w:t>verbal de la plénière)</w:t>
            </w:r>
          </w:p>
        </w:tc>
        <w:tc>
          <w:tcPr>
            <w:tcW w:w="2127" w:type="dxa"/>
          </w:tcPr>
          <w:p w14:paraId="3D6F045E" w14:textId="77777777" w:rsidR="00F75811" w:rsidRPr="00A641BE" w:rsidRDefault="00F75811" w:rsidP="007E1D70">
            <w:pPr>
              <w:pStyle w:val="Tablehead"/>
              <w:keepNext w:val="0"/>
              <w:rPr>
                <w:sz w:val="22"/>
                <w:lang w:val="fr-FR"/>
              </w:rPr>
            </w:pPr>
            <w:r w:rsidRPr="00A641BE">
              <w:rPr>
                <w:sz w:val="22"/>
                <w:lang w:val="fr-FR"/>
              </w:rPr>
              <w:t>Contexte de la décision de la plénière</w:t>
            </w:r>
          </w:p>
        </w:tc>
        <w:tc>
          <w:tcPr>
            <w:tcW w:w="11340" w:type="dxa"/>
          </w:tcPr>
          <w:p w14:paraId="670766FC" w14:textId="77777777" w:rsidR="00F75811" w:rsidRPr="00A641BE" w:rsidRDefault="00F75811" w:rsidP="007E1D70">
            <w:pPr>
              <w:pStyle w:val="Tablehead"/>
              <w:keepNext w:val="0"/>
              <w:rPr>
                <w:sz w:val="22"/>
                <w:lang w:val="fr-FR"/>
              </w:rPr>
            </w:pPr>
            <w:r w:rsidRPr="00A641BE">
              <w:rPr>
                <w:sz w:val="22"/>
                <w:lang w:val="fr-FR"/>
              </w:rPr>
              <w:t>Décision de la plénière et texte associé</w:t>
            </w:r>
          </w:p>
        </w:tc>
      </w:tr>
      <w:tr w:rsidR="00B237CC" w:rsidRPr="00AD36B1" w14:paraId="6FDFF93D" w14:textId="77777777" w:rsidTr="00D235A4">
        <w:trPr>
          <w:cantSplit/>
        </w:trPr>
        <w:tc>
          <w:tcPr>
            <w:tcW w:w="1696" w:type="dxa"/>
          </w:tcPr>
          <w:p w14:paraId="55C62D72" w14:textId="33BDA008" w:rsidR="00B237CC" w:rsidRPr="00A641BE" w:rsidRDefault="00B237CC" w:rsidP="00437BD9">
            <w:pPr>
              <w:pStyle w:val="Tablehead"/>
              <w:keepNext w:val="0"/>
              <w:jc w:val="left"/>
              <w:rPr>
                <w:bCs/>
                <w:sz w:val="22"/>
                <w:lang w:val="fr-FR"/>
              </w:rPr>
            </w:pPr>
            <w:r w:rsidRPr="00A641BE">
              <w:rPr>
                <w:sz w:val="22"/>
                <w:lang w:val="fr-FR"/>
              </w:rPr>
              <w:t xml:space="preserve">Document </w:t>
            </w:r>
            <w:hyperlink r:id="rId21" w:history="1">
              <w:r w:rsidRPr="00EA3EF0">
                <w:rPr>
                  <w:rStyle w:val="Hyperlink"/>
                  <w:sz w:val="22"/>
                  <w:lang w:val="fr-FR"/>
                </w:rPr>
                <w:t>CMR19/568</w:t>
              </w:r>
            </w:hyperlink>
            <w:r w:rsidRPr="00A641BE">
              <w:rPr>
                <w:sz w:val="22"/>
                <w:lang w:val="fr-FR"/>
              </w:rPr>
              <w:t xml:space="preserve"> – Procès-verbal de la septième séance plénière</w:t>
            </w:r>
          </w:p>
        </w:tc>
        <w:tc>
          <w:tcPr>
            <w:tcW w:w="2127" w:type="dxa"/>
          </w:tcPr>
          <w:p w14:paraId="012B16B2" w14:textId="3EB350F6" w:rsidR="00B237CC" w:rsidRPr="00A641BE" w:rsidRDefault="00B237CC" w:rsidP="00437BD9">
            <w:pPr>
              <w:pStyle w:val="Tablehead"/>
              <w:keepNext w:val="0"/>
              <w:jc w:val="left"/>
              <w:rPr>
                <w:sz w:val="22"/>
                <w:lang w:val="fr-FR"/>
              </w:rPr>
            </w:pPr>
            <w:r w:rsidRPr="00A641BE">
              <w:rPr>
                <w:sz w:val="22"/>
                <w:lang w:val="fr-FR"/>
              </w:rPr>
              <w:t>Paragraphes 4.1 à</w:t>
            </w:r>
            <w:r w:rsidR="003B7DE7">
              <w:rPr>
                <w:sz w:val="22"/>
                <w:lang w:val="fr-FR"/>
              </w:rPr>
              <w:t> </w:t>
            </w:r>
            <w:r w:rsidRPr="00A641BE">
              <w:rPr>
                <w:sz w:val="22"/>
                <w:lang w:val="fr-FR"/>
              </w:rPr>
              <w:t>4.4</w:t>
            </w:r>
          </w:p>
          <w:p w14:paraId="2ECA519F" w14:textId="393BE68C" w:rsidR="00B237CC" w:rsidRPr="00A641BE" w:rsidRDefault="00B237CC" w:rsidP="00437BD9">
            <w:pPr>
              <w:pStyle w:val="Tablehead"/>
              <w:keepNext w:val="0"/>
              <w:jc w:val="left"/>
              <w:rPr>
                <w:sz w:val="22"/>
                <w:lang w:val="fr-FR"/>
              </w:rPr>
            </w:pPr>
            <w:r w:rsidRPr="00A641BE">
              <w:rPr>
                <w:sz w:val="22"/>
                <w:lang w:val="fr-FR"/>
              </w:rPr>
              <w:t xml:space="preserve">Approbation du Document </w:t>
            </w:r>
            <w:hyperlink r:id="rId22" w:history="1">
              <w:r w:rsidRPr="00EA3EF0">
                <w:rPr>
                  <w:rStyle w:val="Hyperlink"/>
                  <w:sz w:val="22"/>
                  <w:lang w:val="fr-FR"/>
                </w:rPr>
                <w:t>303</w:t>
              </w:r>
            </w:hyperlink>
          </w:p>
        </w:tc>
        <w:tc>
          <w:tcPr>
            <w:tcW w:w="11340" w:type="dxa"/>
          </w:tcPr>
          <w:p w14:paraId="0D9BBC12" w14:textId="5F75D587" w:rsidR="00B237CC" w:rsidRPr="00A641BE" w:rsidRDefault="00B237CC" w:rsidP="003B7DE7">
            <w:pPr>
              <w:pStyle w:val="Tabletext"/>
              <w:spacing w:before="80"/>
              <w:rPr>
                <w:b/>
                <w:sz w:val="22"/>
                <w:lang w:val="fr-FR"/>
              </w:rPr>
            </w:pPr>
            <w:r w:rsidRPr="00A641BE">
              <w:rPr>
                <w:b/>
                <w:sz w:val="22"/>
                <w:lang w:val="fr-FR"/>
              </w:rPr>
              <w:t>Instructions données au Bureau des radiocommunications concernant l'application de l'Annexe 7 révisée de l'Appendice</w:t>
            </w:r>
            <w:r w:rsidR="003B7DE7">
              <w:rPr>
                <w:b/>
                <w:sz w:val="22"/>
                <w:lang w:val="fr-FR"/>
              </w:rPr>
              <w:t> </w:t>
            </w:r>
            <w:r w:rsidRPr="00A641BE">
              <w:rPr>
                <w:b/>
                <w:sz w:val="22"/>
                <w:lang w:val="fr-FR"/>
              </w:rPr>
              <w:t>30 du RR et des Résolutions associées</w:t>
            </w:r>
          </w:p>
          <w:p w14:paraId="2A8ABB4F" w14:textId="77777777" w:rsidR="00B237CC" w:rsidRPr="00A641BE" w:rsidRDefault="00B237CC" w:rsidP="00437BD9">
            <w:pPr>
              <w:pStyle w:val="Tabletext"/>
              <w:ind w:left="284" w:hanging="284"/>
              <w:rPr>
                <w:b/>
                <w:bCs/>
                <w:sz w:val="22"/>
                <w:lang w:val="fr-FR"/>
              </w:rPr>
            </w:pPr>
            <w:r w:rsidRPr="00A641BE">
              <w:rPr>
                <w:b/>
                <w:bCs/>
                <w:sz w:val="22"/>
                <w:lang w:val="fr-FR"/>
              </w:rPr>
              <w:t>1</w:t>
            </w:r>
            <w:r w:rsidRPr="00A641BE">
              <w:rPr>
                <w:b/>
                <w:bCs/>
                <w:sz w:val="22"/>
                <w:lang w:val="fr-FR"/>
              </w:rPr>
              <w:tab/>
              <w:t>Application des restrictions révisées applicables aux positions orbitales pour les satellites de radiodiffusion desservant une zone de la Région 1 et utilisant une fréquence de la bande 11,7-12,2 GHz</w:t>
            </w:r>
          </w:p>
          <w:p w14:paraId="27408517" w14:textId="27A42AE6" w:rsidR="00B237CC" w:rsidRPr="00A641BE" w:rsidRDefault="00B237CC" w:rsidP="00437BD9">
            <w:pPr>
              <w:pStyle w:val="Tabletext"/>
              <w:ind w:left="284" w:hanging="284"/>
              <w:rPr>
                <w:sz w:val="22"/>
                <w:lang w:val="fr-FR"/>
              </w:rPr>
            </w:pPr>
            <w:r w:rsidRPr="00A641BE">
              <w:rPr>
                <w:sz w:val="22"/>
                <w:lang w:val="fr-FR"/>
              </w:rPr>
              <w:tab/>
              <w:t xml:space="preserve">Lorsque, au titre de l'Article 4 de l'Appendice </w:t>
            </w:r>
            <w:r w:rsidRPr="00A641BE">
              <w:rPr>
                <w:b/>
                <w:sz w:val="22"/>
                <w:lang w:val="fr-FR"/>
              </w:rPr>
              <w:t xml:space="preserve">30 </w:t>
            </w:r>
            <w:r w:rsidRPr="00A641BE">
              <w:rPr>
                <w:bCs/>
                <w:sz w:val="22"/>
                <w:lang w:val="fr-FR"/>
              </w:rPr>
              <w:t>du RR</w:t>
            </w:r>
            <w:r w:rsidRPr="00A641BE">
              <w:rPr>
                <w:sz w:val="22"/>
                <w:lang w:val="fr-FR"/>
              </w:rPr>
              <w:t>, une administration de la Région 1 ou 3 soumet au Bureau un nouveau réseau à satellite ayant des assignations de fréquence dans la bande 11,7-12,2 GHz, desservant une zone de la Région 1 depuis l'ouest et avec une position nominale sur l'orbite plus occidentale que 37,2° W, les assignations de fréquence de ce réseau à satellite s</w:t>
            </w:r>
            <w:r w:rsidR="00437BD9">
              <w:rPr>
                <w:sz w:val="22"/>
                <w:lang w:val="fr-FR"/>
              </w:rPr>
              <w:t>er</w:t>
            </w:r>
            <w:r w:rsidRPr="00A641BE">
              <w:rPr>
                <w:sz w:val="22"/>
                <w:lang w:val="fr-FR"/>
              </w:rPr>
              <w:t>ont considérées comme recevables uniquement si une partie terrestre située dans la partie occidentale de la Région 1, telle que déterminée par l'application logicielle pertinente du Bureau des radiocommunications (à l'exception de tout territoire bénéficiant d'un statut particulier (par exemple l'Antarctique)), est visible depuis la position nominale sur l'orbite de ce réseau à satellite (c'est-à-dire que l'angle d'élévation est supérieur à</w:t>
            </w:r>
            <w:r w:rsidR="003B7DE7">
              <w:rPr>
                <w:sz w:val="22"/>
                <w:lang w:val="fr-FR"/>
              </w:rPr>
              <w:t> </w:t>
            </w:r>
            <w:r w:rsidRPr="00A641BE">
              <w:rPr>
                <w:sz w:val="22"/>
                <w:lang w:val="fr-FR"/>
              </w:rPr>
              <w:t>5 degrés). Dans le cas contraire, le Bureau retourne</w:t>
            </w:r>
            <w:r w:rsidR="00437BD9">
              <w:rPr>
                <w:sz w:val="22"/>
                <w:lang w:val="fr-FR"/>
              </w:rPr>
              <w:t>ra</w:t>
            </w:r>
            <w:r w:rsidRPr="00A641BE">
              <w:rPr>
                <w:sz w:val="22"/>
                <w:lang w:val="fr-FR"/>
              </w:rPr>
              <w:t xml:space="preserve"> ces assignations à l'administration notificatrice.</w:t>
            </w:r>
          </w:p>
          <w:p w14:paraId="713E9074" w14:textId="77777777" w:rsidR="00B237CC" w:rsidRPr="00A641BE" w:rsidRDefault="00B237CC" w:rsidP="00437BD9">
            <w:pPr>
              <w:pStyle w:val="Tabletext"/>
              <w:ind w:left="284" w:hanging="284"/>
              <w:rPr>
                <w:b/>
                <w:bCs/>
                <w:sz w:val="22"/>
                <w:lang w:val="fr-FR"/>
              </w:rPr>
            </w:pPr>
            <w:r w:rsidRPr="00A641BE">
              <w:rPr>
                <w:b/>
                <w:bCs/>
                <w:sz w:val="22"/>
                <w:lang w:val="fr-FR"/>
              </w:rPr>
              <w:t>2</w:t>
            </w:r>
            <w:r w:rsidRPr="00A641BE">
              <w:rPr>
                <w:b/>
                <w:bCs/>
                <w:sz w:val="22"/>
                <w:lang w:val="fr-FR"/>
              </w:rPr>
              <w:tab/>
              <w:t>Application des restrictions révisées applicables aux positions orbitales pour les satellites de radiodiffusion desservant une zone de la Région 2 et utilisant une fréquence de la bande 12,2-12,7 GHz</w:t>
            </w:r>
          </w:p>
          <w:p w14:paraId="22AA071F" w14:textId="2F91C67C" w:rsidR="00B237CC" w:rsidRPr="00A641BE" w:rsidRDefault="00B237CC" w:rsidP="00F75811">
            <w:pPr>
              <w:pStyle w:val="Tabletext"/>
              <w:ind w:left="284" w:hanging="284"/>
              <w:rPr>
                <w:sz w:val="22"/>
                <w:lang w:val="fr-FR"/>
              </w:rPr>
            </w:pPr>
            <w:r w:rsidRPr="00A641BE">
              <w:rPr>
                <w:sz w:val="22"/>
                <w:lang w:val="fr-FR"/>
              </w:rPr>
              <w:tab/>
              <w:t xml:space="preserve">Lorsque, au titre de l'Article 4 de l'Appendice </w:t>
            </w:r>
            <w:r w:rsidRPr="00A641BE">
              <w:rPr>
                <w:b/>
                <w:sz w:val="22"/>
                <w:lang w:val="fr-FR"/>
              </w:rPr>
              <w:t xml:space="preserve">30 </w:t>
            </w:r>
            <w:r w:rsidRPr="00A641BE">
              <w:rPr>
                <w:bCs/>
                <w:sz w:val="22"/>
                <w:lang w:val="fr-FR"/>
              </w:rPr>
              <w:t>du RR</w:t>
            </w:r>
            <w:r w:rsidRPr="00A641BE">
              <w:rPr>
                <w:sz w:val="22"/>
                <w:lang w:val="fr-FR"/>
              </w:rPr>
              <w:t>, une administration de la Région 2 soumet au Bureau un nouveau réseau à satellite ayant des assignations de fréquence dans la bande 12,2-12,5 GHz (respectivement 12,5-12,7 GHz), desservant une zone de la Région 2 depuis l'est et avec une position nominale sur l'orbite plus orientale que 44⁰ W (respectivement 54⁰ W), les assignations de fréquence de ce réseau à satellite s</w:t>
            </w:r>
            <w:r w:rsidR="00437BD9">
              <w:rPr>
                <w:sz w:val="22"/>
                <w:lang w:val="fr-FR"/>
              </w:rPr>
              <w:t>er</w:t>
            </w:r>
            <w:r w:rsidRPr="00A641BE">
              <w:rPr>
                <w:sz w:val="22"/>
                <w:lang w:val="fr-FR"/>
              </w:rPr>
              <w:t>ont considérées comme étant recevables uniquement si une partie terrestre située dans la partie orientale de la Région 2, telle que déterminée par l'application logicielle pertinente du Bureau des radiocommunications (à l'exception de tout territoire bénéficiant d'un statut particulier (par exemple l'Antarctique)), est visible depuis la position orbitale nominale de ce réseau à satellite (c'est-à-dire que l'angle d'élévation est supérieur à 5 degrés). Dans le cas contraire, le Bureau retourne</w:t>
            </w:r>
            <w:r w:rsidR="00437BD9">
              <w:rPr>
                <w:sz w:val="22"/>
                <w:lang w:val="fr-FR"/>
              </w:rPr>
              <w:t>ra</w:t>
            </w:r>
            <w:r w:rsidRPr="00A641BE">
              <w:rPr>
                <w:sz w:val="22"/>
                <w:lang w:val="fr-FR"/>
              </w:rPr>
              <w:t xml:space="preserve"> ces assignations à l'administration notificatrice. </w:t>
            </w:r>
          </w:p>
        </w:tc>
      </w:tr>
    </w:tbl>
    <w:p w14:paraId="3668C541" w14:textId="6C6431E4" w:rsidR="00F75811" w:rsidRPr="007E1D70" w:rsidRDefault="00F75811">
      <w:pPr>
        <w:rPr>
          <w:b/>
          <w:lang w:val="fr-CH"/>
        </w:rPr>
      </w:pPr>
      <w:r w:rsidRPr="007E1D70">
        <w:rPr>
          <w:b/>
          <w:lang w:val="fr-CH"/>
        </w:rPr>
        <w:br w:type="page"/>
      </w:r>
    </w:p>
    <w:tbl>
      <w:tblPr>
        <w:tblStyle w:val="TableGrid"/>
        <w:tblW w:w="15163" w:type="dxa"/>
        <w:tblLayout w:type="fixed"/>
        <w:tblLook w:val="04A0" w:firstRow="1" w:lastRow="0" w:firstColumn="1" w:lastColumn="0" w:noHBand="0" w:noVBand="1"/>
      </w:tblPr>
      <w:tblGrid>
        <w:gridCol w:w="1696"/>
        <w:gridCol w:w="2127"/>
        <w:gridCol w:w="11340"/>
      </w:tblGrid>
      <w:tr w:rsidR="00F75811" w:rsidRPr="00AD36B1" w14:paraId="58F7869B" w14:textId="77777777" w:rsidTr="003B7DE7">
        <w:trPr>
          <w:trHeight w:val="1139"/>
          <w:tblHeader/>
        </w:trPr>
        <w:tc>
          <w:tcPr>
            <w:tcW w:w="1696" w:type="dxa"/>
          </w:tcPr>
          <w:p w14:paraId="1B8A122E" w14:textId="77777777" w:rsidR="00F75811" w:rsidRPr="00A641BE" w:rsidRDefault="00F75811" w:rsidP="007E1D70">
            <w:pPr>
              <w:pStyle w:val="Tablehead"/>
              <w:keepNext w:val="0"/>
              <w:rPr>
                <w:sz w:val="22"/>
                <w:lang w:val="fr-FR"/>
              </w:rPr>
            </w:pPr>
            <w:r w:rsidRPr="00A641BE">
              <w:rPr>
                <w:sz w:val="22"/>
                <w:lang w:val="fr-FR"/>
              </w:rPr>
              <w:lastRenderedPageBreak/>
              <w:t>Document source (procès</w:t>
            </w:r>
            <w:r w:rsidRPr="00A641BE">
              <w:rPr>
                <w:sz w:val="22"/>
                <w:lang w:val="fr-FR"/>
              </w:rPr>
              <w:noBreakHyphen/>
              <w:t>verbal de la plénière)</w:t>
            </w:r>
          </w:p>
        </w:tc>
        <w:tc>
          <w:tcPr>
            <w:tcW w:w="2127" w:type="dxa"/>
          </w:tcPr>
          <w:p w14:paraId="1AE81F6B" w14:textId="77777777" w:rsidR="00F75811" w:rsidRPr="00A641BE" w:rsidRDefault="00F75811" w:rsidP="007E1D70">
            <w:pPr>
              <w:pStyle w:val="Tablehead"/>
              <w:keepNext w:val="0"/>
              <w:rPr>
                <w:sz w:val="22"/>
                <w:lang w:val="fr-FR"/>
              </w:rPr>
            </w:pPr>
            <w:r w:rsidRPr="00A641BE">
              <w:rPr>
                <w:sz w:val="22"/>
                <w:lang w:val="fr-FR"/>
              </w:rPr>
              <w:t>Contexte de la décision de la plénière</w:t>
            </w:r>
          </w:p>
        </w:tc>
        <w:tc>
          <w:tcPr>
            <w:tcW w:w="11340" w:type="dxa"/>
          </w:tcPr>
          <w:p w14:paraId="560A01E5" w14:textId="77777777" w:rsidR="00F75811" w:rsidRPr="00A641BE" w:rsidRDefault="00F75811" w:rsidP="007E1D70">
            <w:pPr>
              <w:pStyle w:val="Tablehead"/>
              <w:keepNext w:val="0"/>
              <w:rPr>
                <w:sz w:val="22"/>
                <w:lang w:val="fr-FR"/>
              </w:rPr>
            </w:pPr>
            <w:r w:rsidRPr="00A641BE">
              <w:rPr>
                <w:sz w:val="22"/>
                <w:lang w:val="fr-FR"/>
              </w:rPr>
              <w:t>Décision de la plénière et texte associé</w:t>
            </w:r>
          </w:p>
        </w:tc>
      </w:tr>
      <w:tr w:rsidR="00F75811" w:rsidRPr="00AD36B1" w14:paraId="5F3030B6" w14:textId="77777777" w:rsidTr="00F75811">
        <w:tc>
          <w:tcPr>
            <w:tcW w:w="1696" w:type="dxa"/>
            <w:vMerge w:val="restart"/>
          </w:tcPr>
          <w:p w14:paraId="494F3EA4" w14:textId="2AF3CF09" w:rsidR="00F75811" w:rsidRPr="00F75811" w:rsidRDefault="00F75811" w:rsidP="00437BD9">
            <w:pPr>
              <w:pStyle w:val="Tablehead"/>
              <w:keepNext w:val="0"/>
              <w:jc w:val="left"/>
              <w:rPr>
                <w:sz w:val="22"/>
                <w:lang w:val="fr-CH"/>
              </w:rPr>
            </w:pPr>
          </w:p>
        </w:tc>
        <w:tc>
          <w:tcPr>
            <w:tcW w:w="2127" w:type="dxa"/>
          </w:tcPr>
          <w:p w14:paraId="0022F0CD" w14:textId="77777777" w:rsidR="00F75811" w:rsidRPr="00A641BE" w:rsidRDefault="00F75811" w:rsidP="00437BD9">
            <w:pPr>
              <w:pStyle w:val="Tablehead"/>
              <w:keepNext w:val="0"/>
              <w:jc w:val="left"/>
              <w:rPr>
                <w:sz w:val="22"/>
                <w:lang w:val="fr-FR"/>
              </w:rPr>
            </w:pPr>
          </w:p>
        </w:tc>
        <w:tc>
          <w:tcPr>
            <w:tcW w:w="11340" w:type="dxa"/>
          </w:tcPr>
          <w:p w14:paraId="06786249" w14:textId="77777777" w:rsidR="00F75811" w:rsidRPr="00A641BE" w:rsidRDefault="00F75811" w:rsidP="00F75811">
            <w:pPr>
              <w:pStyle w:val="Tabletext"/>
              <w:rPr>
                <w:b/>
                <w:bCs/>
                <w:sz w:val="22"/>
                <w:lang w:val="fr-FR"/>
              </w:rPr>
            </w:pPr>
            <w:r w:rsidRPr="00A641BE">
              <w:rPr>
                <w:b/>
                <w:bCs/>
                <w:sz w:val="22"/>
                <w:lang w:val="fr-FR"/>
              </w:rPr>
              <w:t>3</w:t>
            </w:r>
            <w:r w:rsidRPr="00A641BE">
              <w:rPr>
                <w:b/>
                <w:bCs/>
                <w:sz w:val="22"/>
                <w:lang w:val="fr-FR"/>
              </w:rPr>
              <w:tab/>
              <w:t>Application de la Résolution COM5/2 (CMR-19)</w:t>
            </w:r>
          </w:p>
          <w:p w14:paraId="1FA7F2A3" w14:textId="24C4689B" w:rsidR="00F75811" w:rsidRDefault="003B7DE7" w:rsidP="003B7DE7">
            <w:pPr>
              <w:pStyle w:val="Tabletext"/>
              <w:keepNext/>
              <w:keepLines/>
              <w:ind w:left="284" w:hanging="284"/>
              <w:rPr>
                <w:sz w:val="22"/>
                <w:lang w:val="fr-FR"/>
              </w:rPr>
            </w:pPr>
            <w:r>
              <w:rPr>
                <w:sz w:val="22"/>
                <w:lang w:val="fr-FR"/>
              </w:rPr>
              <w:tab/>
            </w:r>
            <w:r w:rsidR="00F75811" w:rsidRPr="00A641BE">
              <w:rPr>
                <w:sz w:val="22"/>
                <w:lang w:val="fr-FR"/>
              </w:rPr>
              <w:t xml:space="preserve">Selon le point 2 du </w:t>
            </w:r>
            <w:r w:rsidR="00F75811" w:rsidRPr="00A641BE">
              <w:rPr>
                <w:i/>
                <w:iCs/>
                <w:sz w:val="22"/>
                <w:lang w:val="fr-FR"/>
              </w:rPr>
              <w:t>décide</w:t>
            </w:r>
            <w:r w:rsidR="00F75811" w:rsidRPr="00A641BE">
              <w:rPr>
                <w:sz w:val="22"/>
                <w:lang w:val="fr-FR"/>
              </w:rPr>
              <w:t xml:space="preserve"> de la Résolution </w:t>
            </w:r>
            <w:r w:rsidR="00F75811" w:rsidRPr="00A641BE">
              <w:rPr>
                <w:b/>
                <w:bCs/>
                <w:sz w:val="22"/>
                <w:lang w:val="fr-FR"/>
              </w:rPr>
              <w:t>COM5/2 (CMR-19)</w:t>
            </w:r>
            <w:r w:rsidR="00F75811" w:rsidRPr="00A641BE">
              <w:rPr>
                <w:sz w:val="22"/>
                <w:lang w:val="fr-FR"/>
              </w:rPr>
              <w:t xml:space="preserve">, l'identification des assignations de fréquence de certains réseaux associées à des antennes de station terrienne de 40 cm et 45 cm de diamètre repose uniquement sur une marge de protection équivalente et un espacement orbital minimal inférieur à 9 degrés. Ce point du </w:t>
            </w:r>
            <w:r w:rsidR="00F75811" w:rsidRPr="00A641BE">
              <w:rPr>
                <w:i/>
                <w:iCs/>
                <w:sz w:val="22"/>
                <w:lang w:val="fr-FR"/>
              </w:rPr>
              <w:t>décide</w:t>
            </w:r>
            <w:r w:rsidR="00F75811" w:rsidRPr="00A641BE">
              <w:rPr>
                <w:sz w:val="22"/>
                <w:lang w:val="fr-FR"/>
              </w:rPr>
              <w:t xml:space="preserve"> s'applique uniquement dans la bande de fréquences 11,7-12,2 GHz. Le réseau à satellite HISPASAT-37A qui figure dans l'Annexe 1 de cette Résolution a des assignations de fréquence qui chevauchent en partie la bande de fréquences 11,7-12,2 GHz. Afin d'assurer la protection de ces assignations vis-à-vis des réseaux à satellite non planifiés, les critères figurant dans la Résolution </w:t>
            </w:r>
            <w:r w:rsidR="00F75811" w:rsidRPr="00A641BE">
              <w:rPr>
                <w:b/>
                <w:bCs/>
                <w:sz w:val="22"/>
                <w:lang w:val="fr-FR"/>
              </w:rPr>
              <w:t>COM5/4 (CMR-19)</w:t>
            </w:r>
            <w:r w:rsidR="00F75811" w:rsidRPr="00A641BE">
              <w:rPr>
                <w:sz w:val="22"/>
                <w:lang w:val="fr-FR"/>
              </w:rPr>
              <w:t xml:space="preserve"> doivent être appliqués. Toutefois, pour protéger ces assignations vis-à-vis des nouvelles soumissions au titre de l'Article 4 qui sont assujetties à la Résolution </w:t>
            </w:r>
            <w:r w:rsidR="00F75811" w:rsidRPr="00A641BE">
              <w:rPr>
                <w:b/>
                <w:bCs/>
                <w:sz w:val="22"/>
                <w:lang w:val="fr-FR"/>
              </w:rPr>
              <w:t>COM5/2 (CMR-19)</w:t>
            </w:r>
            <w:r w:rsidR="00F75811" w:rsidRPr="00A641BE">
              <w:rPr>
                <w:sz w:val="22"/>
                <w:lang w:val="fr-FR"/>
              </w:rPr>
              <w:t xml:space="preserve">, les critères indiqués dans le point 2 du </w:t>
            </w:r>
            <w:r w:rsidR="00F75811" w:rsidRPr="00A641BE">
              <w:rPr>
                <w:i/>
                <w:iCs/>
                <w:sz w:val="22"/>
                <w:lang w:val="fr-FR"/>
              </w:rPr>
              <w:t>décide</w:t>
            </w:r>
            <w:r w:rsidR="00F75811" w:rsidRPr="00A641BE">
              <w:rPr>
                <w:sz w:val="22"/>
                <w:lang w:val="fr-FR"/>
              </w:rPr>
              <w:t xml:space="preserve"> de cette Résolution doivent être appliqués. </w:t>
            </w:r>
          </w:p>
          <w:p w14:paraId="7935E4A8" w14:textId="0713DA3C" w:rsidR="00F75811" w:rsidRPr="00A641BE" w:rsidRDefault="00F75811" w:rsidP="00F75811">
            <w:pPr>
              <w:pStyle w:val="Tabletext"/>
              <w:keepNext/>
              <w:keepLines/>
              <w:rPr>
                <w:b/>
                <w:bCs/>
                <w:sz w:val="22"/>
                <w:lang w:val="fr-FR"/>
              </w:rPr>
            </w:pPr>
            <w:r w:rsidRPr="00A641BE">
              <w:rPr>
                <w:b/>
                <w:bCs/>
                <w:sz w:val="22"/>
                <w:lang w:val="fr-FR"/>
              </w:rPr>
              <w:t>4</w:t>
            </w:r>
            <w:r w:rsidRPr="00A641BE">
              <w:rPr>
                <w:b/>
                <w:bCs/>
                <w:sz w:val="22"/>
                <w:lang w:val="fr-FR"/>
              </w:rPr>
              <w:tab/>
              <w:t>Application de la nouvelle Résolution COM5/3 (CMR</w:t>
            </w:r>
            <w:r w:rsidRPr="00A641BE">
              <w:rPr>
                <w:b/>
                <w:bCs/>
                <w:sz w:val="22"/>
                <w:lang w:val="fr-FR"/>
              </w:rPr>
              <w:noBreakHyphen/>
              <w:t>19)</w:t>
            </w:r>
          </w:p>
          <w:p w14:paraId="2391FAB8" w14:textId="77777777" w:rsidR="00F75811" w:rsidRPr="00A641BE" w:rsidRDefault="00F75811" w:rsidP="00F75811">
            <w:pPr>
              <w:pStyle w:val="Tabletext"/>
              <w:keepNext/>
              <w:keepLines/>
              <w:tabs>
                <w:tab w:val="clear" w:pos="284"/>
                <w:tab w:val="clear" w:pos="567"/>
              </w:tabs>
              <w:ind w:left="322"/>
              <w:rPr>
                <w:b/>
                <w:bCs/>
                <w:sz w:val="22"/>
                <w:lang w:val="fr-FR"/>
              </w:rPr>
            </w:pPr>
            <w:r w:rsidRPr="00A641BE">
              <w:rPr>
                <w:b/>
                <w:bCs/>
                <w:i/>
                <w:sz w:val="22"/>
                <w:lang w:val="fr-FR"/>
              </w:rPr>
              <w:t>a)</w:t>
            </w:r>
            <w:r w:rsidRPr="00A641BE">
              <w:rPr>
                <w:b/>
                <w:bCs/>
                <w:i/>
                <w:sz w:val="22"/>
                <w:lang w:val="fr-FR"/>
              </w:rPr>
              <w:tab/>
            </w:r>
            <w:r w:rsidRPr="00A641BE">
              <w:rPr>
                <w:b/>
                <w:bCs/>
                <w:sz w:val="22"/>
                <w:lang w:val="fr-FR"/>
              </w:rPr>
              <w:t xml:space="preserve">Point 2 du </w:t>
            </w:r>
            <w:r w:rsidRPr="00A641BE">
              <w:rPr>
                <w:b/>
                <w:bCs/>
                <w:i/>
                <w:sz w:val="22"/>
                <w:lang w:val="fr-FR"/>
              </w:rPr>
              <w:t>décide</w:t>
            </w:r>
            <w:r w:rsidRPr="00A641BE">
              <w:rPr>
                <w:b/>
                <w:bCs/>
                <w:sz w:val="22"/>
                <w:lang w:val="fr-FR"/>
              </w:rPr>
              <w:t xml:space="preserve"> sur la date de réception des soumissions </w:t>
            </w:r>
          </w:p>
          <w:p w14:paraId="324C17B9" w14:textId="77777777" w:rsidR="00F75811" w:rsidRPr="00A641BE" w:rsidRDefault="00F75811" w:rsidP="00F75811">
            <w:pPr>
              <w:pStyle w:val="Tabletext"/>
              <w:tabs>
                <w:tab w:val="clear" w:pos="284"/>
              </w:tabs>
              <w:ind w:left="889"/>
              <w:rPr>
                <w:sz w:val="22"/>
                <w:lang w:val="fr-FR"/>
              </w:rPr>
            </w:pPr>
            <w:r w:rsidRPr="00A641BE">
              <w:rPr>
                <w:sz w:val="22"/>
                <w:lang w:val="fr-FR"/>
              </w:rPr>
              <w:t xml:space="preserve">Les soumissions visées au point 2 du </w:t>
            </w:r>
            <w:r w:rsidRPr="00A641BE">
              <w:rPr>
                <w:i/>
                <w:iCs/>
                <w:sz w:val="22"/>
                <w:lang w:val="fr-FR"/>
              </w:rPr>
              <w:t>décide</w:t>
            </w:r>
            <w:r w:rsidRPr="00A641BE">
              <w:rPr>
                <w:sz w:val="22"/>
                <w:lang w:val="fr-FR"/>
              </w:rPr>
              <w:t xml:space="preserve"> recevront la même date de réception du 21 mai 2020. La date officielle de réception et la date de protection seront le 21 mai 2020 si la soumission est complète. Si la soumission est incomplète et si une réponse à la télécopie envoyée par le Bureau pour demander les renseignements manquants est reçue le 21 mai 2020 ou avant cette date, la date officielle de réception et la date de protection seront le 21 mai 2020. Si la réponse à la télécopie du Bureau est reçue après le 21 mai 2020, la date de protection sera la même que la date de réception officielle, déterminée conformément à la Règle de procédure relative à la recevabilité des fiches de notification. La date de protection déterminée sera utilisée aux fins de l'examen mené par le Bureau en vertu des dispositions pertinentes des Appendices </w:t>
            </w:r>
            <w:r w:rsidRPr="00A641BE">
              <w:rPr>
                <w:b/>
                <w:sz w:val="22"/>
                <w:lang w:val="fr-FR"/>
              </w:rPr>
              <w:t>30</w:t>
            </w:r>
            <w:r w:rsidRPr="00A641BE">
              <w:rPr>
                <w:bCs/>
                <w:sz w:val="22"/>
                <w:lang w:val="fr-FR"/>
              </w:rPr>
              <w:t xml:space="preserve"> et</w:t>
            </w:r>
            <w:r w:rsidRPr="00A641BE">
              <w:rPr>
                <w:b/>
                <w:sz w:val="22"/>
                <w:lang w:val="fr-FR"/>
              </w:rPr>
              <w:t xml:space="preserve"> 30A </w:t>
            </w:r>
            <w:r w:rsidRPr="00A641BE">
              <w:rPr>
                <w:bCs/>
                <w:sz w:val="22"/>
                <w:lang w:val="fr-FR"/>
              </w:rPr>
              <w:t>du RR</w:t>
            </w:r>
            <w:r w:rsidRPr="00A641BE">
              <w:rPr>
                <w:sz w:val="22"/>
                <w:lang w:val="fr-FR"/>
              </w:rPr>
              <w:t>. Pour les soumissions ayant la même date de réception officielle, le Bureau tiendra compte de l'ensemble de ces soumissions dans le cadre de son examen technique et réglementaire.</w:t>
            </w:r>
          </w:p>
          <w:p w14:paraId="2C36D47F" w14:textId="77777777" w:rsidR="00F75811" w:rsidRPr="00A641BE" w:rsidRDefault="00F75811" w:rsidP="00F75811">
            <w:pPr>
              <w:pStyle w:val="Tabletext"/>
              <w:tabs>
                <w:tab w:val="clear" w:pos="284"/>
                <w:tab w:val="clear" w:pos="567"/>
              </w:tabs>
              <w:ind w:left="322"/>
              <w:rPr>
                <w:sz w:val="22"/>
                <w:lang w:val="fr-FR"/>
              </w:rPr>
            </w:pPr>
            <w:r w:rsidRPr="00A641BE">
              <w:rPr>
                <w:b/>
                <w:bCs/>
                <w:i/>
                <w:sz w:val="22"/>
                <w:lang w:val="fr-FR"/>
              </w:rPr>
              <w:t>b)</w:t>
            </w:r>
            <w:r w:rsidRPr="00A641BE">
              <w:rPr>
                <w:b/>
                <w:bCs/>
                <w:i/>
                <w:sz w:val="22"/>
                <w:lang w:val="fr-FR"/>
              </w:rPr>
              <w:tab/>
            </w:r>
            <w:r w:rsidRPr="00A641BE">
              <w:rPr>
                <w:b/>
                <w:bCs/>
                <w:iCs/>
                <w:sz w:val="22"/>
                <w:lang w:val="fr-FR"/>
              </w:rPr>
              <w:t xml:space="preserve">Point 3 du </w:t>
            </w:r>
            <w:r w:rsidRPr="00A641BE">
              <w:rPr>
                <w:b/>
                <w:bCs/>
                <w:i/>
                <w:sz w:val="22"/>
                <w:lang w:val="fr-FR"/>
              </w:rPr>
              <w:t>décide</w:t>
            </w:r>
            <w:r w:rsidRPr="00A641BE">
              <w:rPr>
                <w:b/>
                <w:bCs/>
                <w:iCs/>
                <w:sz w:val="22"/>
                <w:lang w:val="fr-FR"/>
              </w:rPr>
              <w:t xml:space="preserve"> sur la date de réception des soumissions</w:t>
            </w:r>
          </w:p>
          <w:p w14:paraId="4E82E021" w14:textId="77777777" w:rsidR="00F75811" w:rsidRPr="00A641BE" w:rsidRDefault="00F75811" w:rsidP="00F75811">
            <w:pPr>
              <w:pStyle w:val="Tabletext"/>
              <w:tabs>
                <w:tab w:val="clear" w:pos="284"/>
              </w:tabs>
              <w:ind w:left="889"/>
              <w:rPr>
                <w:sz w:val="22"/>
                <w:lang w:val="fr-FR"/>
              </w:rPr>
            </w:pPr>
            <w:r w:rsidRPr="00A641BE">
              <w:rPr>
                <w:sz w:val="22"/>
                <w:lang w:val="fr-FR"/>
              </w:rPr>
              <w:t xml:space="preserve">Les soumissions visées au point 3 du </w:t>
            </w:r>
            <w:r w:rsidRPr="00A641BE">
              <w:rPr>
                <w:i/>
                <w:sz w:val="22"/>
                <w:lang w:val="fr-FR"/>
              </w:rPr>
              <w:t>décide</w:t>
            </w:r>
            <w:r w:rsidRPr="00A641BE">
              <w:rPr>
                <w:sz w:val="22"/>
                <w:lang w:val="fr-FR"/>
              </w:rPr>
              <w:t xml:space="preserve"> (c'est-à-dire les soumissions présentées au titre du § 4.1.3 de l'Appendice </w:t>
            </w:r>
            <w:r w:rsidRPr="00A641BE">
              <w:rPr>
                <w:b/>
                <w:sz w:val="22"/>
                <w:lang w:val="fr-FR"/>
              </w:rPr>
              <w:t>30</w:t>
            </w:r>
            <w:r w:rsidRPr="00A641BE">
              <w:rPr>
                <w:sz w:val="22"/>
                <w:lang w:val="fr-FR"/>
              </w:rPr>
              <w:t xml:space="preserve"> </w:t>
            </w:r>
            <w:r w:rsidRPr="00A641BE">
              <w:rPr>
                <w:bCs/>
                <w:sz w:val="22"/>
                <w:lang w:val="fr-FR"/>
              </w:rPr>
              <w:t>du RR</w:t>
            </w:r>
            <w:r w:rsidRPr="00A641BE">
              <w:rPr>
                <w:sz w:val="22"/>
                <w:lang w:val="fr-FR"/>
              </w:rPr>
              <w:t xml:space="preserve"> dans la bande de fréquences 11,7-12,5 GHz et les assignations aux liaisons de connexion dans les bandes de fréquences 14,5-14,8 GHz et 17,3-18,1 GHz au titre de l'Appendice </w:t>
            </w:r>
            <w:r w:rsidRPr="00A641BE">
              <w:rPr>
                <w:b/>
                <w:bCs/>
                <w:sz w:val="22"/>
                <w:lang w:val="fr-FR"/>
              </w:rPr>
              <w:t xml:space="preserve">30A </w:t>
            </w:r>
            <w:r w:rsidRPr="00A641BE">
              <w:rPr>
                <w:bCs/>
                <w:sz w:val="22"/>
                <w:lang w:val="fr-FR"/>
              </w:rPr>
              <w:t>du RR</w:t>
            </w:r>
            <w:r w:rsidRPr="00A641BE">
              <w:rPr>
                <w:sz w:val="22"/>
                <w:lang w:val="fr-FR"/>
              </w:rPr>
              <w:t xml:space="preserve">) portant sur une position sur les arcs orbitaux pour lesquels les restrictions de l'Annexe 7 de l'Appendice </w:t>
            </w:r>
            <w:r w:rsidRPr="00A641BE">
              <w:rPr>
                <w:b/>
                <w:sz w:val="22"/>
                <w:lang w:val="fr-FR"/>
              </w:rPr>
              <w:t xml:space="preserve">30 (Rév.CMR-15) </w:t>
            </w:r>
            <w:r w:rsidRPr="00A641BE">
              <w:rPr>
                <w:bCs/>
                <w:sz w:val="22"/>
                <w:lang w:val="fr-FR"/>
              </w:rPr>
              <w:t>du RR</w:t>
            </w:r>
            <w:r w:rsidRPr="00A641BE">
              <w:rPr>
                <w:b/>
                <w:sz w:val="22"/>
                <w:lang w:val="fr-FR"/>
              </w:rPr>
              <w:t xml:space="preserve"> </w:t>
            </w:r>
            <w:r w:rsidRPr="00A641BE">
              <w:rPr>
                <w:sz w:val="22"/>
                <w:lang w:val="fr-FR"/>
              </w:rPr>
              <w:t>ont été supprimées par la CMR</w:t>
            </w:r>
            <w:r w:rsidRPr="00A641BE">
              <w:rPr>
                <w:sz w:val="22"/>
                <w:lang w:val="fr-FR"/>
              </w:rPr>
              <w:noBreakHyphen/>
              <w:t xml:space="preserve">19 et qui ne sont pas conformes aux prescriptions définies au § 1 de la Pièce jointe de la Résolution recevront la même date de réception du 22 mai 2020. Pour ces soumissions, la date de protection sera la même que la date de réception officielle, déterminée conformément à la Règle de procédure relative à la </w:t>
            </w:r>
            <w:r w:rsidRPr="00A641BE">
              <w:rPr>
                <w:sz w:val="22"/>
                <w:lang w:val="fr-FR"/>
              </w:rPr>
              <w:lastRenderedPageBreak/>
              <w:t xml:space="preserve">recevabilité des fiches de notification. La date de protection déterminée sera utilisée aux fins de l'examen mené par le Bureau en vertu des dispositions pertinentes des Appendices </w:t>
            </w:r>
            <w:r w:rsidRPr="00A641BE">
              <w:rPr>
                <w:b/>
                <w:sz w:val="22"/>
                <w:lang w:val="fr-FR"/>
              </w:rPr>
              <w:t>30</w:t>
            </w:r>
            <w:r w:rsidRPr="00A641BE">
              <w:rPr>
                <w:bCs/>
                <w:sz w:val="22"/>
                <w:lang w:val="fr-FR"/>
              </w:rPr>
              <w:t xml:space="preserve"> et</w:t>
            </w:r>
            <w:r w:rsidRPr="00A641BE">
              <w:rPr>
                <w:b/>
                <w:sz w:val="22"/>
                <w:lang w:val="fr-FR"/>
              </w:rPr>
              <w:t xml:space="preserve"> 30A </w:t>
            </w:r>
            <w:r w:rsidRPr="00A641BE">
              <w:rPr>
                <w:bCs/>
                <w:sz w:val="22"/>
                <w:lang w:val="fr-FR"/>
              </w:rPr>
              <w:t>du RR</w:t>
            </w:r>
            <w:r w:rsidRPr="00A641BE">
              <w:rPr>
                <w:sz w:val="22"/>
                <w:lang w:val="fr-FR"/>
              </w:rPr>
              <w:t>. Pour les soumissions ayant la même date de réception officielle, le Bureau tiendra compte de l'ensemble de ces soumissions dans le cadre de son examen technique et réglementaire.</w:t>
            </w:r>
          </w:p>
          <w:p w14:paraId="0DDD4395" w14:textId="77777777" w:rsidR="00F75811" w:rsidRPr="00A641BE" w:rsidRDefault="00F75811" w:rsidP="00F75811">
            <w:pPr>
              <w:pStyle w:val="Tabletext"/>
              <w:tabs>
                <w:tab w:val="clear" w:pos="284"/>
                <w:tab w:val="clear" w:pos="567"/>
              </w:tabs>
              <w:ind w:left="851" w:hanging="529"/>
              <w:rPr>
                <w:b/>
                <w:bCs/>
                <w:sz w:val="22"/>
                <w:lang w:val="fr-FR"/>
              </w:rPr>
            </w:pPr>
            <w:r w:rsidRPr="00A641BE">
              <w:rPr>
                <w:b/>
                <w:bCs/>
                <w:i/>
                <w:iCs/>
                <w:sz w:val="22"/>
                <w:lang w:val="fr-FR"/>
              </w:rPr>
              <w:t>c)</w:t>
            </w:r>
            <w:r w:rsidRPr="00A641BE">
              <w:rPr>
                <w:sz w:val="22"/>
                <w:lang w:val="fr-FR"/>
              </w:rPr>
              <w:tab/>
            </w:r>
            <w:r w:rsidRPr="00A641BE">
              <w:rPr>
                <w:b/>
                <w:bCs/>
                <w:sz w:val="22"/>
                <w:lang w:val="fr-FR"/>
              </w:rPr>
              <w:t>Soumissions au titre du § 4.1.12 de l'Appendice 30/30A du RR concernant les réseaux à satellite pour lesquels cette Résolution s'applique</w:t>
            </w:r>
          </w:p>
          <w:p w14:paraId="7C766CB0" w14:textId="77777777" w:rsidR="00F75811" w:rsidRDefault="00F75811" w:rsidP="00F75811">
            <w:pPr>
              <w:pStyle w:val="Tabletext"/>
              <w:tabs>
                <w:tab w:val="clear" w:pos="284"/>
              </w:tabs>
              <w:ind w:left="889"/>
              <w:rPr>
                <w:sz w:val="22"/>
                <w:lang w:val="fr-FR"/>
              </w:rPr>
            </w:pPr>
            <w:r w:rsidRPr="00A641BE">
              <w:rPr>
                <w:sz w:val="22"/>
                <w:lang w:val="fr-FR"/>
              </w:rPr>
              <w:t>Lors de la coordination des fréquences, l'administration notificatrice peut changer le faisceau elliptique</w:t>
            </w:r>
            <w:r>
              <w:rPr>
                <w:sz w:val="22"/>
                <w:lang w:val="fr-FR"/>
              </w:rPr>
              <w:t xml:space="preserve"> en faisceau</w:t>
            </w:r>
            <w:r w:rsidRPr="00A641BE">
              <w:rPr>
                <w:sz w:val="22"/>
                <w:lang w:val="fr-FR"/>
              </w:rPr>
              <w:t xml:space="preserve"> conformé. En conséquence, le Bureau acceptera les soumissions concernant des réseaux à satellite pour lesquels la Résolution s'applique et qui comportent un faisceau conformé présentées au titre du § 4.1.12 des Appendices </w:t>
            </w:r>
            <w:r w:rsidRPr="00A641BE">
              <w:rPr>
                <w:b/>
                <w:bCs/>
                <w:sz w:val="22"/>
                <w:lang w:val="fr-FR"/>
              </w:rPr>
              <w:t>30</w:t>
            </w:r>
            <w:r w:rsidRPr="00A641BE">
              <w:rPr>
                <w:sz w:val="22"/>
                <w:lang w:val="fr-FR"/>
              </w:rPr>
              <w:t xml:space="preserve"> et </w:t>
            </w:r>
            <w:r w:rsidRPr="00A641BE">
              <w:rPr>
                <w:b/>
                <w:bCs/>
                <w:sz w:val="22"/>
                <w:lang w:val="fr-FR"/>
              </w:rPr>
              <w:t xml:space="preserve">30A </w:t>
            </w:r>
            <w:r w:rsidRPr="00A641BE">
              <w:rPr>
                <w:bCs/>
                <w:sz w:val="22"/>
                <w:lang w:val="fr-FR"/>
              </w:rPr>
              <w:t>du RR</w:t>
            </w:r>
            <w:r w:rsidRPr="00A641BE">
              <w:rPr>
                <w:sz w:val="22"/>
                <w:lang w:val="fr-FR"/>
              </w:rPr>
              <w:t>, si les caractéristiques de la soumission présentées au titre du § 4.1.12 sont dans les limites des caractéristiques de la soumission présentée au titre du § 4.1.3.</w:t>
            </w:r>
          </w:p>
          <w:p w14:paraId="6837D27D" w14:textId="77777777" w:rsidR="00F75811" w:rsidRPr="00A641BE" w:rsidRDefault="00F75811" w:rsidP="00F75811">
            <w:pPr>
              <w:pStyle w:val="Tabletext"/>
              <w:ind w:left="284" w:hanging="284"/>
              <w:rPr>
                <w:b/>
                <w:bCs/>
                <w:sz w:val="22"/>
                <w:lang w:val="fr-FR"/>
              </w:rPr>
            </w:pPr>
            <w:r w:rsidRPr="00A641BE">
              <w:rPr>
                <w:b/>
                <w:bCs/>
                <w:sz w:val="22"/>
                <w:lang w:val="fr-FR"/>
              </w:rPr>
              <w:t>5</w:t>
            </w:r>
            <w:r w:rsidRPr="00A641BE">
              <w:rPr>
                <w:b/>
                <w:bCs/>
                <w:sz w:val="22"/>
                <w:lang w:val="fr-FR"/>
              </w:rPr>
              <w:tab/>
              <w:t xml:space="preserve">Calcul de l'espacement orbital géocentrique minimal visé aux points 1 et 2 du </w:t>
            </w:r>
            <w:r w:rsidRPr="00437BD9">
              <w:rPr>
                <w:b/>
                <w:bCs/>
                <w:i/>
                <w:iCs/>
                <w:sz w:val="22"/>
                <w:lang w:val="fr-FR"/>
              </w:rPr>
              <w:t>décide</w:t>
            </w:r>
            <w:r w:rsidRPr="00A641BE">
              <w:rPr>
                <w:b/>
                <w:bCs/>
                <w:sz w:val="22"/>
                <w:lang w:val="fr-FR"/>
              </w:rPr>
              <w:t xml:space="preserve"> de la Résolution COM5/4 (CMR</w:t>
            </w:r>
            <w:r w:rsidRPr="00A641BE">
              <w:rPr>
                <w:b/>
                <w:bCs/>
                <w:sz w:val="22"/>
                <w:lang w:val="fr-FR"/>
              </w:rPr>
              <w:noBreakHyphen/>
              <w:t>19)</w:t>
            </w:r>
          </w:p>
          <w:p w14:paraId="4092E565" w14:textId="77777777" w:rsidR="00F75811" w:rsidRPr="00A641BE" w:rsidRDefault="00F75811" w:rsidP="00F75811">
            <w:pPr>
              <w:pStyle w:val="Tabletext"/>
              <w:ind w:left="284" w:hanging="284"/>
              <w:rPr>
                <w:sz w:val="22"/>
                <w:lang w:val="fr-FR"/>
              </w:rPr>
            </w:pPr>
            <w:r w:rsidRPr="00A641BE">
              <w:rPr>
                <w:sz w:val="22"/>
                <w:lang w:val="fr-FR"/>
              </w:rPr>
              <w:tab/>
              <w:t>Pour calculer l'espacement orbital géocentrique minimal entre les stations utile et brouilleuse, le Bureau tiendra compte de la précision de maintien en position est-ouest des stations spatiales du SFS et du SRS</w:t>
            </w:r>
            <w:r>
              <w:rPr>
                <w:sz w:val="22"/>
                <w:lang w:val="fr-FR"/>
              </w:rPr>
              <w:t>,</w:t>
            </w:r>
            <w:r w:rsidRPr="00A641BE">
              <w:rPr>
                <w:sz w:val="22"/>
                <w:lang w:val="fr-FR"/>
              </w:rPr>
              <w:t xml:space="preserve"> afin que les deux stations spatiales soient le</w:t>
            </w:r>
            <w:r>
              <w:rPr>
                <w:sz w:val="22"/>
                <w:lang w:val="fr-FR"/>
              </w:rPr>
              <w:t>s</w:t>
            </w:r>
            <w:r w:rsidRPr="00A641BE">
              <w:rPr>
                <w:sz w:val="22"/>
                <w:lang w:val="fr-FR"/>
              </w:rPr>
              <w:t xml:space="preserve"> plus proche</w:t>
            </w:r>
            <w:r>
              <w:rPr>
                <w:sz w:val="22"/>
                <w:lang w:val="fr-FR"/>
              </w:rPr>
              <w:t>s</w:t>
            </w:r>
            <w:r w:rsidRPr="00A641BE">
              <w:rPr>
                <w:sz w:val="22"/>
                <w:lang w:val="fr-FR"/>
              </w:rPr>
              <w:t>.</w:t>
            </w:r>
          </w:p>
          <w:p w14:paraId="577C8611" w14:textId="5E772151" w:rsidR="00F75811" w:rsidRPr="00A641BE" w:rsidRDefault="00F75811" w:rsidP="00F75811">
            <w:pPr>
              <w:pStyle w:val="Tabletext"/>
              <w:rPr>
                <w:b/>
                <w:sz w:val="22"/>
                <w:lang w:val="fr-FR"/>
              </w:rPr>
            </w:pPr>
            <w:r w:rsidRPr="00A641BE">
              <w:rPr>
                <w:b/>
                <w:bCs/>
                <w:sz w:val="22"/>
                <w:lang w:val="fr-FR"/>
              </w:rPr>
              <w:t>6</w:t>
            </w:r>
            <w:r w:rsidRPr="00A641BE">
              <w:rPr>
                <w:sz w:val="22"/>
                <w:lang w:val="fr-FR"/>
              </w:rPr>
              <w:tab/>
              <w:t xml:space="preserve">S'agissant du cas particulier de l'Administration du Soudan du Sud, qui ne dispose actuellement d'aucune assignation de fréquence dans les Plans </w:t>
            </w:r>
            <w:r>
              <w:rPr>
                <w:sz w:val="22"/>
                <w:lang w:val="fr-FR"/>
              </w:rPr>
              <w:t xml:space="preserve">des </w:t>
            </w:r>
            <w:r w:rsidRPr="00A641BE">
              <w:rPr>
                <w:sz w:val="22"/>
                <w:lang w:val="fr-FR"/>
              </w:rPr>
              <w:t xml:space="preserve">Appendices </w:t>
            </w:r>
            <w:r w:rsidRPr="00A641BE">
              <w:rPr>
                <w:b/>
                <w:bCs/>
                <w:sz w:val="22"/>
                <w:lang w:val="fr-FR"/>
              </w:rPr>
              <w:t>30</w:t>
            </w:r>
            <w:r w:rsidRPr="00A641BE">
              <w:rPr>
                <w:sz w:val="22"/>
                <w:lang w:val="fr-FR"/>
              </w:rPr>
              <w:t xml:space="preserve"> et </w:t>
            </w:r>
            <w:r w:rsidRPr="00A641BE">
              <w:rPr>
                <w:b/>
                <w:bCs/>
                <w:sz w:val="22"/>
                <w:lang w:val="fr-FR"/>
              </w:rPr>
              <w:t>30A</w:t>
            </w:r>
            <w:r w:rsidRPr="00A641BE">
              <w:rPr>
                <w:sz w:val="22"/>
                <w:lang w:val="fr-FR"/>
              </w:rPr>
              <w:t xml:space="preserve"> du RR, la CMR-19 a décidé que l'Administration du Soudan du Sud pouvait appliquer la Résolution </w:t>
            </w:r>
            <w:r w:rsidRPr="00A641BE">
              <w:rPr>
                <w:b/>
                <w:bCs/>
                <w:sz w:val="22"/>
                <w:lang w:val="fr-FR"/>
              </w:rPr>
              <w:t>COM5/3 (CMR-19)</w:t>
            </w:r>
            <w:r w:rsidRPr="00A641BE">
              <w:rPr>
                <w:sz w:val="22"/>
                <w:lang w:val="fr-FR"/>
              </w:rPr>
              <w:t xml:space="preserve"> et a chargé le Bureau des radiocommunications d'accepter cette communication soumise par l'Administration du Soudan du Sud.</w:t>
            </w:r>
          </w:p>
        </w:tc>
      </w:tr>
      <w:tr w:rsidR="00B237CC" w:rsidRPr="00AD36B1" w14:paraId="0F0FE9C1" w14:textId="77777777" w:rsidTr="00D235A4">
        <w:trPr>
          <w:cantSplit/>
        </w:trPr>
        <w:tc>
          <w:tcPr>
            <w:tcW w:w="1696" w:type="dxa"/>
            <w:vMerge/>
          </w:tcPr>
          <w:p w14:paraId="5F5DD6DC" w14:textId="77777777" w:rsidR="00B237CC" w:rsidRPr="00A641BE" w:rsidRDefault="00B237CC" w:rsidP="00437BD9">
            <w:pPr>
              <w:pStyle w:val="Tablehead"/>
              <w:keepNext w:val="0"/>
              <w:jc w:val="left"/>
              <w:rPr>
                <w:bCs/>
                <w:sz w:val="22"/>
                <w:lang w:val="fr-FR"/>
              </w:rPr>
            </w:pPr>
          </w:p>
        </w:tc>
        <w:tc>
          <w:tcPr>
            <w:tcW w:w="2127" w:type="dxa"/>
          </w:tcPr>
          <w:p w14:paraId="38BD4BBC" w14:textId="28151E70" w:rsidR="00B237CC" w:rsidRPr="00A641BE" w:rsidRDefault="00B237CC" w:rsidP="00437BD9">
            <w:pPr>
              <w:pStyle w:val="Tablehead"/>
              <w:keepNext w:val="0"/>
              <w:jc w:val="left"/>
              <w:rPr>
                <w:sz w:val="22"/>
                <w:lang w:val="fr-FR"/>
              </w:rPr>
            </w:pPr>
            <w:r w:rsidRPr="00A641BE">
              <w:rPr>
                <w:sz w:val="22"/>
                <w:lang w:val="fr-FR"/>
              </w:rPr>
              <w:t>Paragraphes 4.5 à</w:t>
            </w:r>
            <w:r w:rsidR="003B7DE7">
              <w:rPr>
                <w:sz w:val="22"/>
                <w:lang w:val="fr-FR"/>
              </w:rPr>
              <w:t> </w:t>
            </w:r>
            <w:r w:rsidRPr="00A641BE">
              <w:rPr>
                <w:sz w:val="22"/>
                <w:lang w:val="fr-FR"/>
              </w:rPr>
              <w:t>4.7</w:t>
            </w:r>
          </w:p>
          <w:p w14:paraId="2E089DA0" w14:textId="06CEEC53" w:rsidR="00B237CC" w:rsidRPr="00A641BE" w:rsidRDefault="00B237CC" w:rsidP="00437BD9">
            <w:pPr>
              <w:pStyle w:val="Tablehead"/>
              <w:keepNext w:val="0"/>
              <w:jc w:val="left"/>
              <w:rPr>
                <w:sz w:val="22"/>
                <w:lang w:val="fr-FR"/>
              </w:rPr>
            </w:pPr>
            <w:r w:rsidRPr="00A641BE">
              <w:rPr>
                <w:sz w:val="22"/>
                <w:lang w:val="fr-FR"/>
              </w:rPr>
              <w:t xml:space="preserve">Approbation du Document </w:t>
            </w:r>
            <w:hyperlink r:id="rId23" w:history="1">
              <w:r w:rsidRPr="00EA3EF0">
                <w:rPr>
                  <w:rStyle w:val="Hyperlink"/>
                  <w:sz w:val="22"/>
                  <w:lang w:val="fr-FR"/>
                </w:rPr>
                <w:t>338</w:t>
              </w:r>
            </w:hyperlink>
          </w:p>
        </w:tc>
        <w:tc>
          <w:tcPr>
            <w:tcW w:w="11340" w:type="dxa"/>
          </w:tcPr>
          <w:p w14:paraId="35A270FA" w14:textId="6CA0A790" w:rsidR="00B237CC" w:rsidRPr="00A641BE" w:rsidRDefault="00B237CC" w:rsidP="003B7DE7">
            <w:pPr>
              <w:pStyle w:val="Tabletext"/>
              <w:tabs>
                <w:tab w:val="clear" w:pos="1134"/>
                <w:tab w:val="clear" w:pos="2268"/>
              </w:tabs>
              <w:spacing w:before="80"/>
              <w:rPr>
                <w:b/>
                <w:sz w:val="22"/>
                <w:lang w:val="fr-FR"/>
              </w:rPr>
            </w:pPr>
            <w:r w:rsidRPr="00A641BE">
              <w:rPr>
                <w:b/>
                <w:sz w:val="22"/>
                <w:lang w:val="fr-FR"/>
              </w:rPr>
              <w:t>Attribution au service de recherche spatiale dans la bande 14,5-14,8 GHz</w:t>
            </w:r>
          </w:p>
          <w:p w14:paraId="1B93C597" w14:textId="16F3FE41" w:rsidR="00B237CC" w:rsidRPr="00A641BE" w:rsidRDefault="00B237CC" w:rsidP="00437BD9">
            <w:pPr>
              <w:pStyle w:val="Tabletext"/>
              <w:tabs>
                <w:tab w:val="clear" w:pos="1134"/>
                <w:tab w:val="clear" w:pos="2268"/>
              </w:tabs>
              <w:rPr>
                <w:sz w:val="22"/>
                <w:lang w:val="fr-FR"/>
              </w:rPr>
            </w:pPr>
            <w:r w:rsidRPr="00A641BE">
              <w:rPr>
                <w:sz w:val="22"/>
                <w:lang w:val="fr-FR"/>
              </w:rPr>
              <w:t>Après avoir examiné le § 3.1.2.4 du Document 4(Add.2), la Commission 5 a conclu que la Conférence devrait charger le Directeur du Bureau des radiocommunications de surveiller l'utilisation de l'attribution au service de recherche spatiale dans la bande de fréquences 14,5</w:t>
            </w:r>
            <w:r w:rsidRPr="00A641BE">
              <w:rPr>
                <w:sz w:val="22"/>
                <w:lang w:val="fr-FR"/>
              </w:rPr>
              <w:noBreakHyphen/>
              <w:t>14,8 GHz, et devrait inviter l'UIT</w:t>
            </w:r>
            <w:r w:rsidRPr="00A641BE">
              <w:rPr>
                <w:sz w:val="22"/>
                <w:lang w:val="fr-FR"/>
              </w:rPr>
              <w:noBreakHyphen/>
              <w:t>R à étudier l'évolution des paramètres techniques des systèmes du service de recherche spatiale et l'environnement associé pour le partage de la même bande de fréquences.</w:t>
            </w:r>
          </w:p>
        </w:tc>
      </w:tr>
      <w:tr w:rsidR="00B237CC" w:rsidRPr="00AD36B1" w14:paraId="737FACF3" w14:textId="77777777" w:rsidTr="003B7DE7">
        <w:tc>
          <w:tcPr>
            <w:tcW w:w="1696" w:type="dxa"/>
            <w:vMerge/>
          </w:tcPr>
          <w:p w14:paraId="1FD51C2E" w14:textId="77777777" w:rsidR="00B237CC" w:rsidRPr="00A641BE" w:rsidRDefault="00B237CC" w:rsidP="00437BD9">
            <w:pPr>
              <w:pStyle w:val="Tablehead"/>
              <w:keepNext w:val="0"/>
              <w:jc w:val="left"/>
              <w:rPr>
                <w:bCs/>
                <w:sz w:val="22"/>
                <w:lang w:val="fr-FR"/>
              </w:rPr>
            </w:pPr>
          </w:p>
        </w:tc>
        <w:tc>
          <w:tcPr>
            <w:tcW w:w="2127" w:type="dxa"/>
          </w:tcPr>
          <w:p w14:paraId="24F17D3E" w14:textId="42EDE4B4" w:rsidR="00B237CC" w:rsidRPr="00A641BE" w:rsidRDefault="00B237CC" w:rsidP="00437BD9">
            <w:pPr>
              <w:pStyle w:val="Tablehead"/>
              <w:keepNext w:val="0"/>
              <w:jc w:val="left"/>
              <w:rPr>
                <w:sz w:val="22"/>
                <w:lang w:val="fr-FR"/>
              </w:rPr>
            </w:pPr>
            <w:r w:rsidRPr="00A641BE">
              <w:rPr>
                <w:sz w:val="22"/>
                <w:lang w:val="fr-FR"/>
              </w:rPr>
              <w:t>Paragraphes 13.1 à</w:t>
            </w:r>
            <w:r w:rsidR="003B7DE7">
              <w:rPr>
                <w:sz w:val="22"/>
                <w:lang w:val="fr-FR"/>
              </w:rPr>
              <w:t> </w:t>
            </w:r>
            <w:r w:rsidRPr="00A641BE">
              <w:rPr>
                <w:sz w:val="22"/>
                <w:lang w:val="fr-FR"/>
              </w:rPr>
              <w:t>13.7</w:t>
            </w:r>
          </w:p>
          <w:p w14:paraId="4DA6C6A9" w14:textId="0B972C9D" w:rsidR="00B237CC" w:rsidRPr="00A641BE" w:rsidRDefault="00A641BE" w:rsidP="00437BD9">
            <w:pPr>
              <w:pStyle w:val="Tablehead"/>
              <w:keepNext w:val="0"/>
              <w:jc w:val="left"/>
              <w:rPr>
                <w:sz w:val="22"/>
                <w:lang w:val="fr-FR"/>
              </w:rPr>
            </w:pPr>
            <w:r w:rsidRPr="00A641BE">
              <w:rPr>
                <w:sz w:val="22"/>
                <w:lang w:val="fr-FR"/>
              </w:rPr>
              <w:lastRenderedPageBreak/>
              <w:t>Examen</w:t>
            </w:r>
            <w:r w:rsidR="00B237CC" w:rsidRPr="00A641BE">
              <w:rPr>
                <w:sz w:val="22"/>
                <w:lang w:val="fr-FR"/>
              </w:rPr>
              <w:t xml:space="preserve"> du Document </w:t>
            </w:r>
            <w:hyperlink r:id="rId24" w:history="1">
              <w:r w:rsidR="00F71C9C" w:rsidRPr="00EA3EF0">
                <w:rPr>
                  <w:rStyle w:val="Hyperlink"/>
                  <w:sz w:val="22"/>
                  <w:lang w:val="fr-FR"/>
                </w:rPr>
                <w:t>2</w:t>
              </w:r>
              <w:r w:rsidR="00B237CC" w:rsidRPr="00EA3EF0">
                <w:rPr>
                  <w:rStyle w:val="Hyperlink"/>
                  <w:sz w:val="22"/>
                  <w:lang w:val="fr-FR"/>
                </w:rPr>
                <w:t>38</w:t>
              </w:r>
            </w:hyperlink>
          </w:p>
        </w:tc>
        <w:tc>
          <w:tcPr>
            <w:tcW w:w="11340" w:type="dxa"/>
          </w:tcPr>
          <w:p w14:paraId="57273467" w14:textId="29DC0C8D" w:rsidR="00B237CC" w:rsidRPr="00A641BE" w:rsidRDefault="00B237CC" w:rsidP="003B7DE7">
            <w:pPr>
              <w:pStyle w:val="Tabletext"/>
              <w:tabs>
                <w:tab w:val="clear" w:pos="1134"/>
                <w:tab w:val="clear" w:pos="2268"/>
              </w:tabs>
              <w:spacing w:before="80"/>
              <w:rPr>
                <w:sz w:val="22"/>
                <w:lang w:val="fr-FR"/>
              </w:rPr>
            </w:pPr>
            <w:r w:rsidRPr="00A641BE">
              <w:rPr>
                <w:sz w:val="22"/>
                <w:lang w:val="fr-FR"/>
              </w:rPr>
              <w:lastRenderedPageBreak/>
              <w:t>13.1</w:t>
            </w:r>
            <w:r w:rsidRPr="00A641BE">
              <w:rPr>
                <w:sz w:val="22"/>
                <w:lang w:val="fr-FR"/>
              </w:rPr>
              <w:tab/>
              <w:t xml:space="preserve">Le </w:t>
            </w:r>
            <w:r w:rsidRPr="00A641BE">
              <w:rPr>
                <w:b/>
                <w:bCs/>
                <w:sz w:val="22"/>
                <w:lang w:val="fr-FR"/>
              </w:rPr>
              <w:t>délégué de l'Égypte</w:t>
            </w:r>
            <w:r w:rsidRPr="00A641BE">
              <w:rPr>
                <w:sz w:val="22"/>
                <w:lang w:val="fr-FR"/>
              </w:rPr>
              <w:t xml:space="preserve"> présente le Document 238, </w:t>
            </w:r>
            <w:r w:rsidR="00437BD9">
              <w:rPr>
                <w:sz w:val="22"/>
                <w:lang w:val="fr-FR"/>
              </w:rPr>
              <w:t>qui contient</w:t>
            </w:r>
            <w:r w:rsidRPr="00A641BE">
              <w:rPr>
                <w:sz w:val="22"/>
                <w:lang w:val="fr-FR"/>
              </w:rPr>
              <w:t xml:space="preserve"> une demande relative au satellite égyptien Nilesat</w:t>
            </w:r>
            <w:r w:rsidR="003B7DE7">
              <w:rPr>
                <w:sz w:val="22"/>
                <w:lang w:val="fr-FR"/>
              </w:rPr>
              <w:t> </w:t>
            </w:r>
            <w:r w:rsidRPr="00A641BE">
              <w:rPr>
                <w:sz w:val="22"/>
                <w:lang w:val="fr-FR"/>
              </w:rPr>
              <w:t>301, qui doit être placé à la position orbitale 7° W avant le 19 mars 2022, date limite pour la mise en service des assignations de fréquence de la fiche de notification EGY</w:t>
            </w:r>
            <w:r w:rsidRPr="00A641BE">
              <w:rPr>
                <w:sz w:val="22"/>
                <w:lang w:val="fr-FR"/>
              </w:rPr>
              <w:noBreakHyphen/>
              <w:t>N</w:t>
            </w:r>
            <w:r w:rsidRPr="00A641BE">
              <w:rPr>
                <w:sz w:val="22"/>
                <w:lang w:val="fr-FR"/>
              </w:rPr>
              <w:noBreakHyphen/>
              <w:t xml:space="preserve">SAT. Tout en ne doutant pas qu'elle sera en mesure de respecter ce délai, l'Administration égyptienne craint que tout incident imprévu entraînant des retards indépendants de sa volonté ne </w:t>
            </w:r>
            <w:r w:rsidRPr="00A641BE">
              <w:rPr>
                <w:sz w:val="22"/>
                <w:lang w:val="fr-FR"/>
              </w:rPr>
              <w:lastRenderedPageBreak/>
              <w:t>compromette le lancement du satellite en temps voulu. Elle demande donc à la conférence d'accorder une prorogation du délai de six mois, jusqu'au 19 septembre 2022.</w:t>
            </w:r>
          </w:p>
          <w:p w14:paraId="4503E124" w14:textId="4B5E532C" w:rsidR="00A641BE" w:rsidRPr="00A641BE" w:rsidRDefault="00A641BE" w:rsidP="00437BD9">
            <w:pPr>
              <w:pStyle w:val="Tabletext"/>
              <w:tabs>
                <w:tab w:val="clear" w:pos="1134"/>
                <w:tab w:val="clear" w:pos="2268"/>
              </w:tabs>
              <w:rPr>
                <w:sz w:val="22"/>
                <w:lang w:val="fr-FR"/>
              </w:rPr>
            </w:pPr>
            <w:r w:rsidRPr="00A641BE">
              <w:rPr>
                <w:sz w:val="22"/>
                <w:lang w:val="fr-FR"/>
              </w:rPr>
              <w:t>(...)</w:t>
            </w:r>
          </w:p>
          <w:p w14:paraId="347A06BE" w14:textId="77777777" w:rsidR="00B237CC" w:rsidRPr="00A641BE" w:rsidRDefault="00B237CC" w:rsidP="00437BD9">
            <w:pPr>
              <w:pStyle w:val="Tabletext"/>
              <w:tabs>
                <w:tab w:val="clear" w:pos="1134"/>
                <w:tab w:val="clear" w:pos="2268"/>
              </w:tabs>
              <w:rPr>
                <w:sz w:val="22"/>
                <w:lang w:val="fr-FR"/>
              </w:rPr>
            </w:pPr>
            <w:r w:rsidRPr="00A641BE">
              <w:rPr>
                <w:sz w:val="22"/>
                <w:lang w:val="fr-FR"/>
              </w:rPr>
              <w:t>13.6</w:t>
            </w:r>
            <w:r w:rsidRPr="00A641BE">
              <w:rPr>
                <w:sz w:val="22"/>
                <w:lang w:val="fr-FR"/>
              </w:rPr>
              <w:tab/>
              <w:t xml:space="preserve">Le </w:t>
            </w:r>
            <w:r w:rsidRPr="00A641BE">
              <w:rPr>
                <w:b/>
                <w:bCs/>
                <w:sz w:val="22"/>
                <w:lang w:val="fr-FR"/>
              </w:rPr>
              <w:t xml:space="preserve">Président </w:t>
            </w:r>
            <w:r w:rsidRPr="00A641BE">
              <w:rPr>
                <w:sz w:val="22"/>
                <w:lang w:val="fr-FR"/>
              </w:rPr>
              <w:t>considère que la conférence souhaite approuver la demande de l'Administration égyptienne.</w:t>
            </w:r>
          </w:p>
          <w:p w14:paraId="122012D8" w14:textId="5FACDFE0" w:rsidR="00B237CC" w:rsidRPr="00A641BE" w:rsidRDefault="00B237CC" w:rsidP="00437BD9">
            <w:pPr>
              <w:pStyle w:val="Tabletext"/>
              <w:tabs>
                <w:tab w:val="clear" w:pos="1134"/>
                <w:tab w:val="clear" w:pos="2268"/>
              </w:tabs>
              <w:rPr>
                <w:b/>
                <w:bCs/>
                <w:sz w:val="22"/>
                <w:lang w:val="fr-FR"/>
              </w:rPr>
            </w:pPr>
            <w:r w:rsidRPr="00A641BE">
              <w:rPr>
                <w:sz w:val="22"/>
                <w:lang w:val="fr-FR"/>
              </w:rPr>
              <w:t>13.7</w:t>
            </w:r>
            <w:r w:rsidRPr="00A641BE">
              <w:rPr>
                <w:sz w:val="22"/>
                <w:lang w:val="fr-FR"/>
              </w:rPr>
              <w:tab/>
              <w:t xml:space="preserve">Il en est ainsi </w:t>
            </w:r>
            <w:r w:rsidRPr="00A641BE">
              <w:rPr>
                <w:b/>
                <w:bCs/>
                <w:sz w:val="22"/>
                <w:lang w:val="fr-FR"/>
              </w:rPr>
              <w:t>décidé</w:t>
            </w:r>
            <w:r w:rsidRPr="00A641BE">
              <w:rPr>
                <w:sz w:val="22"/>
                <w:lang w:val="fr-FR"/>
              </w:rPr>
              <w:t>.</w:t>
            </w:r>
          </w:p>
        </w:tc>
      </w:tr>
      <w:tr w:rsidR="00F71C9C" w:rsidRPr="00AD36B1" w14:paraId="46D43EB5" w14:textId="77777777" w:rsidTr="00D235A4">
        <w:trPr>
          <w:cantSplit/>
        </w:trPr>
        <w:tc>
          <w:tcPr>
            <w:tcW w:w="1696" w:type="dxa"/>
            <w:vMerge w:val="restart"/>
          </w:tcPr>
          <w:p w14:paraId="39665FEC" w14:textId="72565A02" w:rsidR="00F71C9C" w:rsidRPr="00A641BE" w:rsidRDefault="00F71C9C" w:rsidP="00437BD9">
            <w:pPr>
              <w:pStyle w:val="Tablehead"/>
              <w:keepNext w:val="0"/>
              <w:jc w:val="left"/>
              <w:rPr>
                <w:bCs/>
                <w:sz w:val="22"/>
                <w:lang w:val="fr-FR"/>
              </w:rPr>
            </w:pPr>
            <w:r w:rsidRPr="00A641BE">
              <w:rPr>
                <w:sz w:val="22"/>
                <w:lang w:val="fr-FR"/>
              </w:rPr>
              <w:lastRenderedPageBreak/>
              <w:t xml:space="preserve">Document </w:t>
            </w:r>
            <w:hyperlink r:id="rId25" w:history="1">
              <w:r w:rsidRPr="00EA3EF0">
                <w:rPr>
                  <w:rStyle w:val="Hyperlink"/>
                  <w:sz w:val="22"/>
                  <w:lang w:val="fr-FR"/>
                </w:rPr>
                <w:t>CMR19/569</w:t>
              </w:r>
            </w:hyperlink>
            <w:r w:rsidRPr="00A641BE">
              <w:rPr>
                <w:sz w:val="22"/>
                <w:lang w:val="fr-FR"/>
              </w:rPr>
              <w:t xml:space="preserve"> – Procès-verbal de la huitième séance plénière</w:t>
            </w:r>
          </w:p>
        </w:tc>
        <w:tc>
          <w:tcPr>
            <w:tcW w:w="2127" w:type="dxa"/>
          </w:tcPr>
          <w:p w14:paraId="54055604" w14:textId="4437616E" w:rsidR="00F71C9C" w:rsidRPr="00A641BE" w:rsidRDefault="00F71C9C" w:rsidP="00437BD9">
            <w:pPr>
              <w:pStyle w:val="Tablehead"/>
              <w:keepNext w:val="0"/>
              <w:jc w:val="left"/>
              <w:rPr>
                <w:sz w:val="22"/>
                <w:lang w:val="fr-FR"/>
              </w:rPr>
            </w:pPr>
            <w:r w:rsidRPr="00A641BE">
              <w:rPr>
                <w:sz w:val="22"/>
                <w:lang w:val="fr-FR"/>
              </w:rPr>
              <w:t>Paragraphes 3.4 à</w:t>
            </w:r>
            <w:r w:rsidR="003B7DE7">
              <w:rPr>
                <w:sz w:val="22"/>
                <w:lang w:val="fr-FR"/>
              </w:rPr>
              <w:t> </w:t>
            </w:r>
            <w:r w:rsidRPr="00A641BE">
              <w:rPr>
                <w:sz w:val="22"/>
                <w:lang w:val="fr-FR"/>
              </w:rPr>
              <w:t>3.7</w:t>
            </w:r>
          </w:p>
          <w:p w14:paraId="277AB003" w14:textId="2DC28EEA" w:rsidR="00F71C9C" w:rsidRPr="00A641BE" w:rsidRDefault="00F71C9C" w:rsidP="00437BD9">
            <w:pPr>
              <w:pStyle w:val="Tablehead"/>
              <w:keepNext w:val="0"/>
              <w:jc w:val="left"/>
              <w:rPr>
                <w:sz w:val="22"/>
                <w:lang w:val="fr-FR"/>
              </w:rPr>
            </w:pPr>
            <w:r w:rsidRPr="00A641BE">
              <w:rPr>
                <w:sz w:val="22"/>
                <w:lang w:val="fr-FR"/>
              </w:rPr>
              <w:t xml:space="preserve">Approbation du Document </w:t>
            </w:r>
            <w:hyperlink r:id="rId26" w:history="1">
              <w:r w:rsidRPr="00EA3EF0">
                <w:rPr>
                  <w:rStyle w:val="Hyperlink"/>
                  <w:sz w:val="22"/>
                  <w:lang w:val="fr-FR"/>
                </w:rPr>
                <w:t>344</w:t>
              </w:r>
            </w:hyperlink>
          </w:p>
        </w:tc>
        <w:tc>
          <w:tcPr>
            <w:tcW w:w="11340" w:type="dxa"/>
          </w:tcPr>
          <w:p w14:paraId="7ACF5D8D" w14:textId="5898C32C" w:rsidR="00F71C9C" w:rsidRPr="00A641BE" w:rsidRDefault="00F71C9C" w:rsidP="003B7DE7">
            <w:pPr>
              <w:pStyle w:val="Tabletext"/>
              <w:tabs>
                <w:tab w:val="clear" w:pos="1134"/>
                <w:tab w:val="clear" w:pos="2268"/>
              </w:tabs>
              <w:spacing w:before="80"/>
              <w:rPr>
                <w:sz w:val="22"/>
                <w:lang w:val="fr-FR"/>
              </w:rPr>
            </w:pPr>
            <w:bookmarkStart w:id="2" w:name="lt_pId155"/>
            <w:r w:rsidRPr="00A641BE">
              <w:rPr>
                <w:sz w:val="22"/>
                <w:lang w:val="fr-FR"/>
              </w:rPr>
              <w:t>Le Document 92 (Add.21) soumis à la CMR-19 porte sur certaines préoccupations relatives aux brouillages sur la liaison montante qui sont actuellement subis par deux réseaux à satellite géostationnaire du SMS dans la bande de fréquences 2 670-2 690 MHz.</w:t>
            </w:r>
            <w:bookmarkEnd w:id="2"/>
            <w:r w:rsidRPr="00A641BE">
              <w:rPr>
                <w:sz w:val="22"/>
                <w:lang w:val="fr-FR"/>
              </w:rPr>
              <w:t xml:space="preserve"> </w:t>
            </w:r>
            <w:bookmarkStart w:id="3" w:name="lt_pId156"/>
            <w:r w:rsidRPr="00A641BE">
              <w:rPr>
                <w:sz w:val="22"/>
                <w:lang w:val="fr-FR"/>
              </w:rPr>
              <w:t>Cette question est également traitée dans la Partie 1 du rapport du Directeur (Document 4 (Add.1), Annexe 2, § 2.3.2) et a été examinée lors de l'Assemblée des radiocommunications de 2019 (AR-19).</w:t>
            </w:r>
            <w:bookmarkEnd w:id="3"/>
            <w:r w:rsidRPr="00A641BE">
              <w:rPr>
                <w:sz w:val="22"/>
                <w:lang w:val="fr-FR"/>
              </w:rPr>
              <w:t xml:space="preserve"> </w:t>
            </w:r>
            <w:bookmarkStart w:id="4" w:name="lt_pId157"/>
            <w:r w:rsidRPr="00A641BE">
              <w:rPr>
                <w:sz w:val="22"/>
                <w:lang w:val="fr-FR"/>
              </w:rPr>
              <w:t>À l'issue des débats, l'AR-19 a pris acte des préoccupations soulevées en ce qui concerne les difficultés actuellement rencontrées en raison de l'incompatibilité persistante entre le SMS et le SM et a invité la CMR-19 à prendre les mesures qu'elle jugera appropriées afin de trouver au plus vite une solution satisfaisante à ce problème.</w:t>
            </w:r>
            <w:bookmarkEnd w:id="4"/>
          </w:p>
          <w:p w14:paraId="28BF1D50" w14:textId="28DC38F9" w:rsidR="00F71C9C" w:rsidRPr="00A641BE" w:rsidRDefault="00F71C9C" w:rsidP="003B7DE7">
            <w:pPr>
              <w:pStyle w:val="Tabletext"/>
              <w:tabs>
                <w:tab w:val="clear" w:pos="1134"/>
                <w:tab w:val="clear" w:pos="2268"/>
              </w:tabs>
              <w:spacing w:before="120"/>
              <w:rPr>
                <w:sz w:val="22"/>
                <w:lang w:val="fr-FR"/>
              </w:rPr>
            </w:pPr>
            <w:bookmarkStart w:id="5" w:name="lt_pId158"/>
            <w:r w:rsidRPr="00A641BE">
              <w:rPr>
                <w:sz w:val="22"/>
                <w:lang w:val="fr-FR"/>
              </w:rPr>
              <w:t>La CMR-19 a reconnu le caractère urgent de cette question, compte tenu des brouillages qui sont actuellement subis par ces réseaux.</w:t>
            </w:r>
            <w:bookmarkEnd w:id="5"/>
            <w:r w:rsidRPr="00A641BE">
              <w:rPr>
                <w:sz w:val="22"/>
                <w:lang w:val="fr-FR"/>
              </w:rPr>
              <w:t xml:space="preserve"> </w:t>
            </w:r>
            <w:bookmarkStart w:id="6" w:name="lt_pId159"/>
            <w:r w:rsidRPr="00A641BE">
              <w:rPr>
                <w:sz w:val="22"/>
                <w:lang w:val="fr-FR"/>
              </w:rPr>
              <w:t xml:space="preserve">Elle a également examiné d'éventuelles révisions à apporter à la Résolution </w:t>
            </w:r>
            <w:r w:rsidRPr="00A641BE">
              <w:rPr>
                <w:b/>
                <w:bCs/>
                <w:sz w:val="22"/>
                <w:lang w:val="fr-FR"/>
              </w:rPr>
              <w:t>225 (Rév.CMR-12)</w:t>
            </w:r>
            <w:r w:rsidRPr="00A641BE">
              <w:rPr>
                <w:sz w:val="22"/>
                <w:lang w:val="fr-FR"/>
              </w:rPr>
              <w:t xml:space="preserve"> afin d'appeler particulièrement l'attention sur cette question.</w:t>
            </w:r>
            <w:bookmarkEnd w:id="6"/>
            <w:r w:rsidRPr="00A641BE">
              <w:rPr>
                <w:iCs/>
                <w:sz w:val="22"/>
                <w:lang w:val="fr-FR"/>
              </w:rPr>
              <w:t xml:space="preserve"> </w:t>
            </w:r>
            <w:bookmarkStart w:id="7" w:name="lt_pId160"/>
            <w:r w:rsidRPr="00A641BE">
              <w:rPr>
                <w:iCs/>
                <w:sz w:val="22"/>
                <w:lang w:val="fr-FR"/>
              </w:rPr>
              <w:t>La proposition de révision n'a pas été approuvée, mais la CMR-19 a décidé d'inviter l'UIT-R à axer les efforts sur l'accélération des études de partage, de sorte que l'élaboration de Recommandations ou de Rapports UIT-R pertinents définissant des mesures techniques et opérationnelles pour la coexistence entre le service mobile par satellite et la composante de Terre des IMT dans la bande de fréquences 2 655-2 690 MHz soit menée à bien pendant la prochaine période d'études, c'est-à-dire avant 2023.</w:t>
            </w:r>
            <w:bookmarkEnd w:id="7"/>
          </w:p>
        </w:tc>
      </w:tr>
      <w:tr w:rsidR="00F71C9C" w:rsidRPr="00AD36B1" w14:paraId="6C76FC15" w14:textId="77777777" w:rsidTr="00D235A4">
        <w:trPr>
          <w:cantSplit/>
        </w:trPr>
        <w:tc>
          <w:tcPr>
            <w:tcW w:w="1696" w:type="dxa"/>
            <w:vMerge/>
          </w:tcPr>
          <w:p w14:paraId="1D0E4B80" w14:textId="77777777" w:rsidR="00F71C9C" w:rsidRPr="00A641BE" w:rsidRDefault="00F71C9C" w:rsidP="00437BD9">
            <w:pPr>
              <w:pStyle w:val="Tablehead"/>
              <w:keepNext w:val="0"/>
              <w:jc w:val="left"/>
              <w:rPr>
                <w:bCs/>
                <w:sz w:val="22"/>
                <w:lang w:val="fr-FR"/>
              </w:rPr>
            </w:pPr>
          </w:p>
        </w:tc>
        <w:tc>
          <w:tcPr>
            <w:tcW w:w="2127" w:type="dxa"/>
          </w:tcPr>
          <w:p w14:paraId="7FDB2600" w14:textId="13982BF0" w:rsidR="00F71C9C" w:rsidRPr="00A641BE" w:rsidRDefault="00F71C9C" w:rsidP="00437BD9">
            <w:pPr>
              <w:pStyle w:val="Tablehead"/>
              <w:keepNext w:val="0"/>
              <w:jc w:val="left"/>
              <w:rPr>
                <w:sz w:val="22"/>
                <w:lang w:val="fr-FR"/>
              </w:rPr>
            </w:pPr>
            <w:r w:rsidRPr="00A641BE">
              <w:rPr>
                <w:sz w:val="22"/>
                <w:lang w:val="fr-FR"/>
              </w:rPr>
              <w:t>Paragraphes 3.8 à 3.10</w:t>
            </w:r>
          </w:p>
          <w:p w14:paraId="48733E7F" w14:textId="3056DA4D" w:rsidR="00F71C9C" w:rsidRPr="00A641BE" w:rsidRDefault="00F71C9C" w:rsidP="00437BD9">
            <w:pPr>
              <w:pStyle w:val="Tablehead"/>
              <w:keepNext w:val="0"/>
              <w:jc w:val="left"/>
              <w:rPr>
                <w:sz w:val="22"/>
                <w:lang w:val="fr-FR"/>
              </w:rPr>
            </w:pPr>
            <w:r w:rsidRPr="00A641BE">
              <w:rPr>
                <w:sz w:val="22"/>
                <w:lang w:val="fr-FR"/>
              </w:rPr>
              <w:t xml:space="preserve">Approbation du Document </w:t>
            </w:r>
            <w:hyperlink r:id="rId27" w:history="1">
              <w:r w:rsidRPr="00EA3EF0">
                <w:rPr>
                  <w:rStyle w:val="Hyperlink"/>
                  <w:sz w:val="22"/>
                  <w:lang w:val="fr-FR"/>
                </w:rPr>
                <w:t>347</w:t>
              </w:r>
            </w:hyperlink>
          </w:p>
        </w:tc>
        <w:tc>
          <w:tcPr>
            <w:tcW w:w="11340" w:type="dxa"/>
          </w:tcPr>
          <w:p w14:paraId="53CEE2D6" w14:textId="6F3694E8" w:rsidR="00F71C9C" w:rsidRPr="00A641BE" w:rsidRDefault="00F71C9C" w:rsidP="00437BD9">
            <w:pPr>
              <w:pStyle w:val="Tabletext"/>
              <w:tabs>
                <w:tab w:val="clear" w:pos="1134"/>
                <w:tab w:val="clear" w:pos="2268"/>
              </w:tabs>
              <w:rPr>
                <w:sz w:val="22"/>
                <w:lang w:val="fr-FR"/>
              </w:rPr>
            </w:pPr>
            <w:bookmarkStart w:id="8" w:name="lt_pId174"/>
            <w:r w:rsidRPr="00A641BE">
              <w:rPr>
                <w:sz w:val="22"/>
                <w:lang w:val="fr-FR"/>
              </w:rPr>
              <w:t xml:space="preserve">Au titre du point 9.3 de l'ordre du jour de la CMR-19, la Conférence a reçu le Document 15 du Comité du Règlement des radiocommunications, intitulé </w:t>
            </w:r>
            <w:r w:rsidRPr="00A641BE">
              <w:rPr>
                <w:i/>
                <w:iCs/>
                <w:sz w:val="22"/>
                <w:lang w:val="fr-FR"/>
              </w:rPr>
              <w:t>Rapport du Comité du Règlement des radiocommunications à la CMR-19 sur la Résolution</w:t>
            </w:r>
            <w:r w:rsidRPr="00A641BE">
              <w:rPr>
                <w:b/>
                <w:bCs/>
                <w:i/>
                <w:iCs/>
                <w:sz w:val="22"/>
                <w:lang w:val="fr-FR"/>
              </w:rPr>
              <w:t xml:space="preserve"> 80 (Rév.CMR-07)</w:t>
            </w:r>
            <w:r w:rsidRPr="00A641BE">
              <w:rPr>
                <w:sz w:val="22"/>
                <w:lang w:val="fr-FR"/>
              </w:rPr>
              <w:t>.</w:t>
            </w:r>
            <w:bookmarkEnd w:id="8"/>
            <w:r w:rsidRPr="00A641BE">
              <w:rPr>
                <w:sz w:val="22"/>
                <w:lang w:val="fr-FR"/>
              </w:rPr>
              <w:t xml:space="preserve"> </w:t>
            </w:r>
            <w:bookmarkStart w:id="9" w:name="lt_pId175"/>
            <w:r w:rsidRPr="00A641BE">
              <w:rPr>
                <w:sz w:val="22"/>
                <w:lang w:val="fr-FR"/>
              </w:rPr>
              <w:t xml:space="preserve">Ce rapport présente une synthèse des activités du RRB concernant la Résolution </w:t>
            </w:r>
            <w:r w:rsidRPr="00A641BE">
              <w:rPr>
                <w:b/>
                <w:bCs/>
                <w:sz w:val="22"/>
                <w:lang w:val="fr-FR"/>
              </w:rPr>
              <w:t>80 (Rév.CMR-07)</w:t>
            </w:r>
            <w:r w:rsidRPr="00A641BE">
              <w:rPr>
                <w:sz w:val="22"/>
                <w:lang w:val="fr-FR"/>
              </w:rPr>
              <w:t xml:space="preserve"> – Procédure de diligence due dans l'application des principes énoncés dans la Constitution.</w:t>
            </w:r>
            <w:bookmarkEnd w:id="9"/>
            <w:r w:rsidRPr="00A641BE">
              <w:rPr>
                <w:sz w:val="22"/>
                <w:lang w:val="fr-FR"/>
              </w:rPr>
              <w:t xml:space="preserve"> </w:t>
            </w:r>
            <w:bookmarkStart w:id="10" w:name="lt_pId176"/>
            <w:r w:rsidRPr="00A641BE">
              <w:rPr>
                <w:sz w:val="22"/>
                <w:lang w:val="fr-FR"/>
              </w:rPr>
              <w:t xml:space="preserve">Le rapport du Comité à la CMR-19 consiste en une mise à jour du rapport à la CMR-15, l'accent étant mis sur les efforts </w:t>
            </w:r>
            <w:r w:rsidRPr="00A641BE">
              <w:rPr>
                <w:sz w:val="22"/>
                <w:lang w:val="fr-FR"/>
              </w:rPr>
              <w:br w:type="page"/>
              <w:t xml:space="preserve">déployés par le Comité pour résoudre les problèmes rencontrés par le Comité et le Bureau des radiocommunications depuis la CMR-15, et qui ont une incidence sur le respect des principes énoncés dans l'article 44 de la Constitution de l'UIT ainsi qu'au numéro </w:t>
            </w:r>
            <w:r w:rsidRPr="00A641BE">
              <w:rPr>
                <w:b/>
                <w:bCs/>
                <w:sz w:val="22"/>
                <w:lang w:val="fr-FR"/>
              </w:rPr>
              <w:t>0.3</w:t>
            </w:r>
            <w:r w:rsidRPr="00A641BE">
              <w:rPr>
                <w:sz w:val="22"/>
                <w:lang w:val="fr-FR"/>
              </w:rPr>
              <w:t xml:space="preserve"> du Préambule du Règlement des radiocommunications.</w:t>
            </w:r>
            <w:bookmarkEnd w:id="10"/>
          </w:p>
          <w:p w14:paraId="42E0FEEA" w14:textId="77777777" w:rsidR="00F71C9C" w:rsidRPr="00A641BE" w:rsidRDefault="00F71C9C" w:rsidP="00437BD9">
            <w:pPr>
              <w:pStyle w:val="Tabletext"/>
              <w:tabs>
                <w:tab w:val="clear" w:pos="1134"/>
                <w:tab w:val="clear" w:pos="2268"/>
              </w:tabs>
              <w:rPr>
                <w:i/>
                <w:iCs/>
                <w:sz w:val="22"/>
                <w:lang w:val="fr-FR"/>
              </w:rPr>
            </w:pPr>
            <w:bookmarkStart w:id="11" w:name="lt_pId177"/>
            <w:r w:rsidRPr="00A641BE">
              <w:rPr>
                <w:sz w:val="22"/>
                <w:lang w:val="fr-FR"/>
              </w:rPr>
              <w:t>Le rapport du Comité indique, entre autres, ce qui suit: «</w:t>
            </w:r>
            <w:r w:rsidRPr="00A641BE">
              <w:rPr>
                <w:i/>
                <w:iCs/>
                <w:sz w:val="22"/>
                <w:lang w:val="fr-FR"/>
              </w:rPr>
              <w:t>Le Comité a examiné les inquiétudes exprimées par certaines administrations, qui se demandaient si l'application par d'autres administrations de l'article 48 de la Constitution de l'UIT était justifiée</w:t>
            </w:r>
            <w:bookmarkEnd w:id="11"/>
            <w:r w:rsidRPr="00A641BE">
              <w:rPr>
                <w:i/>
                <w:iCs/>
                <w:sz w:val="22"/>
                <w:lang w:val="fr-FR"/>
              </w:rPr>
              <w:t xml:space="preserve"> Les cas allégués de non</w:t>
            </w:r>
            <w:r w:rsidRPr="00A641BE">
              <w:rPr>
                <w:i/>
                <w:iCs/>
                <w:sz w:val="22"/>
                <w:lang w:val="fr-FR"/>
              </w:rPr>
              <w:noBreakHyphen/>
              <w:t>conformité à l'article 48 de la Constitution qui ont été présentés au Comité peuvent être résumés comme suit:</w:t>
            </w:r>
          </w:p>
          <w:p w14:paraId="4CA0224F" w14:textId="22F7CB7B" w:rsidR="00F71C9C" w:rsidRPr="00A641BE" w:rsidRDefault="00F71C9C" w:rsidP="003B7DE7">
            <w:pPr>
              <w:pStyle w:val="Tabletext"/>
              <w:tabs>
                <w:tab w:val="clear" w:pos="284"/>
                <w:tab w:val="clear" w:pos="1134"/>
              </w:tabs>
              <w:ind w:left="463" w:hanging="463"/>
              <w:rPr>
                <w:i/>
                <w:sz w:val="22"/>
                <w:lang w:val="fr-FR"/>
              </w:rPr>
            </w:pPr>
            <w:r w:rsidRPr="00A641BE">
              <w:rPr>
                <w:i/>
                <w:sz w:val="22"/>
                <w:lang w:val="fr-FR"/>
              </w:rPr>
              <w:t>–</w:t>
            </w:r>
            <w:r w:rsidRPr="00A641BE">
              <w:rPr>
                <w:i/>
                <w:sz w:val="22"/>
                <w:lang w:val="fr-FR"/>
              </w:rPr>
              <w:tab/>
              <w:t>Administrations invoquant l'article 48 de la Constitution après que le Bureau a entrepris un examen au titre du numéro</w:t>
            </w:r>
            <w:r w:rsidR="00F75811">
              <w:rPr>
                <w:i/>
                <w:sz w:val="22"/>
                <w:lang w:val="fr-FR"/>
              </w:rPr>
              <w:t> </w:t>
            </w:r>
            <w:r w:rsidRPr="00A641BE">
              <w:rPr>
                <w:b/>
                <w:bCs/>
                <w:i/>
                <w:sz w:val="22"/>
                <w:lang w:val="fr-FR"/>
              </w:rPr>
              <w:t>13.6</w:t>
            </w:r>
            <w:r w:rsidRPr="00A641BE">
              <w:rPr>
                <w:i/>
                <w:sz w:val="22"/>
                <w:lang w:val="fr-FR"/>
              </w:rPr>
              <w:t xml:space="preserve"> du RR, pour en empêcher l'application et conserver leurs droits dans le Fichier de référence international des fréquences.</w:t>
            </w:r>
          </w:p>
          <w:p w14:paraId="36511F98" w14:textId="77777777" w:rsidR="00F71C9C" w:rsidRPr="00A641BE" w:rsidRDefault="00F71C9C" w:rsidP="003B7DE7">
            <w:pPr>
              <w:pStyle w:val="Tabletext"/>
              <w:tabs>
                <w:tab w:val="clear" w:pos="284"/>
                <w:tab w:val="clear" w:pos="1134"/>
              </w:tabs>
              <w:ind w:left="463" w:hanging="463"/>
              <w:rPr>
                <w:sz w:val="22"/>
                <w:lang w:val="fr-FR"/>
              </w:rPr>
            </w:pPr>
            <w:r w:rsidRPr="00A641BE">
              <w:rPr>
                <w:i/>
                <w:sz w:val="22"/>
                <w:lang w:val="fr-FR"/>
              </w:rPr>
              <w:t>–</w:t>
            </w:r>
            <w:r w:rsidRPr="00A641BE">
              <w:rPr>
                <w:i/>
                <w:sz w:val="22"/>
                <w:lang w:val="fr-FR"/>
              </w:rPr>
              <w:tab/>
              <w:t>Administrations invoquant l'article 48 de la Constitution pour des assignations de fréquence qui ne sont pas utilisées à des fins militaires.</w:t>
            </w:r>
            <w:r w:rsidRPr="00A641BE">
              <w:rPr>
                <w:sz w:val="22"/>
                <w:lang w:val="fr-FR"/>
              </w:rPr>
              <w:t>»</w:t>
            </w:r>
          </w:p>
          <w:p w14:paraId="6135DD76" w14:textId="77777777" w:rsidR="00F71C9C" w:rsidRPr="00A641BE" w:rsidRDefault="00F71C9C" w:rsidP="00437BD9">
            <w:pPr>
              <w:pStyle w:val="Tabletext"/>
              <w:tabs>
                <w:tab w:val="clear" w:pos="1134"/>
                <w:tab w:val="clear" w:pos="2268"/>
              </w:tabs>
              <w:rPr>
                <w:sz w:val="22"/>
                <w:lang w:val="fr-FR"/>
              </w:rPr>
            </w:pPr>
            <w:r w:rsidRPr="00A641BE">
              <w:rPr>
                <w:sz w:val="22"/>
                <w:lang w:val="fr-FR"/>
              </w:rPr>
              <w:t>En réponse au rapport du Comité, plusieurs administrations ont présenté des contributions à la Conférence faisant état de diverses mesures à soumettre à la Conférence pour répondre aux inquiétudes exprimées par les administrations; toutefois, il est entendu qu'aucune de ces mesures ne peut être mise en œuvre tant qu'une Conférence de plénipotentiaires n'a pas expressément chargé une CMR de le faire.</w:t>
            </w:r>
          </w:p>
          <w:p w14:paraId="6A7DF080" w14:textId="77777777" w:rsidR="00F71C9C" w:rsidRPr="00A641BE" w:rsidRDefault="00F71C9C" w:rsidP="00437BD9">
            <w:pPr>
              <w:pStyle w:val="Tabletext"/>
              <w:tabs>
                <w:tab w:val="clear" w:pos="1134"/>
                <w:tab w:val="clear" w:pos="2268"/>
              </w:tabs>
              <w:rPr>
                <w:sz w:val="22"/>
                <w:lang w:val="fr-FR"/>
              </w:rPr>
            </w:pPr>
            <w:r w:rsidRPr="00A641BE">
              <w:rPr>
                <w:sz w:val="22"/>
                <w:lang w:val="fr-FR"/>
              </w:rPr>
              <w:t xml:space="preserve">Compte tenu du rapport du Comité sur la Résolution </w:t>
            </w:r>
            <w:r w:rsidRPr="00A641BE">
              <w:rPr>
                <w:b/>
                <w:bCs/>
                <w:sz w:val="22"/>
                <w:lang w:val="fr-FR"/>
              </w:rPr>
              <w:t>80</w:t>
            </w:r>
            <w:r w:rsidRPr="00A641BE">
              <w:rPr>
                <w:sz w:val="22"/>
                <w:lang w:val="fr-FR"/>
              </w:rPr>
              <w:t xml:space="preserve"> </w:t>
            </w:r>
            <w:r w:rsidRPr="00A641BE">
              <w:rPr>
                <w:b/>
                <w:bCs/>
                <w:sz w:val="22"/>
                <w:lang w:val="fr-FR"/>
              </w:rPr>
              <w:t>(Rév.CMR-07)</w:t>
            </w:r>
            <w:r w:rsidRPr="00A641BE">
              <w:rPr>
                <w:sz w:val="22"/>
                <w:lang w:val="fr-FR"/>
              </w:rPr>
              <w:t>, ainsi que des contributions et des observations soumises à la CMR-19 en lien avec ce rapport, la CMR-19, au titre de l'article 21 de la Convention de l'UIT, invite la Conférence de plénipotentiaires de 2022 à examiner la question relative à l'invocation de l'article 48 de la Constitution en ce qui concerne le Règlement des radiocommunications, qui a été soulevée à la CMR-19, et à prendre les mesures nécessaires, selon qu'il convient.</w:t>
            </w:r>
          </w:p>
          <w:p w14:paraId="0831758B" w14:textId="7DE5BC67" w:rsidR="00F71C9C" w:rsidRPr="00A641BE" w:rsidRDefault="00F71C9C" w:rsidP="00437BD9">
            <w:pPr>
              <w:pStyle w:val="Tabletext"/>
              <w:tabs>
                <w:tab w:val="clear" w:pos="1134"/>
                <w:tab w:val="clear" w:pos="2268"/>
              </w:tabs>
              <w:rPr>
                <w:sz w:val="22"/>
                <w:lang w:val="fr-FR"/>
              </w:rPr>
            </w:pPr>
            <w:r w:rsidRPr="00A641BE">
              <w:rPr>
                <w:sz w:val="22"/>
                <w:lang w:val="fr-FR"/>
              </w:rPr>
              <w:t>En outre, la CMR-19 a chargé le Bureau de continuer d'appliquer la pratique qu'il suit actuellement, qui consiste à répondre aux demandes spécifiques des administrations concernant la situation de certains réseaux à satellite donnés, y compris lorsqu'il s'agit d'indications précisant si l'article 48 de la Constitution a été invoqué pour un réseau à satellite.</w:t>
            </w:r>
          </w:p>
        </w:tc>
      </w:tr>
      <w:tr w:rsidR="00F71C9C" w:rsidRPr="00AD36B1" w14:paraId="7B3D17DE" w14:textId="77777777" w:rsidTr="00F75811">
        <w:tc>
          <w:tcPr>
            <w:tcW w:w="1696" w:type="dxa"/>
            <w:vMerge/>
          </w:tcPr>
          <w:p w14:paraId="6E3AF14B" w14:textId="77777777" w:rsidR="00F71C9C" w:rsidRPr="00A641BE" w:rsidRDefault="00F71C9C" w:rsidP="00437BD9">
            <w:pPr>
              <w:pStyle w:val="Tablehead"/>
              <w:keepNext w:val="0"/>
              <w:jc w:val="left"/>
              <w:rPr>
                <w:bCs/>
                <w:sz w:val="22"/>
                <w:lang w:val="fr-FR"/>
              </w:rPr>
            </w:pPr>
          </w:p>
        </w:tc>
        <w:tc>
          <w:tcPr>
            <w:tcW w:w="2127" w:type="dxa"/>
          </w:tcPr>
          <w:p w14:paraId="650D9416" w14:textId="285AB64C" w:rsidR="00F71C9C" w:rsidRPr="00A641BE" w:rsidRDefault="00F71C9C" w:rsidP="00437BD9">
            <w:pPr>
              <w:pStyle w:val="Tablehead"/>
              <w:keepNext w:val="0"/>
              <w:jc w:val="left"/>
              <w:rPr>
                <w:sz w:val="22"/>
                <w:lang w:val="fr-FR"/>
              </w:rPr>
            </w:pPr>
            <w:r w:rsidRPr="00A641BE">
              <w:rPr>
                <w:sz w:val="22"/>
                <w:lang w:val="fr-FR"/>
              </w:rPr>
              <w:t>Paragraphes 3.11 à</w:t>
            </w:r>
            <w:r w:rsidR="003B7DE7">
              <w:rPr>
                <w:sz w:val="22"/>
                <w:lang w:val="fr-FR"/>
              </w:rPr>
              <w:t> </w:t>
            </w:r>
            <w:r w:rsidRPr="00A641BE">
              <w:rPr>
                <w:sz w:val="22"/>
                <w:lang w:val="fr-FR"/>
              </w:rPr>
              <w:t>3.15</w:t>
            </w:r>
          </w:p>
          <w:p w14:paraId="6647CC05" w14:textId="5FB9FD00" w:rsidR="00F71C9C" w:rsidRPr="00A641BE" w:rsidRDefault="00F71C9C" w:rsidP="00437BD9">
            <w:pPr>
              <w:pStyle w:val="Tablehead"/>
              <w:keepNext w:val="0"/>
              <w:jc w:val="left"/>
              <w:rPr>
                <w:sz w:val="22"/>
                <w:lang w:val="fr-FR"/>
              </w:rPr>
            </w:pPr>
            <w:r w:rsidRPr="00A641BE">
              <w:rPr>
                <w:sz w:val="22"/>
                <w:lang w:val="fr-FR"/>
              </w:rPr>
              <w:t xml:space="preserve">Approbation du Document </w:t>
            </w:r>
            <w:hyperlink r:id="rId28" w:history="1">
              <w:r w:rsidRPr="00EA3EF0">
                <w:rPr>
                  <w:rStyle w:val="Hyperlink"/>
                  <w:sz w:val="22"/>
                  <w:lang w:val="fr-FR"/>
                </w:rPr>
                <w:t>451</w:t>
              </w:r>
            </w:hyperlink>
          </w:p>
        </w:tc>
        <w:tc>
          <w:tcPr>
            <w:tcW w:w="11340" w:type="dxa"/>
          </w:tcPr>
          <w:p w14:paraId="507B3A96" w14:textId="7139629C" w:rsidR="00F71C9C" w:rsidRPr="00A641BE" w:rsidRDefault="00F71C9C" w:rsidP="003B7DE7">
            <w:pPr>
              <w:pStyle w:val="Tabletext"/>
              <w:tabs>
                <w:tab w:val="clear" w:pos="1134"/>
                <w:tab w:val="clear" w:pos="2268"/>
              </w:tabs>
              <w:spacing w:before="80"/>
              <w:rPr>
                <w:sz w:val="22"/>
                <w:lang w:val="fr-FR"/>
              </w:rPr>
            </w:pPr>
            <w:bookmarkStart w:id="12" w:name="lt_pId199"/>
            <w:r w:rsidRPr="00A641BE">
              <w:rPr>
                <w:sz w:val="22"/>
                <w:lang w:val="fr-FR"/>
              </w:rPr>
              <w:t>Au titre du point 9.2 de l'ordre du jour de la CMR-19, la Conférence a reçu l'Addendum 2 au Document 4, établi par le Directeur du Bureau des radiocommunications et intitulé «Rapport du Directeur sur les activités du Secteur des radiocommunications, Partie 2». Ce rapport contient un résumé des résultats obtenus dans l'application des procédures prévues dans le Règlement des radiocommunications et d'autres sujets connexes.</w:t>
            </w:r>
            <w:bookmarkStart w:id="13" w:name="lt_pId200"/>
            <w:bookmarkEnd w:id="12"/>
            <w:r w:rsidRPr="00A641BE">
              <w:rPr>
                <w:sz w:val="22"/>
                <w:lang w:val="fr-FR"/>
              </w:rPr>
              <w:t xml:space="preserve"> Le Document </w:t>
            </w:r>
            <w:hyperlink r:id="rId29" w:history="1">
              <w:r w:rsidRPr="00AD36B1">
                <w:rPr>
                  <w:rStyle w:val="Hyperlink"/>
                  <w:sz w:val="22"/>
                  <w:lang w:val="fr-CH"/>
                </w:rPr>
                <w:t>351</w:t>
              </w:r>
            </w:hyperlink>
            <w:r w:rsidRPr="00A641BE">
              <w:rPr>
                <w:sz w:val="22"/>
                <w:lang w:val="fr-FR"/>
              </w:rPr>
              <w:t xml:space="preserve"> regroupe les résultats obtenus par la CMR-19 dans le cadre de l'examen du rapport du Directeur.</w:t>
            </w:r>
            <w:bookmarkEnd w:id="13"/>
          </w:p>
          <w:p w14:paraId="22837E3C" w14:textId="77777777" w:rsidR="00F71C9C" w:rsidRPr="00A641BE" w:rsidRDefault="00F71C9C" w:rsidP="003B7DE7">
            <w:pPr>
              <w:pStyle w:val="Tabletext"/>
              <w:tabs>
                <w:tab w:val="clear" w:pos="1134"/>
                <w:tab w:val="clear" w:pos="2268"/>
              </w:tabs>
              <w:spacing w:before="120"/>
              <w:rPr>
                <w:sz w:val="22"/>
                <w:lang w:val="fr-FR"/>
              </w:rPr>
            </w:pPr>
            <w:bookmarkStart w:id="14" w:name="lt_pId201"/>
            <w:r w:rsidRPr="00A641BE">
              <w:rPr>
                <w:sz w:val="22"/>
                <w:lang w:val="fr-FR"/>
              </w:rPr>
              <w:t xml:space="preserve">En ce qui concerne l'examen de la section 3.1.2.1, intitulée «Besoins de coordination au titre du numéro </w:t>
            </w:r>
            <w:r w:rsidRPr="00A641BE">
              <w:rPr>
                <w:b/>
                <w:bCs/>
                <w:sz w:val="22"/>
                <w:lang w:val="fr-FR"/>
              </w:rPr>
              <w:t>9.7</w:t>
            </w:r>
            <w:r w:rsidRPr="00A641BE">
              <w:rPr>
                <w:sz w:val="22"/>
                <w:lang w:val="fr-FR"/>
              </w:rPr>
              <w:t xml:space="preserve"> du RR dans le cas d'une liaison inter-satellites entre une station spatiale géostationnaire et une station spatiale non géostationnaire, conformément au numéro </w:t>
            </w:r>
            <w:r w:rsidRPr="00A641BE">
              <w:rPr>
                <w:b/>
                <w:bCs/>
                <w:sz w:val="22"/>
                <w:lang w:val="fr-FR"/>
              </w:rPr>
              <w:t>5.328B</w:t>
            </w:r>
            <w:r w:rsidRPr="00A641BE">
              <w:rPr>
                <w:sz w:val="22"/>
                <w:lang w:val="fr-FR"/>
              </w:rPr>
              <w:t xml:space="preserve"> du RR», afin de satisfaire aux exigences du numéro </w:t>
            </w:r>
            <w:r w:rsidRPr="00A641BE">
              <w:rPr>
                <w:b/>
                <w:bCs/>
                <w:sz w:val="22"/>
                <w:lang w:val="fr-FR"/>
              </w:rPr>
              <w:t>5.328B</w:t>
            </w:r>
            <w:r w:rsidRPr="00A641BE">
              <w:rPr>
                <w:sz w:val="22"/>
                <w:lang w:val="fr-FR"/>
              </w:rPr>
              <w:t xml:space="preserve"> du RR et du § 6.4 de la Règle de procédure relative au numéro </w:t>
            </w:r>
            <w:r w:rsidRPr="00A641BE">
              <w:rPr>
                <w:b/>
                <w:bCs/>
                <w:sz w:val="22"/>
                <w:lang w:val="fr-FR"/>
              </w:rPr>
              <w:t>11.32</w:t>
            </w:r>
            <w:r w:rsidRPr="00A641BE">
              <w:rPr>
                <w:sz w:val="22"/>
                <w:lang w:val="fr-FR"/>
              </w:rPr>
              <w:t xml:space="preserve"> du RR, la CMR-19 charge le Bureau d'établir les besoins de coordination pour cette liaison d'une station OSG sur la base du chevauchement de fréquences, de la même façon que pour une station non OSG, jusqu'à ce que d'autres critères ou méthodes soient élaborés.</w:t>
            </w:r>
            <w:bookmarkEnd w:id="14"/>
          </w:p>
          <w:p w14:paraId="298E934C" w14:textId="0BB88337" w:rsidR="00F71C9C" w:rsidRPr="00A641BE" w:rsidRDefault="00F71C9C" w:rsidP="003B7DE7">
            <w:pPr>
              <w:pStyle w:val="Tabletext"/>
              <w:tabs>
                <w:tab w:val="clear" w:pos="1134"/>
                <w:tab w:val="clear" w:pos="2268"/>
              </w:tabs>
              <w:spacing w:before="120"/>
              <w:rPr>
                <w:sz w:val="22"/>
                <w:lang w:val="fr-FR"/>
              </w:rPr>
            </w:pPr>
            <w:bookmarkStart w:id="15" w:name="lt_pId202"/>
            <w:r w:rsidRPr="00A641BE">
              <w:rPr>
                <w:sz w:val="22"/>
                <w:lang w:val="fr-FR"/>
              </w:rPr>
              <w:t>En ce qui concerne l'examen de la section 3.1.3.4, intitulée «Projet de base de données CR/D mise à disposition dans la</w:t>
            </w:r>
            <w:r w:rsidR="003B7DE7">
              <w:rPr>
                <w:sz w:val="22"/>
                <w:lang w:val="fr-FR"/>
              </w:rPr>
              <w:t> </w:t>
            </w:r>
            <w:r w:rsidRPr="00A641BE">
              <w:rPr>
                <w:sz w:val="22"/>
                <w:lang w:val="fr-FR"/>
              </w:rPr>
              <w:t>BR</w:t>
            </w:r>
            <w:r w:rsidR="003B7DE7">
              <w:rPr>
                <w:sz w:val="22"/>
                <w:lang w:val="fr-FR"/>
              </w:rPr>
              <w:t> </w:t>
            </w:r>
            <w:r w:rsidRPr="00A641BE">
              <w:rPr>
                <w:sz w:val="22"/>
                <w:lang w:val="fr-FR"/>
              </w:rPr>
              <w:t xml:space="preserve">IFIC avant la publication d'une section spéciale CR/D conformément au numéro </w:t>
            </w:r>
            <w:r w:rsidRPr="00A641BE">
              <w:rPr>
                <w:b/>
                <w:bCs/>
                <w:sz w:val="22"/>
                <w:lang w:val="fr-FR"/>
              </w:rPr>
              <w:t>9.53A</w:t>
            </w:r>
            <w:r w:rsidRPr="00A641BE">
              <w:rPr>
                <w:sz w:val="22"/>
                <w:lang w:val="fr-FR"/>
              </w:rPr>
              <w:t xml:space="preserve"> du RR», la CMR-19 charge le Bureau de cesser la pratique actuelle consistant à créer un projet de base de données CR/D.</w:t>
            </w:r>
            <w:bookmarkEnd w:id="15"/>
          </w:p>
          <w:p w14:paraId="5DB599BB" w14:textId="77777777" w:rsidR="00F71C9C" w:rsidRPr="00A641BE" w:rsidRDefault="00F71C9C" w:rsidP="003B7DE7">
            <w:pPr>
              <w:pStyle w:val="Tabletext"/>
              <w:tabs>
                <w:tab w:val="clear" w:pos="1134"/>
                <w:tab w:val="clear" w:pos="2268"/>
              </w:tabs>
              <w:spacing w:before="120"/>
              <w:rPr>
                <w:sz w:val="22"/>
                <w:lang w:val="fr-FR"/>
              </w:rPr>
            </w:pPr>
            <w:bookmarkStart w:id="16" w:name="lt_pId203"/>
            <w:r w:rsidRPr="00A641BE">
              <w:rPr>
                <w:sz w:val="22"/>
                <w:lang w:val="fr-FR"/>
              </w:rPr>
              <w:t xml:space="preserve">En ce qui concerne l'examen de la section 3.1.4.2, intitulée «Statut de la coordination d'un réseau à satellite lors de l'examen au titre des numéros </w:t>
            </w:r>
            <w:r w:rsidRPr="00A641BE">
              <w:rPr>
                <w:b/>
                <w:bCs/>
                <w:sz w:val="22"/>
                <w:lang w:val="fr-FR"/>
              </w:rPr>
              <w:t>11.32</w:t>
            </w:r>
            <w:r w:rsidRPr="00A641BE">
              <w:rPr>
                <w:sz w:val="22"/>
                <w:lang w:val="fr-FR"/>
              </w:rPr>
              <w:t xml:space="preserve"> et </w:t>
            </w:r>
            <w:r w:rsidRPr="00A641BE">
              <w:rPr>
                <w:b/>
                <w:bCs/>
                <w:sz w:val="22"/>
                <w:lang w:val="fr-FR"/>
              </w:rPr>
              <w:t>11.32A</w:t>
            </w:r>
            <w:r w:rsidRPr="00A641BE">
              <w:rPr>
                <w:sz w:val="22"/>
                <w:lang w:val="fr-FR"/>
              </w:rPr>
              <w:t xml:space="preserve"> du RR», la CMR-19 souscrit à l'élaboration par le Bureau des outils logiciels décrits dans ce paragraphe du rapport du Directeur et confirme que les outils décrits dans ce paragraphe répondront aux besoins des administrations pour communiquer le statut de la coordination vis-à-vis d'une administration affectée.</w:t>
            </w:r>
            <w:bookmarkEnd w:id="16"/>
          </w:p>
          <w:p w14:paraId="1AD793F2" w14:textId="77777777" w:rsidR="00F71C9C" w:rsidRPr="00A641BE" w:rsidRDefault="00F71C9C" w:rsidP="003B7DE7">
            <w:pPr>
              <w:pStyle w:val="Tabletext"/>
              <w:tabs>
                <w:tab w:val="clear" w:pos="1134"/>
                <w:tab w:val="clear" w:pos="2268"/>
              </w:tabs>
              <w:spacing w:before="120"/>
              <w:rPr>
                <w:sz w:val="22"/>
                <w:lang w:val="fr-FR"/>
              </w:rPr>
            </w:pPr>
            <w:bookmarkStart w:id="17" w:name="lt_pId204"/>
            <w:r w:rsidRPr="00A641BE">
              <w:rPr>
                <w:sz w:val="22"/>
                <w:lang w:val="fr-FR"/>
              </w:rPr>
              <w:t xml:space="preserve">La CMR-19 charge le Bureau, lorsqu'il mène à bien l'examen au titre du numéro </w:t>
            </w:r>
            <w:r w:rsidRPr="00A641BE">
              <w:rPr>
                <w:b/>
                <w:bCs/>
                <w:sz w:val="22"/>
                <w:lang w:val="fr-FR"/>
              </w:rPr>
              <w:t>11.32A</w:t>
            </w:r>
            <w:r w:rsidRPr="00A641BE">
              <w:rPr>
                <w:sz w:val="22"/>
                <w:lang w:val="fr-FR"/>
              </w:rPr>
              <w:t xml:space="preserve"> du RR, de tenir également compte du statut de l'accord de coordination vis-à-vis des réseaux à satellites des administrations affectées au niveau des fiches de notification lorsque ces renseignements sont fournis, afin que l'administration notificatrice puisse tirer parti des accords de coordination déjà obtenus.</w:t>
            </w:r>
            <w:bookmarkEnd w:id="17"/>
          </w:p>
          <w:p w14:paraId="5B536BCD" w14:textId="77777777" w:rsidR="00F71C9C" w:rsidRPr="00A641BE" w:rsidRDefault="00F71C9C" w:rsidP="00437BD9">
            <w:pPr>
              <w:pStyle w:val="Tabletext"/>
              <w:tabs>
                <w:tab w:val="clear" w:pos="1134"/>
                <w:tab w:val="clear" w:pos="2268"/>
              </w:tabs>
              <w:rPr>
                <w:sz w:val="22"/>
                <w:lang w:val="fr-FR"/>
              </w:rPr>
            </w:pPr>
            <w:bookmarkStart w:id="18" w:name="lt_pId205"/>
            <w:r w:rsidRPr="00A641BE">
              <w:rPr>
                <w:sz w:val="22"/>
                <w:lang w:val="fr-FR"/>
              </w:rPr>
              <w:t xml:space="preserve">La CMR-19 a décidé de modifier les parties pertinentes de l'Appendice </w:t>
            </w:r>
            <w:r w:rsidRPr="00A641BE">
              <w:rPr>
                <w:b/>
                <w:bCs/>
                <w:sz w:val="22"/>
                <w:lang w:val="fr-FR"/>
              </w:rPr>
              <w:t>4</w:t>
            </w:r>
            <w:r w:rsidRPr="00A641BE">
              <w:rPr>
                <w:sz w:val="22"/>
                <w:lang w:val="fr-FR"/>
              </w:rPr>
              <w:t xml:space="preserve"> du RR pour permettre la réalisation de cet examen.</w:t>
            </w:r>
            <w:bookmarkEnd w:id="18"/>
          </w:p>
          <w:p w14:paraId="2A5B7CDA" w14:textId="77777777" w:rsidR="00F71C9C" w:rsidRPr="00A641BE" w:rsidRDefault="00F71C9C" w:rsidP="003B7DE7">
            <w:pPr>
              <w:pStyle w:val="Tabletext"/>
              <w:tabs>
                <w:tab w:val="clear" w:pos="1134"/>
                <w:tab w:val="clear" w:pos="2268"/>
              </w:tabs>
              <w:spacing w:before="120"/>
              <w:rPr>
                <w:sz w:val="22"/>
                <w:lang w:val="fr-FR"/>
              </w:rPr>
            </w:pPr>
            <w:bookmarkStart w:id="19" w:name="lt_pId206"/>
            <w:r w:rsidRPr="00A641BE">
              <w:rPr>
                <w:sz w:val="22"/>
                <w:lang w:val="fr-FR"/>
              </w:rPr>
              <w:t xml:space="preserve">En ce qui concerne l'examen de la section 3.1.4.3, intitulée «Éventuelle révision de l'application du numéro </w:t>
            </w:r>
            <w:r w:rsidRPr="00A641BE">
              <w:rPr>
                <w:b/>
                <w:bCs/>
                <w:sz w:val="22"/>
                <w:lang w:val="fr-FR"/>
              </w:rPr>
              <w:t>11.47</w:t>
            </w:r>
            <w:r w:rsidRPr="00A641BE">
              <w:rPr>
                <w:sz w:val="22"/>
                <w:lang w:val="fr-FR"/>
              </w:rPr>
              <w:t xml:space="preserve"> du RR en ce qui concerne les inscriptions provisoires», la CMR-19 a choisi la seconde des deux options à privilégier qui sont présentées dans ce paragraphe du rapport afin de traiter la question soulevée, comme suit:</w:t>
            </w:r>
            <w:bookmarkEnd w:id="19"/>
          </w:p>
          <w:p w14:paraId="12D187D2" w14:textId="77777777" w:rsidR="00F71C9C" w:rsidRPr="00A641BE" w:rsidRDefault="00F71C9C" w:rsidP="003B7DE7">
            <w:pPr>
              <w:pStyle w:val="Tabletext"/>
              <w:tabs>
                <w:tab w:val="clear" w:pos="1134"/>
                <w:tab w:val="clear" w:pos="2268"/>
              </w:tabs>
              <w:spacing w:before="120"/>
              <w:rPr>
                <w:sz w:val="22"/>
                <w:lang w:val="fr-FR"/>
              </w:rPr>
            </w:pPr>
            <w:bookmarkStart w:id="20" w:name="lt_pId207"/>
            <w:r w:rsidRPr="00A641BE">
              <w:rPr>
                <w:sz w:val="22"/>
                <w:lang w:val="fr-FR"/>
              </w:rPr>
              <w:t xml:space="preserve">Le Bureau est chargé de remplacer automatiquement les dates prévues de mise en service dans la base de données par la date de fin du délai réglementaire prévu au numéro </w:t>
            </w:r>
            <w:r w:rsidRPr="00A641BE">
              <w:rPr>
                <w:b/>
                <w:bCs/>
                <w:sz w:val="22"/>
                <w:lang w:val="fr-FR"/>
              </w:rPr>
              <w:t>11.44</w:t>
            </w:r>
            <w:r w:rsidRPr="00A641BE">
              <w:rPr>
                <w:sz w:val="22"/>
                <w:lang w:val="fr-FR"/>
              </w:rPr>
              <w:t xml:space="preserve"> du RR si le Bureau n'a pas reçu de confirmation dans les 4 mois </w:t>
            </w:r>
            <w:r w:rsidRPr="00A641BE">
              <w:rPr>
                <w:sz w:val="22"/>
                <w:lang w:val="fr-FR"/>
              </w:rPr>
              <w:lastRenderedPageBreak/>
              <w:t>qui suivent la date prévue de mise en service: la modification de la date de mise en service ne fera pas l'objet d'une publication, mais l'information sera mise en ligne sur le site web du BR.</w:t>
            </w:r>
            <w:bookmarkStart w:id="21" w:name="lt_pId208"/>
            <w:bookmarkEnd w:id="20"/>
            <w:r w:rsidRPr="00A641BE">
              <w:rPr>
                <w:sz w:val="22"/>
                <w:lang w:val="fr-FR"/>
              </w:rPr>
              <w:t xml:space="preserve"> Cette option ne suppose pas de modification du Règlement des radiocommunications en vigueur.</w:t>
            </w:r>
            <w:bookmarkEnd w:id="21"/>
          </w:p>
          <w:p w14:paraId="3B553164" w14:textId="22B6E63F" w:rsidR="00F71C9C" w:rsidRPr="00A641BE" w:rsidRDefault="00F71C9C" w:rsidP="003B7DE7">
            <w:pPr>
              <w:pStyle w:val="Tabletext"/>
              <w:tabs>
                <w:tab w:val="clear" w:pos="1134"/>
                <w:tab w:val="clear" w:pos="2268"/>
              </w:tabs>
              <w:spacing w:before="120"/>
              <w:rPr>
                <w:sz w:val="22"/>
                <w:lang w:val="fr-FR"/>
              </w:rPr>
            </w:pPr>
            <w:bookmarkStart w:id="22" w:name="lt_pId209"/>
            <w:r w:rsidRPr="00A641BE">
              <w:rPr>
                <w:sz w:val="22"/>
                <w:lang w:val="fr-FR"/>
              </w:rPr>
              <w:t xml:space="preserve">En ce qui concerne l'examen de la section 3.1.7.1, intitulée «Limites de puissance surfacique de l'Article </w:t>
            </w:r>
            <w:r w:rsidRPr="00A641BE">
              <w:rPr>
                <w:b/>
                <w:bCs/>
                <w:sz w:val="22"/>
                <w:lang w:val="fr-FR"/>
              </w:rPr>
              <w:t>21</w:t>
            </w:r>
            <w:r w:rsidRPr="00A641BE">
              <w:rPr>
                <w:sz w:val="22"/>
                <w:lang w:val="fr-FR"/>
              </w:rPr>
              <w:t xml:space="preserve"> du RR applicables au service mobile par satellite dans la bande de fréquences 40</w:t>
            </w:r>
            <w:r w:rsidRPr="00A641BE">
              <w:rPr>
                <w:sz w:val="22"/>
                <w:lang w:val="fr-FR"/>
              </w:rPr>
              <w:noBreakHyphen/>
              <w:t xml:space="preserve">40,5 GHz», la CMR-19 a décidé de rétablir la mention manquante du service mobile par satellite </w:t>
            </w:r>
            <w:r w:rsidRPr="00A641BE">
              <w:rPr>
                <w:sz w:val="22"/>
                <w:lang w:val="fr-FR"/>
              </w:rPr>
              <w:br w:type="page"/>
              <w:t xml:space="preserve">dans la bande de fréquences 40-40,5 GHz dans le Tableau </w:t>
            </w:r>
            <w:r w:rsidRPr="00A641BE">
              <w:rPr>
                <w:b/>
                <w:bCs/>
                <w:sz w:val="22"/>
                <w:lang w:val="fr-FR"/>
              </w:rPr>
              <w:t>21-4</w:t>
            </w:r>
            <w:r w:rsidRPr="00A641BE">
              <w:rPr>
                <w:sz w:val="22"/>
                <w:lang w:val="fr-FR"/>
              </w:rPr>
              <w:t xml:space="preserve"> du RR et de faire en sorte que cette modification entre en vigueur le 23 novembre 2019.</w:t>
            </w:r>
            <w:bookmarkEnd w:id="22"/>
            <w:r w:rsidRPr="00A641BE">
              <w:rPr>
                <w:sz w:val="22"/>
                <w:lang w:val="fr-FR"/>
              </w:rPr>
              <w:t xml:space="preserve"> </w:t>
            </w:r>
            <w:bookmarkStart w:id="23" w:name="lt_pId210"/>
            <w:r w:rsidRPr="00A641BE">
              <w:rPr>
                <w:sz w:val="22"/>
                <w:lang w:val="fr-FR"/>
              </w:rPr>
              <w:t>En outre, la CMR-19 a chargé le Bureau de ne pas examiner les assignations de fréquence au SMS déjà publiées au moment où ce rétablissement entrera en vigueur.</w:t>
            </w:r>
            <w:bookmarkEnd w:id="23"/>
          </w:p>
          <w:p w14:paraId="4E548FD6" w14:textId="77777777" w:rsidR="00F71C9C" w:rsidRPr="00A641BE" w:rsidRDefault="00F71C9C" w:rsidP="003B7DE7">
            <w:pPr>
              <w:pStyle w:val="Tabletext"/>
              <w:tabs>
                <w:tab w:val="clear" w:pos="1134"/>
                <w:tab w:val="clear" w:pos="2268"/>
              </w:tabs>
              <w:spacing w:before="120"/>
              <w:rPr>
                <w:sz w:val="22"/>
                <w:lang w:val="fr-FR"/>
              </w:rPr>
            </w:pPr>
            <w:bookmarkStart w:id="24" w:name="lt_pId211"/>
            <w:r w:rsidRPr="00A641BE">
              <w:rPr>
                <w:sz w:val="22"/>
                <w:lang w:val="fr-FR"/>
              </w:rPr>
              <w:t xml:space="preserve">En ce qui concerne l'examen de la section 3.1.7.2, intitulée «Facteur d'échelle dans la définition des limites de puissance surfacique, visées à l'Article </w:t>
            </w:r>
            <w:r w:rsidRPr="00A641BE">
              <w:rPr>
                <w:b/>
                <w:bCs/>
                <w:sz w:val="22"/>
                <w:lang w:val="fr-FR"/>
              </w:rPr>
              <w:t>21</w:t>
            </w:r>
            <w:r w:rsidRPr="00A641BE">
              <w:rPr>
                <w:sz w:val="22"/>
                <w:lang w:val="fr-FR"/>
              </w:rPr>
              <w:t xml:space="preserve"> du RR, applicables aux systèmes à satellites non OSG du service fixe par satellite dans la bande de fréquences 17,7-19,3 GHz», la CMR-19 invite l'UIT-R à étudier si les équations figurant au numéro </w:t>
            </w:r>
            <w:r w:rsidRPr="00A641BE">
              <w:rPr>
                <w:b/>
                <w:bCs/>
                <w:sz w:val="22"/>
                <w:lang w:val="fr-FR"/>
              </w:rPr>
              <w:t>21.16.6</w:t>
            </w:r>
            <w:r w:rsidRPr="00A641BE">
              <w:rPr>
                <w:sz w:val="22"/>
                <w:lang w:val="fr-FR"/>
              </w:rPr>
              <w:t xml:space="preserve"> du RR sont adaptées aux grands systèmes à satellites non OSG (par exemple ceux comprenant plus de 1 000 satellites).</w:t>
            </w:r>
            <w:bookmarkEnd w:id="24"/>
            <w:r w:rsidRPr="00A641BE">
              <w:rPr>
                <w:sz w:val="22"/>
                <w:lang w:val="fr-FR"/>
              </w:rPr>
              <w:t xml:space="preserve"> </w:t>
            </w:r>
            <w:bookmarkStart w:id="25" w:name="lt_pId212"/>
            <w:r w:rsidRPr="00A641BE">
              <w:rPr>
                <w:sz w:val="22"/>
                <w:lang w:val="fr-FR"/>
              </w:rPr>
              <w:t>Les résultats de ces études pourront être examinés par la CMR-23 au titre du point permanent 7 de l'ordre du jour si une Question au titre de ce point de l'ordre du jour figure dans le Rapport de la RPC-23.</w:t>
            </w:r>
            <w:bookmarkEnd w:id="25"/>
            <w:r w:rsidRPr="00A641BE">
              <w:rPr>
                <w:sz w:val="22"/>
                <w:lang w:val="fr-FR"/>
              </w:rPr>
              <w:t xml:space="preserve"> </w:t>
            </w:r>
            <w:bookmarkStart w:id="26" w:name="lt_pId213"/>
            <w:r w:rsidRPr="00A641BE">
              <w:rPr>
                <w:sz w:val="22"/>
                <w:lang w:val="fr-FR"/>
              </w:rPr>
              <w:t xml:space="preserve">De plus, la CMR-19 charge le Bureau des radiocommunications de formuler des conclusions favorables conditionnelles au titre des numéros </w:t>
            </w:r>
            <w:r w:rsidRPr="00A641BE">
              <w:rPr>
                <w:b/>
                <w:bCs/>
                <w:sz w:val="22"/>
                <w:lang w:val="fr-FR"/>
              </w:rPr>
              <w:t>9.35/11.31</w:t>
            </w:r>
            <w:r w:rsidRPr="00A641BE">
              <w:rPr>
                <w:sz w:val="22"/>
                <w:lang w:val="fr-FR"/>
              </w:rPr>
              <w:t xml:space="preserve"> du RR lorsqu'il examinera si les assignations de fréquence aux systèmes à satellites non OSG du SFS respectent les limites de puissance surfacique de l'Article </w:t>
            </w:r>
            <w:r w:rsidRPr="00A641BE">
              <w:rPr>
                <w:b/>
                <w:bCs/>
                <w:sz w:val="22"/>
                <w:lang w:val="fr-FR"/>
              </w:rPr>
              <w:t>21</w:t>
            </w:r>
            <w:r w:rsidRPr="00A641BE">
              <w:rPr>
                <w:sz w:val="22"/>
                <w:lang w:val="fr-FR"/>
              </w:rPr>
              <w:t xml:space="preserve"> du RR applicables dans la bande de fréquences 17,7-19,3 GHz, si l'administration notificatrice soumet une demande en ce sens.</w:t>
            </w:r>
            <w:bookmarkEnd w:id="26"/>
            <w:r w:rsidRPr="00A641BE">
              <w:rPr>
                <w:sz w:val="22"/>
                <w:lang w:val="fr-FR"/>
              </w:rPr>
              <w:t xml:space="preserve"> </w:t>
            </w:r>
            <w:bookmarkStart w:id="27" w:name="lt_pId214"/>
            <w:r w:rsidRPr="00A641BE">
              <w:rPr>
                <w:sz w:val="22"/>
                <w:lang w:val="fr-FR"/>
              </w:rPr>
              <w:t>Cette pratique s'applique aux systèmes à satellites non OSG du SFS pour lesquels des demandes de coordination ont été reçues entre le 23 novembre 2019 et le dernier jour de la CMR-23.</w:t>
            </w:r>
            <w:bookmarkEnd w:id="27"/>
          </w:p>
          <w:p w14:paraId="1D1EDBA9" w14:textId="14DACF8A" w:rsidR="00F71C9C" w:rsidRPr="00A641BE" w:rsidRDefault="00F71C9C" w:rsidP="003B7DE7">
            <w:pPr>
              <w:pStyle w:val="Tabletext"/>
              <w:tabs>
                <w:tab w:val="clear" w:pos="1134"/>
                <w:tab w:val="clear" w:pos="2268"/>
              </w:tabs>
              <w:spacing w:before="120"/>
              <w:rPr>
                <w:sz w:val="22"/>
                <w:lang w:val="fr-FR"/>
              </w:rPr>
            </w:pPr>
            <w:bookmarkStart w:id="28" w:name="lt_pId215"/>
            <w:r w:rsidRPr="00A641BE">
              <w:rPr>
                <w:sz w:val="22"/>
                <w:lang w:val="fr-FR"/>
              </w:rPr>
              <w:t>En ce qui concerne l'examen de la section 3.2.5.6, intitulée «Points de la grille en mer lors de l'examen à l'aide des méthodes</w:t>
            </w:r>
            <w:r w:rsidR="003B7DE7">
              <w:rPr>
                <w:sz w:val="22"/>
                <w:lang w:val="fr-FR"/>
              </w:rPr>
              <w:t> </w:t>
            </w:r>
            <w:r w:rsidRPr="00A641BE">
              <w:rPr>
                <w:sz w:val="22"/>
                <w:lang w:val="fr-FR"/>
              </w:rPr>
              <w:t xml:space="preserve">énoncées à l'Annexe 4 de l'Appendice </w:t>
            </w:r>
            <w:r w:rsidRPr="00A641BE">
              <w:rPr>
                <w:b/>
                <w:bCs/>
                <w:sz w:val="22"/>
                <w:lang w:val="fr-FR"/>
              </w:rPr>
              <w:t>30B</w:t>
            </w:r>
            <w:r w:rsidRPr="00A641BE">
              <w:rPr>
                <w:sz w:val="22"/>
                <w:lang w:val="fr-FR"/>
              </w:rPr>
              <w:t xml:space="preserve"> du RR», la CMR-19 a décidé que seuls les points de la grille situés sur terre et à l'intérieur de la zone de service devraient être pris en compte en plus des points de mesure en application du paragraphe 2.2 de l'Annexe 4 de l'Appendice </w:t>
            </w:r>
            <w:r w:rsidRPr="00A641BE">
              <w:rPr>
                <w:b/>
                <w:bCs/>
                <w:sz w:val="22"/>
                <w:lang w:val="fr-FR"/>
              </w:rPr>
              <w:t>30B</w:t>
            </w:r>
            <w:r w:rsidRPr="00A641BE">
              <w:rPr>
                <w:sz w:val="22"/>
                <w:lang w:val="fr-FR"/>
              </w:rPr>
              <w:t>.</w:t>
            </w:r>
            <w:bookmarkEnd w:id="28"/>
            <w:r w:rsidRPr="00A641BE">
              <w:rPr>
                <w:sz w:val="22"/>
                <w:lang w:val="fr-FR"/>
              </w:rPr>
              <w:t xml:space="preserve"> </w:t>
            </w:r>
            <w:bookmarkStart w:id="29" w:name="lt_pId216"/>
            <w:r w:rsidRPr="00A641BE">
              <w:rPr>
                <w:sz w:val="22"/>
                <w:lang w:val="fr-FR"/>
              </w:rPr>
              <w:t xml:space="preserve">En prenant cette décision, la CMR-19 a reconnu que, si l'utilisation de l'Appendice </w:t>
            </w:r>
            <w:r w:rsidRPr="00A641BE">
              <w:rPr>
                <w:b/>
                <w:bCs/>
                <w:sz w:val="22"/>
                <w:lang w:val="fr-FR"/>
              </w:rPr>
              <w:t>30B</w:t>
            </w:r>
            <w:r w:rsidRPr="00A641BE">
              <w:rPr>
                <w:sz w:val="22"/>
                <w:lang w:val="fr-FR"/>
              </w:rPr>
              <w:t xml:space="preserve"> venait à s'étendre au-delà de son utilisation actuelle, il sera peut-être nécessaire de revoir cette décision à l'avenir.</w:t>
            </w:r>
            <w:bookmarkEnd w:id="29"/>
            <w:r w:rsidRPr="00A641BE">
              <w:rPr>
                <w:sz w:val="22"/>
                <w:lang w:val="fr-FR"/>
              </w:rPr>
              <w:t xml:space="preserve"> La CMR</w:t>
            </w:r>
            <w:r w:rsidR="00F75811">
              <w:rPr>
                <w:sz w:val="22"/>
                <w:lang w:val="fr-FR"/>
              </w:rPr>
              <w:noBreakHyphen/>
            </w:r>
            <w:r w:rsidRPr="00A641BE">
              <w:rPr>
                <w:sz w:val="22"/>
                <w:lang w:val="fr-FR"/>
              </w:rPr>
              <w:t>19 a en outre décidé que le Bureau des radiocommunications ne devrait pas prendre en considération les points de mesure situés en mer dans son examen technique et réglementaire des soumissions pertinentes qui lui sont présentées.</w:t>
            </w:r>
          </w:p>
          <w:p w14:paraId="43DDB0D8" w14:textId="72316D27" w:rsidR="00F71C9C" w:rsidRPr="00A641BE" w:rsidRDefault="00F71C9C" w:rsidP="003B7DE7">
            <w:pPr>
              <w:pStyle w:val="Tabletext"/>
              <w:tabs>
                <w:tab w:val="clear" w:pos="1134"/>
                <w:tab w:val="clear" w:pos="2268"/>
              </w:tabs>
              <w:spacing w:before="120"/>
              <w:rPr>
                <w:sz w:val="22"/>
                <w:lang w:val="fr-FR"/>
              </w:rPr>
            </w:pPr>
            <w:bookmarkStart w:id="30" w:name="lt_pId218"/>
            <w:r w:rsidRPr="00A641BE">
              <w:rPr>
                <w:sz w:val="22"/>
                <w:lang w:val="fr-FR"/>
              </w:rPr>
              <w:lastRenderedPageBreak/>
              <w:t xml:space="preserve">En ce qui concerne l'examen de la section 3.3.1, intitulée «Résolution </w:t>
            </w:r>
            <w:r w:rsidRPr="00A641BE">
              <w:rPr>
                <w:b/>
                <w:bCs/>
                <w:sz w:val="22"/>
                <w:lang w:val="fr-FR"/>
              </w:rPr>
              <w:t>49 (Rév.CMR-15)</w:t>
            </w:r>
            <w:r w:rsidRPr="00A641BE">
              <w:rPr>
                <w:sz w:val="22"/>
                <w:lang w:val="fr-FR"/>
              </w:rPr>
              <w:t>», la CMR</w:t>
            </w:r>
            <w:r w:rsidRPr="00A641BE">
              <w:rPr>
                <w:sz w:val="22"/>
                <w:lang w:val="fr-FR"/>
              </w:rPr>
              <w:noBreakHyphen/>
              <w:t>19 a décidé d'inviter l'UIT</w:t>
            </w:r>
            <w:r w:rsidR="00F75811">
              <w:rPr>
                <w:sz w:val="22"/>
                <w:lang w:val="fr-FR"/>
              </w:rPr>
              <w:noBreakHyphen/>
            </w:r>
            <w:r w:rsidRPr="00A641BE">
              <w:rPr>
                <w:sz w:val="22"/>
                <w:lang w:val="fr-FR"/>
              </w:rPr>
              <w:t xml:space="preserve">R à étudier la question de l'exigence de mises à jour constante des données au titre de la Résolution </w:t>
            </w:r>
            <w:r w:rsidRPr="00A641BE">
              <w:rPr>
                <w:b/>
                <w:bCs/>
                <w:sz w:val="22"/>
                <w:lang w:val="fr-FR"/>
              </w:rPr>
              <w:t xml:space="preserve">49 (Rév.CMR-15) </w:t>
            </w:r>
            <w:r w:rsidRPr="00A641BE">
              <w:rPr>
                <w:sz w:val="22"/>
                <w:lang w:val="fr-FR"/>
              </w:rPr>
              <w:t xml:space="preserve">et de la rationalisation de la soumission des données au titre de la Résolution </w:t>
            </w:r>
            <w:r w:rsidRPr="00A641BE">
              <w:rPr>
                <w:b/>
                <w:bCs/>
                <w:sz w:val="22"/>
                <w:lang w:val="fr-FR"/>
              </w:rPr>
              <w:t>49 (Rév.CMR-15)</w:t>
            </w:r>
            <w:r w:rsidRPr="00A641BE">
              <w:rPr>
                <w:sz w:val="22"/>
                <w:lang w:val="fr-FR"/>
              </w:rPr>
              <w:t>.</w:t>
            </w:r>
            <w:bookmarkEnd w:id="30"/>
          </w:p>
          <w:p w14:paraId="2AD62F21" w14:textId="77777777" w:rsidR="00F71C9C" w:rsidRPr="00A641BE" w:rsidRDefault="00F71C9C" w:rsidP="00437BD9">
            <w:pPr>
              <w:pStyle w:val="Tabletext"/>
              <w:tabs>
                <w:tab w:val="clear" w:pos="1134"/>
                <w:tab w:val="clear" w:pos="2268"/>
              </w:tabs>
              <w:rPr>
                <w:sz w:val="22"/>
                <w:lang w:val="fr-FR"/>
              </w:rPr>
            </w:pPr>
            <w:bookmarkStart w:id="31" w:name="lt_pId219"/>
            <w:r w:rsidRPr="00A641BE">
              <w:rPr>
                <w:sz w:val="22"/>
                <w:lang w:val="fr-FR"/>
              </w:rPr>
              <w:t>En ce qui concerne l'examen de la section 3.4.2, intitulée «Stations terriennes types du service fixe par satellite», la CMR-19 charge le Bureau de cesser de recueillir des informations sur les stations terriennes types du service fixe par satellite.</w:t>
            </w:r>
            <w:bookmarkEnd w:id="31"/>
          </w:p>
          <w:p w14:paraId="6B6ACCBB" w14:textId="3ECDF7F8" w:rsidR="00F71C9C" w:rsidRPr="00A641BE" w:rsidRDefault="00F71C9C" w:rsidP="00437BD9">
            <w:pPr>
              <w:pStyle w:val="Tabletext"/>
              <w:tabs>
                <w:tab w:val="clear" w:pos="1134"/>
                <w:tab w:val="clear" w:pos="2268"/>
              </w:tabs>
              <w:rPr>
                <w:sz w:val="22"/>
                <w:lang w:val="fr-FR"/>
              </w:rPr>
            </w:pPr>
            <w:bookmarkStart w:id="32" w:name="lt_pId220"/>
            <w:r w:rsidRPr="00A641BE">
              <w:rPr>
                <w:sz w:val="22"/>
                <w:lang w:val="fr-FR"/>
              </w:rPr>
              <w:t>En ce qui concerne l'examen de la section 3.4.3, intitulée «Paramètres en nombre excessif», la CMR-19 invite l'UIT-R à examiner les paramètres évoqués dans ce paragraphe du rapport au cours du prochain cycle d'études et à fournir les indications nécessaires au Bureau.</w:t>
            </w:r>
            <w:bookmarkEnd w:id="32"/>
          </w:p>
        </w:tc>
      </w:tr>
      <w:tr w:rsidR="00F71C9C" w:rsidRPr="00AD36B1" w14:paraId="19C9D766" w14:textId="77777777" w:rsidTr="00F75811">
        <w:tc>
          <w:tcPr>
            <w:tcW w:w="1696" w:type="dxa"/>
            <w:vMerge/>
          </w:tcPr>
          <w:p w14:paraId="5CA7EAE3" w14:textId="77777777" w:rsidR="00F71C9C" w:rsidRPr="00A641BE" w:rsidRDefault="00F71C9C" w:rsidP="00437BD9">
            <w:pPr>
              <w:pStyle w:val="Tablehead"/>
              <w:keepNext w:val="0"/>
              <w:jc w:val="left"/>
              <w:rPr>
                <w:bCs/>
                <w:sz w:val="22"/>
                <w:lang w:val="fr-FR"/>
              </w:rPr>
            </w:pPr>
          </w:p>
        </w:tc>
        <w:tc>
          <w:tcPr>
            <w:tcW w:w="2127" w:type="dxa"/>
          </w:tcPr>
          <w:p w14:paraId="7B930DBB" w14:textId="4971B201" w:rsidR="00F71C9C" w:rsidRPr="00A641BE" w:rsidRDefault="00F71C9C" w:rsidP="00437BD9">
            <w:pPr>
              <w:pStyle w:val="Tablehead"/>
              <w:keepNext w:val="0"/>
              <w:jc w:val="left"/>
              <w:rPr>
                <w:sz w:val="22"/>
                <w:lang w:val="fr-FR"/>
              </w:rPr>
            </w:pPr>
            <w:r w:rsidRPr="00A641BE">
              <w:rPr>
                <w:sz w:val="22"/>
                <w:lang w:val="fr-FR"/>
              </w:rPr>
              <w:t>Paragraphes 3.16 à</w:t>
            </w:r>
            <w:r w:rsidR="003B7DE7">
              <w:rPr>
                <w:sz w:val="22"/>
                <w:lang w:val="fr-FR"/>
              </w:rPr>
              <w:t> </w:t>
            </w:r>
            <w:r w:rsidRPr="00A641BE">
              <w:rPr>
                <w:sz w:val="22"/>
                <w:lang w:val="fr-FR"/>
              </w:rPr>
              <w:t>3.18</w:t>
            </w:r>
          </w:p>
          <w:p w14:paraId="30EADE0F" w14:textId="29F181E1" w:rsidR="00F71C9C" w:rsidRPr="00A641BE" w:rsidRDefault="00F71C9C" w:rsidP="00437BD9">
            <w:pPr>
              <w:pStyle w:val="Tablehead"/>
              <w:keepNext w:val="0"/>
              <w:jc w:val="left"/>
              <w:rPr>
                <w:sz w:val="22"/>
                <w:lang w:val="fr-FR"/>
              </w:rPr>
            </w:pPr>
            <w:r w:rsidRPr="00A641BE">
              <w:rPr>
                <w:sz w:val="22"/>
                <w:lang w:val="fr-FR"/>
              </w:rPr>
              <w:t xml:space="preserve">Approbation du Document </w:t>
            </w:r>
            <w:hyperlink r:id="rId30" w:history="1">
              <w:r w:rsidRPr="00EA3EF0">
                <w:rPr>
                  <w:rStyle w:val="Hyperlink"/>
                  <w:sz w:val="22"/>
                  <w:lang w:val="fr-FR"/>
                </w:rPr>
                <w:t>452</w:t>
              </w:r>
            </w:hyperlink>
          </w:p>
        </w:tc>
        <w:tc>
          <w:tcPr>
            <w:tcW w:w="11340" w:type="dxa"/>
          </w:tcPr>
          <w:p w14:paraId="0566708A" w14:textId="3AA6F76E" w:rsidR="00F71C9C" w:rsidRPr="00A641BE" w:rsidRDefault="00F71C9C" w:rsidP="003B7DE7">
            <w:pPr>
              <w:pStyle w:val="Tabletext"/>
              <w:tabs>
                <w:tab w:val="clear" w:pos="1134"/>
                <w:tab w:val="clear" w:pos="2268"/>
              </w:tabs>
              <w:spacing w:before="80"/>
              <w:rPr>
                <w:sz w:val="22"/>
                <w:lang w:val="fr-FR"/>
              </w:rPr>
            </w:pPr>
            <w:bookmarkStart w:id="33" w:name="lt_pId226"/>
            <w:r w:rsidRPr="00A641BE">
              <w:rPr>
                <w:sz w:val="22"/>
                <w:lang w:val="fr-FR"/>
              </w:rPr>
              <w:t xml:space="preserve">Au titre du point 9.3 de l'ordre du jour de la CMR-19, la Conférence a reçu le Document 15 du Comité du Règlement des radiocommunications, intitulé </w:t>
            </w:r>
            <w:r w:rsidRPr="00A641BE">
              <w:rPr>
                <w:i/>
                <w:iCs/>
                <w:sz w:val="22"/>
                <w:lang w:val="fr-FR"/>
              </w:rPr>
              <w:t xml:space="preserve">Rapport du Comité du Règlement des radiocommunications à la CMR-19 sur la Résolution </w:t>
            </w:r>
            <w:r w:rsidRPr="00A641BE">
              <w:rPr>
                <w:b/>
                <w:bCs/>
                <w:i/>
                <w:iCs/>
                <w:sz w:val="22"/>
                <w:lang w:val="fr-FR"/>
              </w:rPr>
              <w:t>80 (Rév.CMR-07)</w:t>
            </w:r>
            <w:r w:rsidRPr="00A641BE">
              <w:rPr>
                <w:sz w:val="22"/>
                <w:lang w:val="fr-FR"/>
              </w:rPr>
              <w:t>.</w:t>
            </w:r>
            <w:bookmarkEnd w:id="33"/>
            <w:r w:rsidRPr="00A641BE">
              <w:rPr>
                <w:sz w:val="22"/>
                <w:lang w:val="fr-FR"/>
              </w:rPr>
              <w:t xml:space="preserve"> </w:t>
            </w:r>
            <w:bookmarkStart w:id="34" w:name="lt_pId227"/>
            <w:r w:rsidRPr="00A641BE">
              <w:rPr>
                <w:sz w:val="22"/>
                <w:lang w:val="fr-FR"/>
              </w:rPr>
              <w:t xml:space="preserve">Ce rapport présente une synthèse des activités du RRB concernant la Résolution </w:t>
            </w:r>
            <w:r w:rsidRPr="00A641BE">
              <w:rPr>
                <w:b/>
                <w:bCs/>
                <w:sz w:val="22"/>
                <w:lang w:val="fr-FR"/>
              </w:rPr>
              <w:t>80 (Rév.CMR-07)</w:t>
            </w:r>
            <w:r w:rsidRPr="00A641BE">
              <w:rPr>
                <w:sz w:val="22"/>
                <w:lang w:val="fr-FR"/>
              </w:rPr>
              <w:t>.</w:t>
            </w:r>
            <w:bookmarkEnd w:id="34"/>
          </w:p>
          <w:p w14:paraId="45F80240" w14:textId="77777777" w:rsidR="00F71C9C" w:rsidRPr="00A641BE" w:rsidRDefault="00F71C9C" w:rsidP="003B7DE7">
            <w:pPr>
              <w:pStyle w:val="Tabletext"/>
              <w:tabs>
                <w:tab w:val="clear" w:pos="1134"/>
                <w:tab w:val="clear" w:pos="2268"/>
              </w:tabs>
              <w:spacing w:before="120"/>
              <w:rPr>
                <w:bCs/>
                <w:sz w:val="22"/>
                <w:lang w:val="fr-FR"/>
              </w:rPr>
            </w:pPr>
            <w:bookmarkStart w:id="35" w:name="lt_pId228"/>
            <w:r w:rsidRPr="00A641BE">
              <w:rPr>
                <w:sz w:val="22"/>
                <w:lang w:val="fr-FR"/>
              </w:rPr>
              <w:t>Lors de l'examen du § 4.2 de ce rapport, intitulé «Liens entre la mise en service et la notification aux fins de l'inscription dans le Fichier de référence international des fréquences», la CMR-19 a décidé que, dans les cas où:</w:t>
            </w:r>
            <w:bookmarkEnd w:id="35"/>
          </w:p>
          <w:p w14:paraId="567B19DB" w14:textId="77777777" w:rsidR="00F71C9C" w:rsidRPr="00A641BE" w:rsidRDefault="00F71C9C" w:rsidP="00437BD9">
            <w:pPr>
              <w:pStyle w:val="Tabletext"/>
              <w:tabs>
                <w:tab w:val="clear" w:pos="1134"/>
              </w:tabs>
              <w:ind w:left="284" w:hanging="284"/>
              <w:rPr>
                <w:sz w:val="22"/>
                <w:lang w:val="fr-FR"/>
              </w:rPr>
            </w:pPr>
            <w:bookmarkStart w:id="36" w:name="lt_pId229"/>
            <w:r w:rsidRPr="00A641BE">
              <w:rPr>
                <w:bCs/>
                <w:sz w:val="22"/>
                <w:lang w:val="fr-FR"/>
              </w:rPr>
              <w:t>a)</w:t>
            </w:r>
            <w:bookmarkEnd w:id="36"/>
            <w:r w:rsidRPr="00A641BE">
              <w:rPr>
                <w:sz w:val="22"/>
                <w:lang w:val="fr-FR"/>
              </w:rPr>
              <w:tab/>
            </w:r>
            <w:bookmarkStart w:id="37" w:name="lt_pId230"/>
            <w:r w:rsidRPr="00A641BE">
              <w:rPr>
                <w:sz w:val="22"/>
                <w:lang w:val="fr-FR"/>
              </w:rPr>
              <w:t xml:space="preserve">les renseignements relatifs à la mise en service des assignations de fréquence dans les Appendices </w:t>
            </w:r>
            <w:r w:rsidRPr="00A641BE">
              <w:rPr>
                <w:b/>
                <w:bCs/>
                <w:sz w:val="22"/>
                <w:lang w:val="fr-FR"/>
              </w:rPr>
              <w:t>30</w:t>
            </w:r>
            <w:r w:rsidRPr="00A641BE">
              <w:rPr>
                <w:sz w:val="22"/>
                <w:lang w:val="fr-FR"/>
              </w:rPr>
              <w:t xml:space="preserve">, </w:t>
            </w:r>
            <w:r w:rsidRPr="00A641BE">
              <w:rPr>
                <w:b/>
                <w:bCs/>
                <w:sz w:val="22"/>
                <w:lang w:val="fr-FR"/>
              </w:rPr>
              <w:t>30A</w:t>
            </w:r>
            <w:r w:rsidRPr="00A641BE">
              <w:rPr>
                <w:sz w:val="22"/>
                <w:lang w:val="fr-FR"/>
              </w:rPr>
              <w:t xml:space="preserve"> ou </w:t>
            </w:r>
            <w:r w:rsidRPr="00A641BE">
              <w:rPr>
                <w:b/>
                <w:bCs/>
                <w:sz w:val="22"/>
                <w:lang w:val="fr-FR"/>
              </w:rPr>
              <w:t>30B</w:t>
            </w:r>
            <w:r w:rsidRPr="00A641BE">
              <w:rPr>
                <w:sz w:val="22"/>
                <w:lang w:val="fr-FR"/>
              </w:rPr>
              <w:t xml:space="preserve"> du RR sont soumis avant la fin de l'examen des soumissions de ces assignations de fréquence au titre de la Partie B et pour la notification;</w:t>
            </w:r>
            <w:bookmarkEnd w:id="37"/>
          </w:p>
          <w:p w14:paraId="4B9BC0C6" w14:textId="77777777" w:rsidR="00F71C9C" w:rsidRPr="00A641BE" w:rsidRDefault="00F71C9C" w:rsidP="00437BD9">
            <w:pPr>
              <w:pStyle w:val="Tabletext"/>
              <w:tabs>
                <w:tab w:val="clear" w:pos="1134"/>
              </w:tabs>
              <w:ind w:left="284" w:hanging="284"/>
              <w:rPr>
                <w:sz w:val="22"/>
                <w:lang w:val="fr-FR"/>
              </w:rPr>
            </w:pPr>
            <w:bookmarkStart w:id="38" w:name="lt_pId231"/>
            <w:r w:rsidRPr="00A641BE">
              <w:rPr>
                <w:iCs/>
                <w:sz w:val="22"/>
                <w:lang w:val="fr-FR"/>
              </w:rPr>
              <w:t>b)</w:t>
            </w:r>
            <w:bookmarkEnd w:id="38"/>
            <w:r w:rsidRPr="00A641BE">
              <w:rPr>
                <w:sz w:val="22"/>
                <w:lang w:val="fr-FR"/>
              </w:rPr>
              <w:tab/>
            </w:r>
            <w:bookmarkStart w:id="39" w:name="lt_pId232"/>
            <w:r w:rsidRPr="00A641BE">
              <w:rPr>
                <w:sz w:val="22"/>
                <w:lang w:val="fr-FR"/>
              </w:rPr>
              <w:t xml:space="preserve">les exigences au titre des numéros </w:t>
            </w:r>
            <w:r w:rsidRPr="00A641BE">
              <w:rPr>
                <w:b/>
                <w:bCs/>
                <w:sz w:val="22"/>
                <w:lang w:val="fr-FR"/>
              </w:rPr>
              <w:t>11.44</w:t>
            </w:r>
            <w:r w:rsidRPr="00A641BE">
              <w:rPr>
                <w:sz w:val="22"/>
                <w:lang w:val="fr-FR"/>
              </w:rPr>
              <w:t xml:space="preserve"> et </w:t>
            </w:r>
            <w:r w:rsidRPr="00A641BE">
              <w:rPr>
                <w:b/>
                <w:bCs/>
                <w:sz w:val="22"/>
                <w:lang w:val="fr-FR"/>
              </w:rPr>
              <w:t>11.44B</w:t>
            </w:r>
            <w:r w:rsidRPr="00A641BE">
              <w:rPr>
                <w:sz w:val="22"/>
                <w:lang w:val="fr-FR"/>
              </w:rPr>
              <w:t xml:space="preserve"> du RR ont été respectées pour ces assignations de fréquence avant la fin de l'examen des soumissions de ces assignations de fréquence au titre de la Partie B et pour la notification;</w:t>
            </w:r>
            <w:bookmarkEnd w:id="39"/>
          </w:p>
          <w:p w14:paraId="313F3A15" w14:textId="77777777" w:rsidR="00F71C9C" w:rsidRPr="00A641BE" w:rsidRDefault="00F71C9C" w:rsidP="00437BD9">
            <w:pPr>
              <w:pStyle w:val="Tabletext"/>
              <w:tabs>
                <w:tab w:val="clear" w:pos="1134"/>
              </w:tabs>
              <w:ind w:left="284" w:hanging="284"/>
              <w:rPr>
                <w:sz w:val="22"/>
                <w:lang w:val="fr-FR"/>
              </w:rPr>
            </w:pPr>
            <w:bookmarkStart w:id="40" w:name="lt_pId233"/>
            <w:r w:rsidRPr="00A641BE">
              <w:rPr>
                <w:iCs/>
                <w:sz w:val="22"/>
                <w:lang w:val="fr-FR"/>
              </w:rPr>
              <w:t>c)</w:t>
            </w:r>
            <w:bookmarkEnd w:id="40"/>
            <w:r w:rsidRPr="00A641BE">
              <w:rPr>
                <w:sz w:val="22"/>
                <w:lang w:val="fr-FR"/>
              </w:rPr>
              <w:tab/>
            </w:r>
            <w:bookmarkStart w:id="41" w:name="lt_pId234"/>
            <w:r w:rsidRPr="00A641BE">
              <w:rPr>
                <w:sz w:val="22"/>
                <w:lang w:val="fr-FR"/>
              </w:rPr>
              <w:t xml:space="preserve">après que les exigences au titre du numéro </w:t>
            </w:r>
            <w:r w:rsidRPr="00A641BE">
              <w:rPr>
                <w:b/>
                <w:bCs/>
                <w:sz w:val="22"/>
                <w:lang w:val="fr-FR"/>
              </w:rPr>
              <w:t>11.44B</w:t>
            </w:r>
            <w:r w:rsidRPr="00A641BE">
              <w:rPr>
                <w:sz w:val="22"/>
                <w:lang w:val="fr-FR"/>
              </w:rPr>
              <w:t xml:space="preserve"> du RR ont été respectées, le satellite a été repositionné sur une autre position orbitale avant la fin de l'examen de la soumission de ces assignations relative à la notification;</w:t>
            </w:r>
            <w:bookmarkEnd w:id="41"/>
          </w:p>
          <w:p w14:paraId="61A3FC69" w14:textId="77777777" w:rsidR="00F71C9C" w:rsidRPr="00A641BE" w:rsidRDefault="00F71C9C" w:rsidP="00437BD9">
            <w:pPr>
              <w:pStyle w:val="Tabletext"/>
              <w:tabs>
                <w:tab w:val="clear" w:pos="1134"/>
              </w:tabs>
              <w:ind w:left="284" w:hanging="284"/>
              <w:rPr>
                <w:sz w:val="22"/>
                <w:lang w:val="fr-FR"/>
              </w:rPr>
            </w:pPr>
            <w:bookmarkStart w:id="42" w:name="lt_pId235"/>
            <w:r w:rsidRPr="00A641BE">
              <w:rPr>
                <w:iCs/>
                <w:sz w:val="22"/>
                <w:lang w:val="fr-FR"/>
              </w:rPr>
              <w:t>d)</w:t>
            </w:r>
            <w:bookmarkEnd w:id="42"/>
            <w:r w:rsidRPr="00A641BE">
              <w:rPr>
                <w:sz w:val="22"/>
                <w:lang w:val="fr-FR"/>
              </w:rPr>
              <w:tab/>
            </w:r>
            <w:bookmarkStart w:id="43" w:name="lt_pId236"/>
            <w:r w:rsidRPr="00A641BE">
              <w:rPr>
                <w:sz w:val="22"/>
                <w:lang w:val="fr-FR"/>
              </w:rPr>
              <w:t>l'examen de la soumission de ces assignations de fréquence au titre de la Partie B conduit au renvoi de la fiche de notification à l'administration notificatrice en raison d'une erreur commise par inadvertance par l'administration notificatrice;</w:t>
            </w:r>
            <w:bookmarkEnd w:id="43"/>
          </w:p>
          <w:p w14:paraId="6B173E9B" w14:textId="77777777" w:rsidR="00F71C9C" w:rsidRPr="00A641BE" w:rsidRDefault="00F71C9C" w:rsidP="00437BD9">
            <w:pPr>
              <w:pStyle w:val="Tabletext"/>
              <w:tabs>
                <w:tab w:val="clear" w:pos="1134"/>
              </w:tabs>
              <w:ind w:left="284" w:hanging="284"/>
              <w:rPr>
                <w:sz w:val="22"/>
                <w:lang w:val="fr-FR"/>
              </w:rPr>
            </w:pPr>
            <w:bookmarkStart w:id="44" w:name="lt_pId237"/>
            <w:r w:rsidRPr="00A641BE">
              <w:rPr>
                <w:iCs/>
                <w:sz w:val="22"/>
                <w:lang w:val="fr-FR"/>
              </w:rPr>
              <w:t>e)</w:t>
            </w:r>
            <w:bookmarkEnd w:id="44"/>
            <w:r w:rsidRPr="00A641BE">
              <w:rPr>
                <w:sz w:val="22"/>
                <w:lang w:val="fr-FR"/>
              </w:rPr>
              <w:tab/>
            </w:r>
            <w:bookmarkStart w:id="45" w:name="lt_pId238"/>
            <w:r w:rsidRPr="00A641BE">
              <w:rPr>
                <w:sz w:val="22"/>
                <w:lang w:val="fr-FR"/>
              </w:rPr>
              <w:t xml:space="preserve">l'administration notificatrice informe le Bureau qu'elle n'est pas en mesure de respecter les exigences au titre des numéros </w:t>
            </w:r>
            <w:r w:rsidRPr="00A641BE">
              <w:rPr>
                <w:b/>
                <w:bCs/>
                <w:sz w:val="22"/>
                <w:lang w:val="fr-FR"/>
              </w:rPr>
              <w:t>11.44</w:t>
            </w:r>
            <w:r w:rsidRPr="00A641BE">
              <w:rPr>
                <w:sz w:val="22"/>
                <w:lang w:val="fr-FR"/>
              </w:rPr>
              <w:t xml:space="preserve"> et </w:t>
            </w:r>
            <w:r w:rsidRPr="00A641BE">
              <w:rPr>
                <w:b/>
                <w:bCs/>
                <w:sz w:val="22"/>
                <w:lang w:val="fr-FR"/>
              </w:rPr>
              <w:t>11.44B</w:t>
            </w:r>
            <w:r w:rsidRPr="00A641BE">
              <w:rPr>
                <w:sz w:val="22"/>
                <w:lang w:val="fr-FR"/>
              </w:rPr>
              <w:t xml:space="preserve"> du RR au moment de présenter une nouvelle soumission des renseignements au titre de la Partie B et pour la notification;</w:t>
            </w:r>
            <w:bookmarkEnd w:id="45"/>
          </w:p>
          <w:p w14:paraId="75C9A0D0" w14:textId="77777777" w:rsidR="00F71C9C" w:rsidRPr="00A641BE" w:rsidRDefault="00F71C9C" w:rsidP="00437BD9">
            <w:pPr>
              <w:pStyle w:val="Tabletext"/>
              <w:tabs>
                <w:tab w:val="clear" w:pos="1134"/>
                <w:tab w:val="clear" w:pos="2268"/>
              </w:tabs>
              <w:rPr>
                <w:sz w:val="22"/>
                <w:lang w:val="fr-FR"/>
              </w:rPr>
            </w:pPr>
            <w:bookmarkStart w:id="46" w:name="lt_pId239"/>
            <w:r w:rsidRPr="00A641BE">
              <w:rPr>
                <w:bCs/>
                <w:sz w:val="22"/>
                <w:lang w:val="fr-FR"/>
              </w:rPr>
              <w:lastRenderedPageBreak/>
              <w:t xml:space="preserve">le Comité du Règlement des radiocommunications est chargé d'examiner, au cas par cas, si le respect des exigences au titre des numéros </w:t>
            </w:r>
            <w:r w:rsidRPr="00A641BE">
              <w:rPr>
                <w:b/>
                <w:sz w:val="22"/>
                <w:lang w:val="fr-FR"/>
              </w:rPr>
              <w:t>11.44</w:t>
            </w:r>
            <w:r w:rsidRPr="00A641BE">
              <w:rPr>
                <w:bCs/>
                <w:sz w:val="22"/>
                <w:lang w:val="fr-FR"/>
              </w:rPr>
              <w:t xml:space="preserve"> et </w:t>
            </w:r>
            <w:r w:rsidRPr="00A641BE">
              <w:rPr>
                <w:b/>
                <w:sz w:val="22"/>
                <w:lang w:val="fr-FR"/>
              </w:rPr>
              <w:t>11.44B</w:t>
            </w:r>
            <w:r w:rsidRPr="00A641BE">
              <w:rPr>
                <w:bCs/>
                <w:sz w:val="22"/>
                <w:lang w:val="fr-FR"/>
              </w:rPr>
              <w:t xml:space="preserve"> du RR avant la fin de l'examen des soumissions de ces assignations de fréquence au titre de la Partie B et pour la notification est acceptable aux fins de la mise en service des assignations de fréquence.</w:t>
            </w:r>
            <w:bookmarkEnd w:id="46"/>
          </w:p>
          <w:p w14:paraId="532B49F7" w14:textId="77777777" w:rsidR="00F71C9C" w:rsidRPr="00A641BE" w:rsidRDefault="00F71C9C" w:rsidP="003B7DE7">
            <w:pPr>
              <w:pStyle w:val="Tabletext"/>
              <w:tabs>
                <w:tab w:val="clear" w:pos="1134"/>
                <w:tab w:val="clear" w:pos="2268"/>
              </w:tabs>
              <w:spacing w:before="120"/>
              <w:rPr>
                <w:sz w:val="22"/>
                <w:lang w:val="fr-FR"/>
              </w:rPr>
            </w:pPr>
            <w:bookmarkStart w:id="47" w:name="lt_pId240"/>
            <w:r w:rsidRPr="00A641BE">
              <w:rPr>
                <w:sz w:val="22"/>
                <w:lang w:val="fr-FR"/>
              </w:rPr>
              <w:t>Lors de l'examen du § 4.3 de ce rapport, intitulé «Questions relatives à la prorogation des délais applicables à la mise en service ou à la remise en service d'une assignation de fréquence»:</w:t>
            </w:r>
            <w:bookmarkEnd w:id="47"/>
          </w:p>
          <w:p w14:paraId="3EC1730E" w14:textId="6EB583EB" w:rsidR="00F71C9C" w:rsidRPr="00A641BE" w:rsidRDefault="00F71C9C" w:rsidP="003B7DE7">
            <w:pPr>
              <w:pStyle w:val="Tabletext"/>
              <w:tabs>
                <w:tab w:val="clear" w:pos="1134"/>
                <w:tab w:val="clear" w:pos="2268"/>
              </w:tabs>
              <w:spacing w:before="120"/>
              <w:rPr>
                <w:sz w:val="22"/>
                <w:lang w:val="fr-FR"/>
              </w:rPr>
            </w:pPr>
            <w:bookmarkStart w:id="48" w:name="lt_pId241"/>
            <w:r w:rsidRPr="00A641BE">
              <w:rPr>
                <w:sz w:val="22"/>
                <w:lang w:val="fr-FR"/>
              </w:rPr>
              <w:t>En ce qui concerne le § 4.3.4, intitulé «Cas de retards dus à l'embarquement d'un autre satellite sur le même lanceur», la</w:t>
            </w:r>
            <w:r w:rsidR="003B7DE7">
              <w:rPr>
                <w:sz w:val="22"/>
                <w:lang w:val="fr-FR"/>
              </w:rPr>
              <w:t> </w:t>
            </w:r>
            <w:r w:rsidRPr="00A641BE">
              <w:rPr>
                <w:sz w:val="22"/>
                <w:lang w:val="fr-FR"/>
              </w:rPr>
              <w:t>CMR-19 a décidé que le Comité doit examiner la nécessité que les renseignements suivants lui soient fournis, selon qu'il conviendra, lorsqu'il est amené à examiner une demande de prorogation du délai réglementaire en cas de retard dû à l'embarquement d'un autre satellite sur le même lanceur:</w:t>
            </w:r>
            <w:bookmarkEnd w:id="48"/>
          </w:p>
          <w:p w14:paraId="1E67B043" w14:textId="77777777" w:rsidR="00F71C9C" w:rsidRPr="00A641BE" w:rsidRDefault="00F71C9C" w:rsidP="003B7DE7">
            <w:pPr>
              <w:pStyle w:val="Tabletext"/>
              <w:tabs>
                <w:tab w:val="clear" w:pos="284"/>
                <w:tab w:val="clear" w:pos="1134"/>
              </w:tabs>
              <w:rPr>
                <w:sz w:val="22"/>
                <w:lang w:val="fr-FR"/>
              </w:rPr>
            </w:pPr>
            <w:r w:rsidRPr="00A641BE">
              <w:rPr>
                <w:sz w:val="22"/>
                <w:lang w:val="fr-FR"/>
              </w:rPr>
              <w:t>–</w:t>
            </w:r>
            <w:r w:rsidRPr="00A641BE">
              <w:rPr>
                <w:sz w:val="22"/>
                <w:lang w:val="fr-FR"/>
              </w:rPr>
              <w:tab/>
            </w:r>
            <w:bookmarkStart w:id="49" w:name="lt_pId243"/>
            <w:r w:rsidRPr="00A641BE">
              <w:rPr>
                <w:sz w:val="22"/>
                <w:lang w:val="fr-FR"/>
              </w:rPr>
              <w:t>description succincte du satellite devant être lancé, accompagnée des bandes de fréquences;</w:t>
            </w:r>
            <w:bookmarkEnd w:id="49"/>
          </w:p>
          <w:p w14:paraId="0AE1BB75" w14:textId="77777777" w:rsidR="00F71C9C" w:rsidRPr="00A641BE" w:rsidRDefault="00F71C9C" w:rsidP="003B7DE7">
            <w:pPr>
              <w:pStyle w:val="Tabletext"/>
              <w:tabs>
                <w:tab w:val="clear" w:pos="284"/>
                <w:tab w:val="clear" w:pos="1134"/>
              </w:tabs>
              <w:rPr>
                <w:sz w:val="22"/>
                <w:lang w:val="fr-FR"/>
              </w:rPr>
            </w:pPr>
            <w:r w:rsidRPr="00A641BE">
              <w:rPr>
                <w:sz w:val="22"/>
                <w:lang w:val="fr-FR"/>
              </w:rPr>
              <w:t>–</w:t>
            </w:r>
            <w:r w:rsidRPr="00A641BE">
              <w:rPr>
                <w:sz w:val="22"/>
                <w:lang w:val="fr-FR"/>
              </w:rPr>
              <w:tab/>
            </w:r>
            <w:bookmarkStart w:id="50" w:name="lt_pId245"/>
            <w:r w:rsidRPr="00A641BE">
              <w:rPr>
                <w:sz w:val="22"/>
                <w:lang w:val="fr-FR"/>
              </w:rPr>
              <w:t>nom du constructeur retenu pour la construction du satellite et date de signature du contrat;</w:t>
            </w:r>
            <w:bookmarkEnd w:id="50"/>
          </w:p>
          <w:p w14:paraId="10E12510" w14:textId="2807522A" w:rsidR="00F71C9C" w:rsidRPr="00A641BE" w:rsidRDefault="00F71C9C" w:rsidP="003B7DE7">
            <w:pPr>
              <w:pStyle w:val="Tabletext"/>
              <w:tabs>
                <w:tab w:val="clear" w:pos="284"/>
                <w:tab w:val="clear" w:pos="1134"/>
              </w:tabs>
              <w:ind w:left="576" w:hanging="588"/>
              <w:rPr>
                <w:sz w:val="22"/>
                <w:lang w:val="fr-FR"/>
              </w:rPr>
            </w:pPr>
            <w:r w:rsidRPr="00A641BE">
              <w:rPr>
                <w:sz w:val="22"/>
                <w:lang w:val="fr-FR"/>
              </w:rPr>
              <w:t>–</w:t>
            </w:r>
            <w:r w:rsidRPr="00A641BE">
              <w:rPr>
                <w:sz w:val="22"/>
                <w:lang w:val="fr-FR"/>
              </w:rPr>
              <w:tab/>
            </w:r>
            <w:bookmarkStart w:id="51" w:name="lt_pId247"/>
            <w:r w:rsidRPr="00A641BE">
              <w:rPr>
                <w:sz w:val="22"/>
                <w:lang w:val="fr-FR"/>
              </w:rPr>
              <w:t>état d'avancement de la construction du satellite, y compris la date de début et une précision indiquant s'il était prévu que sa construction soit achevée avant la fenêtre de lancement initiale;</w:t>
            </w:r>
            <w:bookmarkEnd w:id="51"/>
          </w:p>
          <w:p w14:paraId="28579B13" w14:textId="77777777" w:rsidR="00F71C9C" w:rsidRPr="00A641BE" w:rsidRDefault="00F71C9C" w:rsidP="003B7DE7">
            <w:pPr>
              <w:pStyle w:val="Tabletext"/>
              <w:tabs>
                <w:tab w:val="clear" w:pos="284"/>
                <w:tab w:val="clear" w:pos="1134"/>
              </w:tabs>
              <w:rPr>
                <w:sz w:val="22"/>
                <w:lang w:val="fr-FR"/>
              </w:rPr>
            </w:pPr>
            <w:r w:rsidRPr="00A641BE">
              <w:rPr>
                <w:sz w:val="22"/>
                <w:lang w:val="fr-FR"/>
              </w:rPr>
              <w:t>–</w:t>
            </w:r>
            <w:r w:rsidRPr="00A641BE">
              <w:rPr>
                <w:sz w:val="22"/>
                <w:lang w:val="fr-FR"/>
              </w:rPr>
              <w:tab/>
            </w:r>
            <w:bookmarkStart w:id="52" w:name="lt_pId249"/>
            <w:r w:rsidRPr="00A641BE">
              <w:rPr>
                <w:sz w:val="22"/>
                <w:lang w:val="fr-FR"/>
              </w:rPr>
              <w:t>nom du fournisseur du lanceur et date de signature du contrat;</w:t>
            </w:r>
            <w:bookmarkEnd w:id="52"/>
          </w:p>
          <w:p w14:paraId="43E4ED96" w14:textId="77777777" w:rsidR="00F71C9C" w:rsidRPr="00A641BE" w:rsidRDefault="00F71C9C" w:rsidP="003B7DE7">
            <w:pPr>
              <w:pStyle w:val="Tabletext"/>
              <w:tabs>
                <w:tab w:val="clear" w:pos="284"/>
                <w:tab w:val="clear" w:pos="1134"/>
              </w:tabs>
              <w:rPr>
                <w:sz w:val="22"/>
                <w:lang w:val="fr-FR"/>
              </w:rPr>
            </w:pPr>
            <w:r w:rsidRPr="00A641BE">
              <w:rPr>
                <w:sz w:val="22"/>
                <w:lang w:val="fr-FR"/>
              </w:rPr>
              <w:t>–</w:t>
            </w:r>
            <w:r w:rsidRPr="00A641BE">
              <w:rPr>
                <w:sz w:val="22"/>
                <w:lang w:val="fr-FR"/>
              </w:rPr>
              <w:tab/>
            </w:r>
            <w:bookmarkStart w:id="53" w:name="lt_pId251"/>
            <w:r w:rsidRPr="00A641BE">
              <w:rPr>
                <w:sz w:val="22"/>
                <w:lang w:val="fr-FR"/>
              </w:rPr>
              <w:t>fenêtre de lancement initiale et révisée;</w:t>
            </w:r>
            <w:bookmarkEnd w:id="53"/>
          </w:p>
          <w:p w14:paraId="407B6A7C" w14:textId="77777777" w:rsidR="00F71C9C" w:rsidRPr="00A641BE" w:rsidRDefault="00F71C9C" w:rsidP="003B7DE7">
            <w:pPr>
              <w:pStyle w:val="Tabletext"/>
              <w:tabs>
                <w:tab w:val="clear" w:pos="284"/>
                <w:tab w:val="clear" w:pos="1134"/>
              </w:tabs>
              <w:ind w:left="567" w:hanging="567"/>
              <w:rPr>
                <w:sz w:val="22"/>
                <w:lang w:val="fr-FR"/>
              </w:rPr>
            </w:pPr>
            <w:r w:rsidRPr="00A641BE">
              <w:rPr>
                <w:sz w:val="22"/>
                <w:lang w:val="fr-FR"/>
              </w:rPr>
              <w:t>–</w:t>
            </w:r>
            <w:r w:rsidRPr="00A641BE">
              <w:rPr>
                <w:sz w:val="22"/>
                <w:lang w:val="fr-FR"/>
              </w:rPr>
              <w:tab/>
            </w:r>
            <w:bookmarkStart w:id="54" w:name="lt_pId253"/>
            <w:r w:rsidRPr="00A641BE">
              <w:rPr>
                <w:sz w:val="22"/>
                <w:lang w:val="fr-FR"/>
              </w:rPr>
              <w:t>précisions suffisantes pour justifier que la demande de prorogation est imputable à un retard dû à l'embarquement d'un autre satellite sur le même lanceur (par exemple lettre du fournisseur de lancement indiquant que le lancement est retardé en raison d'un retard ayant des incidences sur l'autre satellite à embarquer sur le même lanceur);</w:t>
            </w:r>
            <w:bookmarkEnd w:id="54"/>
          </w:p>
          <w:p w14:paraId="59B0EC77" w14:textId="77777777" w:rsidR="00F71C9C" w:rsidRPr="00A641BE" w:rsidRDefault="00F71C9C" w:rsidP="003B7DE7">
            <w:pPr>
              <w:pStyle w:val="Tabletext"/>
              <w:tabs>
                <w:tab w:val="clear" w:pos="284"/>
                <w:tab w:val="clear" w:pos="1134"/>
              </w:tabs>
              <w:rPr>
                <w:sz w:val="22"/>
                <w:lang w:val="fr-FR"/>
              </w:rPr>
            </w:pPr>
            <w:r w:rsidRPr="00A641BE">
              <w:rPr>
                <w:sz w:val="22"/>
                <w:lang w:val="fr-FR"/>
              </w:rPr>
              <w:t>–</w:t>
            </w:r>
            <w:r w:rsidRPr="00A641BE">
              <w:rPr>
                <w:sz w:val="22"/>
                <w:lang w:val="fr-FR"/>
              </w:rPr>
              <w:tab/>
            </w:r>
            <w:bookmarkStart w:id="55" w:name="lt_pId255"/>
            <w:r w:rsidRPr="00A641BE">
              <w:rPr>
                <w:sz w:val="22"/>
                <w:lang w:val="fr-FR"/>
              </w:rPr>
              <w:t>précisions suffisantes pour justifier la durée de la période de prorogation demandée;</w:t>
            </w:r>
            <w:bookmarkEnd w:id="55"/>
          </w:p>
          <w:p w14:paraId="736C6DC4" w14:textId="77777777" w:rsidR="00F71C9C" w:rsidRPr="00A641BE" w:rsidRDefault="00F71C9C" w:rsidP="003B7DE7">
            <w:pPr>
              <w:pStyle w:val="Tabletext"/>
              <w:tabs>
                <w:tab w:val="clear" w:pos="284"/>
                <w:tab w:val="clear" w:pos="1134"/>
              </w:tabs>
              <w:rPr>
                <w:sz w:val="22"/>
                <w:lang w:val="fr-FR"/>
              </w:rPr>
            </w:pPr>
            <w:r w:rsidRPr="00A641BE">
              <w:rPr>
                <w:sz w:val="22"/>
                <w:lang w:val="fr-FR"/>
              </w:rPr>
              <w:t>–</w:t>
            </w:r>
            <w:r w:rsidRPr="00A641BE">
              <w:rPr>
                <w:sz w:val="22"/>
                <w:lang w:val="fr-FR"/>
              </w:rPr>
              <w:tab/>
            </w:r>
            <w:bookmarkStart w:id="56" w:name="lt_pId257"/>
            <w:r w:rsidRPr="00A641BE">
              <w:rPr>
                <w:sz w:val="22"/>
                <w:lang w:val="fr-FR"/>
              </w:rPr>
              <w:t>tout autre renseignement et document pertinents.</w:t>
            </w:r>
            <w:bookmarkEnd w:id="56"/>
          </w:p>
          <w:p w14:paraId="21BBDE8F" w14:textId="77777777" w:rsidR="00F71C9C" w:rsidRPr="00A641BE" w:rsidRDefault="00F71C9C" w:rsidP="003B7DE7">
            <w:pPr>
              <w:pStyle w:val="Tabletext"/>
              <w:tabs>
                <w:tab w:val="clear" w:pos="1134"/>
                <w:tab w:val="clear" w:pos="2268"/>
              </w:tabs>
              <w:spacing w:before="80"/>
              <w:rPr>
                <w:sz w:val="22"/>
                <w:lang w:val="fr-FR"/>
              </w:rPr>
            </w:pPr>
            <w:bookmarkStart w:id="57" w:name="lt_pId258"/>
            <w:r w:rsidRPr="00A641BE">
              <w:rPr>
                <w:sz w:val="22"/>
                <w:lang w:val="fr-FR"/>
              </w:rPr>
              <w:t>En ce qui concerne le § 4.3.5, intitulé «Respects des délais réglementaires en ce qui concerne les stations spatiales utilisant la propulsion électrique», la CMR-19 a décidé d'inviter l'UIT-R à étudier si l'utilisation de technologies satellitaires à propulsion électrique devrait être prise en considération dans le Règlement des radiocommunications, pour examen par une future CMR compétente.</w:t>
            </w:r>
            <w:bookmarkEnd w:id="57"/>
          </w:p>
          <w:p w14:paraId="3F55CC39" w14:textId="77777777" w:rsidR="00F71C9C" w:rsidRPr="00A641BE" w:rsidRDefault="00F71C9C" w:rsidP="003B7DE7">
            <w:pPr>
              <w:pStyle w:val="Tabletext"/>
              <w:tabs>
                <w:tab w:val="clear" w:pos="1134"/>
                <w:tab w:val="clear" w:pos="2268"/>
              </w:tabs>
              <w:spacing w:before="80"/>
              <w:rPr>
                <w:sz w:val="22"/>
                <w:lang w:val="fr-FR"/>
              </w:rPr>
            </w:pPr>
            <w:bookmarkStart w:id="58" w:name="lt_pId259"/>
            <w:r w:rsidRPr="00A641BE">
              <w:rPr>
                <w:sz w:val="22"/>
                <w:lang w:val="fr-FR"/>
              </w:rPr>
              <w:t>Lors de l'examen des demandes remplissant les conditions requises pour être considérées comme un cas de force majeure ou un cas de retard dû à l'embarquement d'un autre satellite sur le même lanceur, la CMR-19 charge le RRB de continuer de prendre en considération l'utilisation de systèmes de propulsion électriques au cas par cas au moment de déterminer la durée de la prorogation, en fonction des spécificités de chaque cas.</w:t>
            </w:r>
            <w:bookmarkEnd w:id="58"/>
          </w:p>
          <w:p w14:paraId="598869FE" w14:textId="77777777" w:rsidR="00F71C9C" w:rsidRPr="00A641BE" w:rsidRDefault="00F71C9C" w:rsidP="00437BD9">
            <w:pPr>
              <w:pStyle w:val="Tabletext"/>
              <w:tabs>
                <w:tab w:val="clear" w:pos="1134"/>
                <w:tab w:val="clear" w:pos="2268"/>
              </w:tabs>
              <w:rPr>
                <w:iCs/>
                <w:sz w:val="22"/>
                <w:lang w:val="fr-FR"/>
              </w:rPr>
            </w:pPr>
            <w:bookmarkStart w:id="59" w:name="lt_pId260"/>
            <w:r w:rsidRPr="00A641BE">
              <w:rPr>
                <w:sz w:val="22"/>
                <w:lang w:val="fr-FR"/>
              </w:rPr>
              <w:lastRenderedPageBreak/>
              <w:t>En ce qui concerne le § 4.3.6, intitulé «Demandes de pays en développement ne remplissant pas les conditions requises pour être considérées comme un cas de force majeure ou un cas de retard dû à l'embarquement d'un autre satellite sur le même lanceur», la CMR-19 invite l'UIT-R à étudier la question des demandes de prorogation des délais réglementaires présentées par des pays en développement ne remplissant pas les conditions requises pour être considérées comme un cas de force majeure ou un cas de retard dû à l'embarquement d'un autre satellite sur le même lanceur et à élaborer les critères et les conditions spécifiques en fonction desquels le RRB pourrait envisager d'accorder une prorogation du délai réglementaire à un pays en développement.</w:t>
            </w:r>
            <w:bookmarkEnd w:id="59"/>
          </w:p>
          <w:p w14:paraId="61571375" w14:textId="77777777" w:rsidR="00F71C9C" w:rsidRPr="00A641BE" w:rsidRDefault="00F71C9C" w:rsidP="002536E7">
            <w:pPr>
              <w:pStyle w:val="Tabletext"/>
              <w:tabs>
                <w:tab w:val="clear" w:pos="1134"/>
                <w:tab w:val="clear" w:pos="2268"/>
              </w:tabs>
              <w:spacing w:before="120"/>
              <w:rPr>
                <w:bCs/>
                <w:sz w:val="22"/>
                <w:lang w:val="fr-FR"/>
              </w:rPr>
            </w:pPr>
            <w:bookmarkStart w:id="60" w:name="lt_pId261"/>
            <w:bookmarkStart w:id="61" w:name="_Hlk24360461"/>
            <w:r w:rsidRPr="00A641BE">
              <w:rPr>
                <w:sz w:val="22"/>
                <w:lang w:val="fr-FR"/>
              </w:rPr>
              <w:t>Lors de l'examen du § 4.4 de ce rapport, intitulé «Demandes de transfert de la fonction d'«administration notificatrice» d'une administration à une autre ou de changement d'«administration notificatrice»», la CMR a confirmé l'approche suivie jusqu'à présent par le Comité relative au traitement des cas de changement d'administration notificatrice, lorsque celle-ci assume les fonctions d'administration notificatrice agissant au nom d'une organisation intergouvernementale de télécommunications par satellite pour un réseau à satellite de cette organisation intergouvernementale, en faveur d'une administration, membre de cette organisation, agissant en son nom propre.</w:t>
            </w:r>
            <w:bookmarkEnd w:id="60"/>
            <w:r w:rsidRPr="00A641BE">
              <w:rPr>
                <w:bCs/>
                <w:sz w:val="22"/>
                <w:lang w:val="fr-FR"/>
              </w:rPr>
              <w:t xml:space="preserve"> </w:t>
            </w:r>
            <w:bookmarkStart w:id="62" w:name="lt_pId262"/>
            <w:r w:rsidRPr="00A641BE">
              <w:rPr>
                <w:bCs/>
                <w:sz w:val="22"/>
                <w:lang w:val="fr-FR"/>
              </w:rPr>
              <w:t>La CMR-19 a décidé en outre qu'une lettre d'une autorité compétente appropriée de cette organisation intergouvernementale de télécommunications par satellite est requise pour confirmer son approbation quant au changement d'administration notificatrice.</w:t>
            </w:r>
            <w:bookmarkEnd w:id="62"/>
            <w:r w:rsidRPr="00A641BE">
              <w:rPr>
                <w:bCs/>
                <w:sz w:val="22"/>
                <w:lang w:val="fr-FR"/>
              </w:rPr>
              <w:t xml:space="preserve"> </w:t>
            </w:r>
            <w:bookmarkStart w:id="63" w:name="lt_pId263"/>
            <w:r w:rsidRPr="00A641BE">
              <w:rPr>
                <w:bCs/>
                <w:sz w:val="22"/>
                <w:lang w:val="fr-FR"/>
              </w:rPr>
              <w:t>En outre, la CMR-19 a décidé que le Comité refusera une demande de changement dans les cas suivants:</w:t>
            </w:r>
            <w:bookmarkEnd w:id="63"/>
          </w:p>
          <w:p w14:paraId="649255B4" w14:textId="77777777" w:rsidR="00F71C9C" w:rsidRPr="00A641BE" w:rsidRDefault="00F71C9C" w:rsidP="002536E7">
            <w:pPr>
              <w:pStyle w:val="Tabletext"/>
              <w:tabs>
                <w:tab w:val="clear" w:pos="284"/>
                <w:tab w:val="clear" w:pos="1134"/>
                <w:tab w:val="left" w:pos="463"/>
              </w:tabs>
              <w:ind w:left="463" w:hanging="463"/>
              <w:rPr>
                <w:sz w:val="22"/>
                <w:lang w:val="fr-FR"/>
              </w:rPr>
            </w:pPr>
            <w:r w:rsidRPr="00A641BE">
              <w:rPr>
                <w:sz w:val="22"/>
                <w:lang w:val="fr-FR"/>
              </w:rPr>
              <w:t>–</w:t>
            </w:r>
            <w:r w:rsidRPr="00A641BE">
              <w:rPr>
                <w:sz w:val="22"/>
                <w:lang w:val="fr-FR"/>
              </w:rPr>
              <w:tab/>
            </w:r>
            <w:bookmarkStart w:id="64" w:name="lt_pId265"/>
            <w:r w:rsidRPr="00A641BE">
              <w:rPr>
                <w:sz w:val="22"/>
                <w:lang w:val="fr-FR"/>
              </w:rPr>
              <w:t>administration notificatrice agissant au nom d'une organisation intergouvernementale de télécommunications par satellite pour un réseau à satellite de cette organisation intergouvernementale, en faveur d'une administration qui n'est pas membre de cette organisation;</w:t>
            </w:r>
            <w:bookmarkEnd w:id="64"/>
          </w:p>
          <w:p w14:paraId="5CEED14D" w14:textId="77777777" w:rsidR="00F71C9C" w:rsidRPr="00A641BE" w:rsidRDefault="00F71C9C" w:rsidP="002536E7">
            <w:pPr>
              <w:pStyle w:val="Tabletext"/>
              <w:tabs>
                <w:tab w:val="clear" w:pos="284"/>
                <w:tab w:val="clear" w:pos="1134"/>
                <w:tab w:val="left" w:pos="463"/>
              </w:tabs>
              <w:ind w:left="463" w:hanging="463"/>
              <w:rPr>
                <w:sz w:val="22"/>
                <w:lang w:val="fr-FR"/>
              </w:rPr>
            </w:pPr>
            <w:r w:rsidRPr="00A641BE">
              <w:rPr>
                <w:sz w:val="22"/>
                <w:lang w:val="fr-FR"/>
              </w:rPr>
              <w:t>–</w:t>
            </w:r>
            <w:r w:rsidRPr="00A641BE">
              <w:rPr>
                <w:sz w:val="22"/>
                <w:lang w:val="fr-FR"/>
              </w:rPr>
              <w:tab/>
            </w:r>
            <w:bookmarkStart w:id="65" w:name="lt_pId267"/>
            <w:r w:rsidRPr="00A641BE">
              <w:rPr>
                <w:sz w:val="22"/>
                <w:lang w:val="fr-FR"/>
              </w:rPr>
              <w:t>administration notificatrice agissant en son nom propre pour un réseau à satellite ou un système à satellites, en faveur d'une autre administration notificatrice agissant en son nom propre; ou</w:t>
            </w:r>
            <w:bookmarkEnd w:id="65"/>
            <w:r w:rsidRPr="00A641BE">
              <w:rPr>
                <w:sz w:val="22"/>
                <w:lang w:val="fr-FR"/>
              </w:rPr>
              <w:t xml:space="preserve"> </w:t>
            </w:r>
          </w:p>
          <w:p w14:paraId="50E05AED" w14:textId="77777777" w:rsidR="00F71C9C" w:rsidRPr="00A641BE" w:rsidRDefault="00F71C9C" w:rsidP="002536E7">
            <w:pPr>
              <w:pStyle w:val="Tabletext"/>
              <w:tabs>
                <w:tab w:val="clear" w:pos="284"/>
                <w:tab w:val="clear" w:pos="1134"/>
                <w:tab w:val="left" w:pos="463"/>
              </w:tabs>
              <w:ind w:left="463" w:hanging="463"/>
              <w:rPr>
                <w:sz w:val="22"/>
                <w:lang w:val="fr-FR"/>
              </w:rPr>
            </w:pPr>
            <w:r w:rsidRPr="00A641BE">
              <w:rPr>
                <w:sz w:val="22"/>
                <w:lang w:val="fr-FR"/>
              </w:rPr>
              <w:t>–</w:t>
            </w:r>
            <w:r w:rsidRPr="00A641BE">
              <w:rPr>
                <w:sz w:val="22"/>
                <w:lang w:val="fr-FR"/>
              </w:rPr>
              <w:tab/>
            </w:r>
            <w:bookmarkStart w:id="66" w:name="lt_pId269"/>
            <w:bookmarkStart w:id="67" w:name="_Toc520420664"/>
            <w:bookmarkStart w:id="68" w:name="_Toc16501764"/>
            <w:bookmarkStart w:id="69" w:name="_Toc4119430"/>
            <w:bookmarkEnd w:id="61"/>
            <w:r w:rsidRPr="00A641BE">
              <w:rPr>
                <w:sz w:val="22"/>
                <w:lang w:val="fr-FR"/>
              </w:rPr>
              <w:t>administration notificatrice agissant au nom d'un groupe d'administrations nommément désignées qui ne sont pas membres d'une organisation intergouvernementale de télécommunications par satellite, en faveur d'une autre administration de ce groupe.</w:t>
            </w:r>
            <w:bookmarkEnd w:id="66"/>
          </w:p>
          <w:p w14:paraId="3D55A5E3" w14:textId="39B0CF07" w:rsidR="00F71C9C" w:rsidRPr="00A641BE" w:rsidRDefault="00F71C9C" w:rsidP="00437BD9">
            <w:pPr>
              <w:pStyle w:val="Tabletext"/>
              <w:tabs>
                <w:tab w:val="clear" w:pos="1134"/>
                <w:tab w:val="clear" w:pos="2268"/>
              </w:tabs>
              <w:rPr>
                <w:sz w:val="22"/>
                <w:lang w:val="fr-FR"/>
              </w:rPr>
            </w:pPr>
            <w:bookmarkStart w:id="70" w:name="lt_pId270"/>
            <w:bookmarkEnd w:id="67"/>
            <w:bookmarkEnd w:id="68"/>
            <w:bookmarkEnd w:id="69"/>
            <w:r w:rsidRPr="00A641BE">
              <w:rPr>
                <w:sz w:val="22"/>
                <w:lang w:val="fr-FR"/>
              </w:rPr>
              <w:t>Lors de l'examen du § 4.5 de ce rapport, intitulé «Interprétation de la définition d'un «réseau à satellite» donnée au numéro</w:t>
            </w:r>
            <w:r w:rsidR="002536E7">
              <w:rPr>
                <w:sz w:val="22"/>
                <w:lang w:val="fr-FR"/>
              </w:rPr>
              <w:t> </w:t>
            </w:r>
            <w:r w:rsidRPr="00A641BE">
              <w:rPr>
                <w:b/>
                <w:bCs/>
                <w:sz w:val="22"/>
                <w:lang w:val="fr-FR"/>
              </w:rPr>
              <w:t>1.112</w:t>
            </w:r>
            <w:r w:rsidRPr="00A641BE">
              <w:rPr>
                <w:sz w:val="22"/>
                <w:lang w:val="fr-FR"/>
              </w:rPr>
              <w:t xml:space="preserve"> du RR et dans la Règle de procédure relative au numéro </w:t>
            </w:r>
            <w:r w:rsidRPr="00A641BE">
              <w:rPr>
                <w:b/>
                <w:bCs/>
                <w:sz w:val="22"/>
                <w:lang w:val="fr-FR"/>
              </w:rPr>
              <w:t>1.112</w:t>
            </w:r>
            <w:r w:rsidRPr="00A641BE">
              <w:rPr>
                <w:sz w:val="22"/>
                <w:lang w:val="fr-FR"/>
              </w:rPr>
              <w:t>», la CMR-19 a décidé que la question soulevée</w:t>
            </w:r>
            <w:r w:rsidR="002536E7">
              <w:rPr>
                <w:sz w:val="22"/>
                <w:lang w:val="fr-FR"/>
              </w:rPr>
              <w:t> </w:t>
            </w:r>
            <w:r w:rsidRPr="00A641BE">
              <w:rPr>
                <w:sz w:val="22"/>
                <w:lang w:val="fr-FR"/>
              </w:rPr>
              <w:t>dans ce paragraphe du rapport était traitée directement au titre de la Question H du point 7 de l'ordre du jour de</w:t>
            </w:r>
            <w:r w:rsidR="002536E7">
              <w:rPr>
                <w:sz w:val="22"/>
                <w:lang w:val="fr-FR"/>
              </w:rPr>
              <w:t xml:space="preserve"> </w:t>
            </w:r>
            <w:r w:rsidRPr="00A641BE">
              <w:rPr>
                <w:sz w:val="22"/>
                <w:lang w:val="fr-FR"/>
              </w:rPr>
              <w:t>la CMR-19.</w:t>
            </w:r>
            <w:bookmarkEnd w:id="70"/>
          </w:p>
        </w:tc>
      </w:tr>
      <w:tr w:rsidR="00F71C9C" w:rsidRPr="00AD36B1" w14:paraId="14B50BDF" w14:textId="77777777" w:rsidTr="00D235A4">
        <w:trPr>
          <w:cantSplit/>
        </w:trPr>
        <w:tc>
          <w:tcPr>
            <w:tcW w:w="1696" w:type="dxa"/>
            <w:vMerge/>
          </w:tcPr>
          <w:p w14:paraId="0D1CAB1A" w14:textId="77777777" w:rsidR="00F71C9C" w:rsidRPr="00A641BE" w:rsidRDefault="00F71C9C" w:rsidP="00437BD9">
            <w:pPr>
              <w:pStyle w:val="Tablehead"/>
              <w:keepNext w:val="0"/>
              <w:jc w:val="left"/>
              <w:rPr>
                <w:bCs/>
                <w:sz w:val="22"/>
                <w:lang w:val="fr-FR"/>
              </w:rPr>
            </w:pPr>
          </w:p>
        </w:tc>
        <w:tc>
          <w:tcPr>
            <w:tcW w:w="2127" w:type="dxa"/>
          </w:tcPr>
          <w:p w14:paraId="2310E9C8" w14:textId="615632E9" w:rsidR="00F71C9C" w:rsidRPr="00A641BE" w:rsidRDefault="00F71C9C" w:rsidP="00437BD9">
            <w:pPr>
              <w:pStyle w:val="Tablehead"/>
              <w:keepNext w:val="0"/>
              <w:jc w:val="left"/>
              <w:rPr>
                <w:sz w:val="22"/>
                <w:lang w:val="fr-FR"/>
              </w:rPr>
            </w:pPr>
            <w:r w:rsidRPr="00A641BE">
              <w:rPr>
                <w:sz w:val="22"/>
                <w:lang w:val="fr-FR"/>
              </w:rPr>
              <w:t>Paragraphes 3.19 à</w:t>
            </w:r>
            <w:r w:rsidR="002536E7">
              <w:rPr>
                <w:sz w:val="22"/>
                <w:lang w:val="fr-FR"/>
              </w:rPr>
              <w:t> </w:t>
            </w:r>
            <w:r w:rsidRPr="00A641BE">
              <w:rPr>
                <w:sz w:val="22"/>
                <w:lang w:val="fr-FR"/>
              </w:rPr>
              <w:t>3.21</w:t>
            </w:r>
          </w:p>
          <w:p w14:paraId="1FDCCC01" w14:textId="4F442E01" w:rsidR="00F71C9C" w:rsidRPr="00A641BE" w:rsidRDefault="00F71C9C" w:rsidP="00437BD9">
            <w:pPr>
              <w:pStyle w:val="Tablehead"/>
              <w:keepNext w:val="0"/>
              <w:jc w:val="left"/>
              <w:rPr>
                <w:sz w:val="22"/>
                <w:lang w:val="fr-FR"/>
              </w:rPr>
            </w:pPr>
            <w:r w:rsidRPr="00A641BE">
              <w:rPr>
                <w:sz w:val="22"/>
                <w:lang w:val="fr-FR"/>
              </w:rPr>
              <w:t xml:space="preserve">Approbation du Document </w:t>
            </w:r>
            <w:hyperlink r:id="rId31" w:history="1">
              <w:r w:rsidRPr="00EA3EF0">
                <w:rPr>
                  <w:rStyle w:val="Hyperlink"/>
                  <w:sz w:val="22"/>
                  <w:lang w:val="fr-FR"/>
                </w:rPr>
                <w:t>471</w:t>
              </w:r>
            </w:hyperlink>
          </w:p>
        </w:tc>
        <w:tc>
          <w:tcPr>
            <w:tcW w:w="11340" w:type="dxa"/>
          </w:tcPr>
          <w:p w14:paraId="748B07BE" w14:textId="70AFF6A3" w:rsidR="00F71C9C" w:rsidRPr="00A641BE" w:rsidRDefault="00F71C9C" w:rsidP="002536E7">
            <w:pPr>
              <w:pStyle w:val="Tabletext"/>
              <w:tabs>
                <w:tab w:val="clear" w:pos="1134"/>
                <w:tab w:val="clear" w:pos="2268"/>
              </w:tabs>
              <w:spacing w:before="80"/>
              <w:rPr>
                <w:sz w:val="22"/>
                <w:lang w:val="fr-FR"/>
              </w:rPr>
            </w:pPr>
            <w:bookmarkStart w:id="71" w:name="lt_pId280"/>
            <w:r w:rsidRPr="00A641BE">
              <w:rPr>
                <w:iCs/>
                <w:sz w:val="22"/>
                <w:lang w:val="fr-FR"/>
              </w:rPr>
              <w:t xml:space="preserve">S'agissant de l'interprétation de la Résolution </w:t>
            </w:r>
            <w:r w:rsidRPr="00A641BE">
              <w:rPr>
                <w:b/>
                <w:bCs/>
                <w:iCs/>
                <w:sz w:val="22"/>
                <w:lang w:val="fr-FR"/>
              </w:rPr>
              <w:t>750 (Rév.CMR-15)</w:t>
            </w:r>
            <w:r w:rsidRPr="00A641BE">
              <w:rPr>
                <w:iCs/>
                <w:sz w:val="22"/>
                <w:lang w:val="fr-FR"/>
              </w:rPr>
              <w:t xml:space="preserve">, les limites citées au point 1 du </w:t>
            </w:r>
            <w:r w:rsidRPr="00A641BE">
              <w:rPr>
                <w:i/>
                <w:iCs/>
                <w:sz w:val="22"/>
                <w:lang w:val="fr-FR"/>
              </w:rPr>
              <w:t xml:space="preserve">décide </w:t>
            </w:r>
            <w:r w:rsidRPr="00A641BE">
              <w:rPr>
                <w:iCs/>
                <w:sz w:val="22"/>
                <w:lang w:val="fr-FR"/>
              </w:rPr>
              <w:t>et dans le Tableau</w:t>
            </w:r>
            <w:r w:rsidR="002536E7">
              <w:rPr>
                <w:iCs/>
                <w:sz w:val="22"/>
                <w:lang w:val="fr-FR"/>
              </w:rPr>
              <w:t> </w:t>
            </w:r>
            <w:r w:rsidRPr="00A641BE">
              <w:rPr>
                <w:iCs/>
                <w:sz w:val="22"/>
                <w:lang w:val="fr-FR"/>
              </w:rPr>
              <w:t>1</w:t>
            </w:r>
            <w:r w:rsidR="007524A0" w:rsidRPr="00A641BE">
              <w:rPr>
                <w:iCs/>
                <w:sz w:val="22"/>
                <w:lang w:val="fr-FR"/>
              </w:rPr>
              <w:noBreakHyphen/>
            </w:r>
            <w:r w:rsidRPr="00A641BE">
              <w:rPr>
                <w:iCs/>
                <w:sz w:val="22"/>
                <w:lang w:val="fr-FR"/>
              </w:rPr>
              <w:t xml:space="preserve">1 de cette Résolution sont obligatoires, tandis que les limites citées au point 2 du </w:t>
            </w:r>
            <w:r w:rsidRPr="00A641BE">
              <w:rPr>
                <w:i/>
                <w:iCs/>
                <w:sz w:val="22"/>
                <w:lang w:val="fr-FR"/>
              </w:rPr>
              <w:t xml:space="preserve">décide </w:t>
            </w:r>
            <w:r w:rsidRPr="00A641BE">
              <w:rPr>
                <w:iCs/>
                <w:sz w:val="22"/>
                <w:lang w:val="fr-FR"/>
              </w:rPr>
              <w:t>et dans le Tableau 1-2 de cette Résolution ne sont pas obligatoires.</w:t>
            </w:r>
            <w:bookmarkEnd w:id="71"/>
          </w:p>
        </w:tc>
      </w:tr>
      <w:tr w:rsidR="00762AEF" w:rsidRPr="00AD36B1" w14:paraId="329FA1FB" w14:textId="77777777" w:rsidTr="00F75811">
        <w:tc>
          <w:tcPr>
            <w:tcW w:w="1696" w:type="dxa"/>
            <w:vMerge w:val="restart"/>
          </w:tcPr>
          <w:p w14:paraId="18724382" w14:textId="3479FFC1" w:rsidR="00762AEF" w:rsidRPr="00A641BE" w:rsidRDefault="00762AEF" w:rsidP="00437BD9">
            <w:pPr>
              <w:pStyle w:val="Tablehead"/>
              <w:keepNext w:val="0"/>
              <w:jc w:val="left"/>
              <w:rPr>
                <w:bCs/>
                <w:sz w:val="22"/>
                <w:lang w:val="fr-FR"/>
              </w:rPr>
            </w:pPr>
            <w:r w:rsidRPr="00A641BE">
              <w:rPr>
                <w:sz w:val="22"/>
                <w:lang w:val="fr-FR"/>
              </w:rPr>
              <w:lastRenderedPageBreak/>
              <w:t xml:space="preserve">Document </w:t>
            </w:r>
            <w:hyperlink r:id="rId32" w:history="1">
              <w:r w:rsidRPr="00EA3EF0">
                <w:rPr>
                  <w:rStyle w:val="Hyperlink"/>
                  <w:sz w:val="22"/>
                  <w:lang w:val="fr-FR"/>
                </w:rPr>
                <w:t>CMR19/571</w:t>
              </w:r>
            </w:hyperlink>
            <w:r w:rsidRPr="00A641BE">
              <w:rPr>
                <w:sz w:val="22"/>
                <w:lang w:val="fr-FR"/>
              </w:rPr>
              <w:t xml:space="preserve"> – Procès-verbal de la </w:t>
            </w:r>
            <w:r w:rsidR="00A641BE" w:rsidRPr="00A641BE">
              <w:rPr>
                <w:sz w:val="22"/>
                <w:lang w:val="fr-FR"/>
              </w:rPr>
              <w:t>dixième</w:t>
            </w:r>
            <w:r w:rsidRPr="00A641BE">
              <w:rPr>
                <w:sz w:val="22"/>
                <w:lang w:val="fr-FR"/>
              </w:rPr>
              <w:t xml:space="preserve"> séance plénière</w:t>
            </w:r>
          </w:p>
        </w:tc>
        <w:tc>
          <w:tcPr>
            <w:tcW w:w="2127" w:type="dxa"/>
          </w:tcPr>
          <w:p w14:paraId="59433F8E" w14:textId="72507D8D" w:rsidR="00762AEF" w:rsidRPr="00A641BE" w:rsidRDefault="00762AEF" w:rsidP="00437BD9">
            <w:pPr>
              <w:pStyle w:val="Tablehead"/>
              <w:keepNext w:val="0"/>
              <w:jc w:val="left"/>
              <w:rPr>
                <w:sz w:val="22"/>
                <w:lang w:val="fr-FR"/>
              </w:rPr>
            </w:pPr>
            <w:r w:rsidRPr="00A641BE">
              <w:rPr>
                <w:sz w:val="22"/>
                <w:lang w:val="fr-FR"/>
              </w:rPr>
              <w:t>Paragraphes 2.4 à</w:t>
            </w:r>
            <w:r w:rsidR="002536E7">
              <w:rPr>
                <w:sz w:val="22"/>
                <w:lang w:val="fr-FR"/>
              </w:rPr>
              <w:t> </w:t>
            </w:r>
            <w:r w:rsidRPr="00A641BE">
              <w:rPr>
                <w:sz w:val="22"/>
                <w:lang w:val="fr-FR"/>
              </w:rPr>
              <w:t>2.15</w:t>
            </w:r>
          </w:p>
          <w:p w14:paraId="7294827A" w14:textId="6CB8BCA6" w:rsidR="00762AEF" w:rsidRPr="00A641BE" w:rsidRDefault="00762AEF" w:rsidP="00437BD9">
            <w:pPr>
              <w:pStyle w:val="Tablehead"/>
              <w:keepNext w:val="0"/>
              <w:jc w:val="left"/>
              <w:rPr>
                <w:sz w:val="22"/>
                <w:lang w:val="fr-FR"/>
              </w:rPr>
            </w:pPr>
            <w:r w:rsidRPr="00A641BE">
              <w:rPr>
                <w:sz w:val="22"/>
                <w:lang w:val="fr-FR"/>
              </w:rPr>
              <w:t xml:space="preserve">Approbation du Document </w:t>
            </w:r>
            <w:hyperlink r:id="rId33" w:history="1">
              <w:r w:rsidRPr="00EA3EF0">
                <w:rPr>
                  <w:rStyle w:val="Hyperlink"/>
                  <w:sz w:val="22"/>
                  <w:lang w:val="fr-FR"/>
                </w:rPr>
                <w:t>518</w:t>
              </w:r>
            </w:hyperlink>
          </w:p>
        </w:tc>
        <w:tc>
          <w:tcPr>
            <w:tcW w:w="11340" w:type="dxa"/>
          </w:tcPr>
          <w:p w14:paraId="6725E595" w14:textId="3C19D5D8" w:rsidR="00762AEF" w:rsidRPr="00A641BE" w:rsidRDefault="00762AEF" w:rsidP="002536E7">
            <w:pPr>
              <w:pStyle w:val="Tabletext"/>
              <w:tabs>
                <w:tab w:val="clear" w:pos="1134"/>
                <w:tab w:val="clear" w:pos="2268"/>
              </w:tabs>
              <w:spacing w:before="80"/>
              <w:rPr>
                <w:sz w:val="22"/>
                <w:lang w:val="fr-FR"/>
              </w:rPr>
            </w:pPr>
            <w:r w:rsidRPr="00A641BE">
              <w:rPr>
                <w:sz w:val="22"/>
                <w:lang w:val="fr-FR"/>
              </w:rPr>
              <w:t xml:space="preserve">La CMR-19 a reçu plusieurs documents faisant état des demandes émanant d'administrations notificatrices au sujet du traitement réglementaire de certains réseaux à satellite. Les résultats de l'examen de la CMR-19 concernant ces demandes figurent ci-après. </w:t>
            </w:r>
          </w:p>
          <w:p w14:paraId="33E5755F" w14:textId="77777777" w:rsidR="00762AEF" w:rsidRPr="00A641BE" w:rsidRDefault="00762AEF" w:rsidP="002536E7">
            <w:pPr>
              <w:pStyle w:val="Tabletext"/>
              <w:tabs>
                <w:tab w:val="clear" w:pos="1134"/>
                <w:tab w:val="clear" w:pos="2268"/>
              </w:tabs>
              <w:spacing w:before="120"/>
              <w:rPr>
                <w:b/>
                <w:sz w:val="22"/>
                <w:lang w:val="fr-FR"/>
              </w:rPr>
            </w:pPr>
            <w:r w:rsidRPr="00A641BE">
              <w:rPr>
                <w:b/>
                <w:sz w:val="22"/>
                <w:lang w:val="fr-FR"/>
              </w:rPr>
              <w:t>Demandes invitant la CMR à prendre une décision concernant certaines fiches de notification de réseaux à satellite</w:t>
            </w:r>
          </w:p>
          <w:p w14:paraId="04D49B1A" w14:textId="77777777" w:rsidR="00762AEF" w:rsidRPr="00A641BE" w:rsidRDefault="00762AEF" w:rsidP="002536E7">
            <w:pPr>
              <w:pStyle w:val="Tabletext"/>
              <w:tabs>
                <w:tab w:val="clear" w:pos="1134"/>
                <w:tab w:val="clear" w:pos="2268"/>
              </w:tabs>
              <w:spacing w:before="120"/>
              <w:rPr>
                <w:i/>
                <w:sz w:val="22"/>
                <w:lang w:val="fr-FR"/>
              </w:rPr>
            </w:pPr>
            <w:r w:rsidRPr="00A641BE">
              <w:rPr>
                <w:i/>
                <w:sz w:val="22"/>
                <w:lang w:val="fr-FR"/>
              </w:rPr>
              <w:t>Demande relative aux réseaux à satellite ASIASAT-AK, ASIASAT-AK1 et ASIASAT-AKX</w:t>
            </w:r>
          </w:p>
          <w:p w14:paraId="6B4EE2E6" w14:textId="08A29FC3" w:rsidR="00762AEF" w:rsidRPr="00A641BE" w:rsidRDefault="00762AEF" w:rsidP="002536E7">
            <w:pPr>
              <w:pStyle w:val="Tabletext"/>
              <w:tabs>
                <w:tab w:val="clear" w:pos="1134"/>
                <w:tab w:val="clear" w:pos="2268"/>
              </w:tabs>
              <w:spacing w:before="120" w:after="240"/>
              <w:rPr>
                <w:sz w:val="22"/>
                <w:lang w:val="fr-FR"/>
              </w:rPr>
            </w:pPr>
            <w:r w:rsidRPr="00A641BE">
              <w:rPr>
                <w:sz w:val="22"/>
                <w:lang w:val="fr-FR"/>
              </w:rPr>
              <w:t xml:space="preserve">La CMR-19 a examiné la demande spécifique présentée par la Chine dans le Document </w:t>
            </w:r>
            <w:r w:rsidRPr="00437BD9">
              <w:rPr>
                <w:sz w:val="22"/>
                <w:lang w:val="fr-FR"/>
              </w:rPr>
              <w:t>28(Add.22)</w:t>
            </w:r>
            <w:r w:rsidRPr="00A641BE">
              <w:rPr>
                <w:sz w:val="22"/>
                <w:lang w:val="fr-FR"/>
              </w:rPr>
              <w:t xml:space="preserve"> concernant la validité de certaines assignations dans les bandes C et Ku des réseaux à satellite chinois ASIASAT-AK, ASIASAT-AK1 et ASIASAT-AKX. Après avoir examiné le contenu de ce document et les questions particulières qui y sont soulevées, la CMR-19 a décidé d'accéder à la demande formulée dans ce document et, en conséquence, a chargé le Bureau des radiocommunications de maintenir les assignations de fréquence des réseaux à satellite ASIASAT</w:t>
            </w:r>
            <w:r w:rsidRPr="00A641BE">
              <w:rPr>
                <w:sz w:val="22"/>
                <w:lang w:val="fr-FR"/>
              </w:rPr>
              <w:noBreakHyphen/>
              <w:t xml:space="preserve">AK, ASIASAT-AK1 et ASIASAT-AKX énumérées dans le tableau ci-après dans le Fichier de référence international des fréquences. </w:t>
            </w:r>
          </w:p>
          <w:tbl>
            <w:tblPr>
              <w:tblW w:w="6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2"/>
              <w:gridCol w:w="1004"/>
              <w:gridCol w:w="1753"/>
              <w:gridCol w:w="1791"/>
            </w:tblGrid>
            <w:tr w:rsidR="00762AEF" w:rsidRPr="00F75811" w14:paraId="46AAC809" w14:textId="77777777" w:rsidTr="004A7E7F">
              <w:trPr>
                <w:cantSplit/>
                <w:trHeight w:val="300"/>
                <w:tblHeader/>
                <w:jc w:val="center"/>
              </w:trPr>
              <w:tc>
                <w:tcPr>
                  <w:tcW w:w="1922" w:type="dxa"/>
                  <w:shd w:val="clear" w:color="auto" w:fill="D9D9D9"/>
                  <w:noWrap/>
                  <w:vAlign w:val="center"/>
                  <w:hideMark/>
                </w:tcPr>
                <w:p w14:paraId="4C638312" w14:textId="77777777" w:rsidR="00762AEF" w:rsidRPr="00A641BE" w:rsidRDefault="00762AEF" w:rsidP="00437BD9">
                  <w:pPr>
                    <w:pStyle w:val="Tablehead"/>
                    <w:keepNext w:val="0"/>
                    <w:rPr>
                      <w:lang w:val="fr-FR"/>
                    </w:rPr>
                  </w:pPr>
                  <w:r w:rsidRPr="00A641BE">
                    <w:rPr>
                      <w:lang w:val="fr-FR"/>
                    </w:rPr>
                    <w:t>Réseau à satellite</w:t>
                  </w:r>
                </w:p>
              </w:tc>
              <w:tc>
                <w:tcPr>
                  <w:tcW w:w="1004" w:type="dxa"/>
                  <w:shd w:val="clear" w:color="auto" w:fill="D9D9D9"/>
                  <w:noWrap/>
                  <w:vAlign w:val="center"/>
                  <w:hideMark/>
                </w:tcPr>
                <w:p w14:paraId="20A82A93" w14:textId="77777777" w:rsidR="00762AEF" w:rsidRPr="00A641BE" w:rsidRDefault="00762AEF" w:rsidP="00437BD9">
                  <w:pPr>
                    <w:pStyle w:val="Tablehead"/>
                    <w:keepNext w:val="0"/>
                    <w:rPr>
                      <w:lang w:val="fr-FR"/>
                    </w:rPr>
                  </w:pPr>
                  <w:r w:rsidRPr="00A641BE">
                    <w:rPr>
                      <w:lang w:val="fr-FR"/>
                    </w:rPr>
                    <w:t>Long.</w:t>
                  </w:r>
                </w:p>
              </w:tc>
              <w:tc>
                <w:tcPr>
                  <w:tcW w:w="1753" w:type="dxa"/>
                  <w:shd w:val="clear" w:color="auto" w:fill="D9D9D9"/>
                  <w:noWrap/>
                  <w:vAlign w:val="center"/>
                  <w:hideMark/>
                </w:tcPr>
                <w:p w14:paraId="6E76057E" w14:textId="77777777" w:rsidR="00762AEF" w:rsidRPr="00A641BE" w:rsidRDefault="00762AEF" w:rsidP="00437BD9">
                  <w:pPr>
                    <w:pStyle w:val="Tablehead"/>
                    <w:keepNext w:val="0"/>
                    <w:rPr>
                      <w:lang w:val="fr-FR"/>
                    </w:rPr>
                  </w:pPr>
                  <w:r w:rsidRPr="00A641BE">
                    <w:rPr>
                      <w:lang w:val="fr-FR"/>
                    </w:rPr>
                    <w:t>Fréq. min. (MHz)</w:t>
                  </w:r>
                </w:p>
              </w:tc>
              <w:tc>
                <w:tcPr>
                  <w:tcW w:w="1791" w:type="dxa"/>
                  <w:shd w:val="clear" w:color="auto" w:fill="D9D9D9"/>
                  <w:noWrap/>
                  <w:vAlign w:val="center"/>
                  <w:hideMark/>
                </w:tcPr>
                <w:p w14:paraId="40BDA68A" w14:textId="77777777" w:rsidR="00762AEF" w:rsidRPr="00A641BE" w:rsidRDefault="00762AEF" w:rsidP="00437BD9">
                  <w:pPr>
                    <w:pStyle w:val="Tablehead"/>
                    <w:keepNext w:val="0"/>
                    <w:rPr>
                      <w:lang w:val="fr-FR"/>
                    </w:rPr>
                  </w:pPr>
                  <w:r w:rsidRPr="00A641BE">
                    <w:rPr>
                      <w:lang w:val="fr-FR"/>
                    </w:rPr>
                    <w:t>Fréq. max. (MHz)</w:t>
                  </w:r>
                </w:p>
              </w:tc>
            </w:tr>
            <w:tr w:rsidR="00762AEF" w:rsidRPr="00AD36B1" w14:paraId="4C984BED" w14:textId="77777777" w:rsidTr="004A7E7F">
              <w:trPr>
                <w:trHeight w:val="300"/>
                <w:jc w:val="center"/>
              </w:trPr>
              <w:tc>
                <w:tcPr>
                  <w:tcW w:w="1922" w:type="dxa"/>
                  <w:noWrap/>
                  <w:vAlign w:val="center"/>
                </w:tcPr>
                <w:p w14:paraId="20C8DB30" w14:textId="77777777" w:rsidR="00762AEF" w:rsidRPr="00A641BE" w:rsidRDefault="00762AEF" w:rsidP="00437BD9">
                  <w:pPr>
                    <w:pStyle w:val="Tabletext"/>
                    <w:jc w:val="center"/>
                    <w:rPr>
                      <w:lang w:val="fr-FR"/>
                    </w:rPr>
                  </w:pPr>
                  <w:r w:rsidRPr="00A641BE">
                    <w:rPr>
                      <w:lang w:val="fr-FR"/>
                    </w:rPr>
                    <w:t>ASIASAT-AK</w:t>
                  </w:r>
                </w:p>
              </w:tc>
              <w:tc>
                <w:tcPr>
                  <w:tcW w:w="1004" w:type="dxa"/>
                  <w:noWrap/>
                </w:tcPr>
                <w:p w14:paraId="548D72B7" w14:textId="77777777" w:rsidR="00762AEF" w:rsidRPr="00A641BE" w:rsidRDefault="00762AEF" w:rsidP="00437BD9">
                  <w:pPr>
                    <w:pStyle w:val="Tabletext"/>
                    <w:jc w:val="center"/>
                    <w:rPr>
                      <w:lang w:val="fr-FR"/>
                    </w:rPr>
                  </w:pPr>
                  <w:r w:rsidRPr="00A641BE">
                    <w:rPr>
                      <w:lang w:val="fr-FR"/>
                    </w:rPr>
                    <w:t>122° E</w:t>
                  </w:r>
                </w:p>
              </w:tc>
              <w:tc>
                <w:tcPr>
                  <w:tcW w:w="1753" w:type="dxa"/>
                  <w:noWrap/>
                  <w:vAlign w:val="center"/>
                </w:tcPr>
                <w:p w14:paraId="5176ABC0" w14:textId="77777777" w:rsidR="00762AEF" w:rsidRPr="00A641BE" w:rsidRDefault="00762AEF" w:rsidP="00437BD9">
                  <w:pPr>
                    <w:pStyle w:val="Tabletext"/>
                    <w:jc w:val="center"/>
                    <w:rPr>
                      <w:lang w:val="fr-FR"/>
                    </w:rPr>
                  </w:pPr>
                  <w:r w:rsidRPr="00A641BE">
                    <w:rPr>
                      <w:lang w:val="fr-FR"/>
                    </w:rPr>
                    <w:t>6 425</w:t>
                  </w:r>
                </w:p>
              </w:tc>
              <w:tc>
                <w:tcPr>
                  <w:tcW w:w="1791" w:type="dxa"/>
                  <w:noWrap/>
                  <w:vAlign w:val="center"/>
                </w:tcPr>
                <w:p w14:paraId="50A7B359" w14:textId="77777777" w:rsidR="00762AEF" w:rsidRPr="00A641BE" w:rsidRDefault="00762AEF" w:rsidP="00437BD9">
                  <w:pPr>
                    <w:pStyle w:val="Tabletext"/>
                    <w:jc w:val="center"/>
                    <w:rPr>
                      <w:lang w:val="fr-FR"/>
                    </w:rPr>
                  </w:pPr>
                  <w:r w:rsidRPr="00A641BE">
                    <w:rPr>
                      <w:lang w:val="fr-FR"/>
                    </w:rPr>
                    <w:t>6 723</w:t>
                  </w:r>
                </w:p>
              </w:tc>
            </w:tr>
            <w:tr w:rsidR="00762AEF" w:rsidRPr="00AD36B1" w14:paraId="1159BDD4" w14:textId="77777777" w:rsidTr="004A7E7F">
              <w:trPr>
                <w:trHeight w:val="300"/>
                <w:jc w:val="center"/>
              </w:trPr>
              <w:tc>
                <w:tcPr>
                  <w:tcW w:w="1922" w:type="dxa"/>
                  <w:noWrap/>
                  <w:vAlign w:val="center"/>
                </w:tcPr>
                <w:p w14:paraId="09A5A0D6" w14:textId="77777777" w:rsidR="00762AEF" w:rsidRPr="00A641BE" w:rsidRDefault="00762AEF" w:rsidP="00437BD9">
                  <w:pPr>
                    <w:pStyle w:val="Tabletext"/>
                    <w:jc w:val="center"/>
                    <w:rPr>
                      <w:lang w:val="fr-FR"/>
                    </w:rPr>
                  </w:pPr>
                  <w:r w:rsidRPr="00A641BE">
                    <w:rPr>
                      <w:lang w:val="fr-FR"/>
                    </w:rPr>
                    <w:t>ASIASAT-AK</w:t>
                  </w:r>
                </w:p>
              </w:tc>
              <w:tc>
                <w:tcPr>
                  <w:tcW w:w="1004" w:type="dxa"/>
                  <w:noWrap/>
                </w:tcPr>
                <w:p w14:paraId="3217EE23" w14:textId="77777777" w:rsidR="00762AEF" w:rsidRPr="00A641BE" w:rsidRDefault="00762AEF" w:rsidP="00437BD9">
                  <w:pPr>
                    <w:pStyle w:val="Tabletext"/>
                    <w:jc w:val="center"/>
                    <w:rPr>
                      <w:lang w:val="fr-FR"/>
                    </w:rPr>
                  </w:pPr>
                  <w:r w:rsidRPr="00A641BE">
                    <w:rPr>
                      <w:lang w:val="fr-FR"/>
                    </w:rPr>
                    <w:t>122° E</w:t>
                  </w:r>
                </w:p>
              </w:tc>
              <w:tc>
                <w:tcPr>
                  <w:tcW w:w="1753" w:type="dxa"/>
                  <w:noWrap/>
                  <w:vAlign w:val="center"/>
                </w:tcPr>
                <w:p w14:paraId="5B1777A0" w14:textId="77777777" w:rsidR="00762AEF" w:rsidRPr="00A641BE" w:rsidRDefault="00762AEF" w:rsidP="00437BD9">
                  <w:pPr>
                    <w:pStyle w:val="Tabletext"/>
                    <w:jc w:val="center"/>
                    <w:rPr>
                      <w:lang w:val="fr-FR"/>
                    </w:rPr>
                  </w:pPr>
                  <w:r w:rsidRPr="00A641BE">
                    <w:rPr>
                      <w:lang w:val="fr-FR"/>
                    </w:rPr>
                    <w:t>10 950</w:t>
                  </w:r>
                </w:p>
              </w:tc>
              <w:tc>
                <w:tcPr>
                  <w:tcW w:w="1791" w:type="dxa"/>
                  <w:noWrap/>
                  <w:vAlign w:val="center"/>
                </w:tcPr>
                <w:p w14:paraId="2E5516D5" w14:textId="77777777" w:rsidR="00762AEF" w:rsidRPr="00A641BE" w:rsidRDefault="00762AEF" w:rsidP="00437BD9">
                  <w:pPr>
                    <w:pStyle w:val="Tabletext"/>
                    <w:jc w:val="center"/>
                    <w:rPr>
                      <w:lang w:val="fr-FR"/>
                    </w:rPr>
                  </w:pPr>
                  <w:r w:rsidRPr="00A641BE">
                    <w:rPr>
                      <w:lang w:val="fr-FR"/>
                    </w:rPr>
                    <w:t>11 197</w:t>
                  </w:r>
                </w:p>
              </w:tc>
            </w:tr>
            <w:tr w:rsidR="00762AEF" w:rsidRPr="00AD36B1" w14:paraId="641FFE95" w14:textId="77777777" w:rsidTr="004A7E7F">
              <w:trPr>
                <w:trHeight w:val="300"/>
                <w:jc w:val="center"/>
              </w:trPr>
              <w:tc>
                <w:tcPr>
                  <w:tcW w:w="1922" w:type="dxa"/>
                  <w:noWrap/>
                  <w:vAlign w:val="center"/>
                </w:tcPr>
                <w:p w14:paraId="3AD41654" w14:textId="77777777" w:rsidR="00762AEF" w:rsidRPr="00A641BE" w:rsidRDefault="00762AEF" w:rsidP="00437BD9">
                  <w:pPr>
                    <w:pStyle w:val="Tabletext"/>
                    <w:jc w:val="center"/>
                    <w:rPr>
                      <w:lang w:val="fr-FR"/>
                    </w:rPr>
                  </w:pPr>
                  <w:r w:rsidRPr="00A641BE">
                    <w:rPr>
                      <w:lang w:val="fr-FR"/>
                    </w:rPr>
                    <w:t>ASIASAT-AK</w:t>
                  </w:r>
                </w:p>
              </w:tc>
              <w:tc>
                <w:tcPr>
                  <w:tcW w:w="1004" w:type="dxa"/>
                  <w:noWrap/>
                </w:tcPr>
                <w:p w14:paraId="756963B6" w14:textId="77777777" w:rsidR="00762AEF" w:rsidRPr="00A641BE" w:rsidRDefault="00762AEF" w:rsidP="00437BD9">
                  <w:pPr>
                    <w:pStyle w:val="Tabletext"/>
                    <w:jc w:val="center"/>
                    <w:rPr>
                      <w:lang w:val="fr-FR"/>
                    </w:rPr>
                  </w:pPr>
                  <w:r w:rsidRPr="00A641BE">
                    <w:rPr>
                      <w:lang w:val="fr-FR"/>
                    </w:rPr>
                    <w:t>122° E</w:t>
                  </w:r>
                </w:p>
              </w:tc>
              <w:tc>
                <w:tcPr>
                  <w:tcW w:w="1753" w:type="dxa"/>
                  <w:noWrap/>
                  <w:vAlign w:val="center"/>
                </w:tcPr>
                <w:p w14:paraId="67233D18" w14:textId="77777777" w:rsidR="00762AEF" w:rsidRPr="00A641BE" w:rsidRDefault="00762AEF" w:rsidP="00437BD9">
                  <w:pPr>
                    <w:pStyle w:val="Tabletext"/>
                    <w:jc w:val="center"/>
                    <w:rPr>
                      <w:lang w:val="fr-FR"/>
                    </w:rPr>
                  </w:pPr>
                  <w:r w:rsidRPr="00A641BE">
                    <w:rPr>
                      <w:lang w:val="fr-FR"/>
                    </w:rPr>
                    <w:t>11 453</w:t>
                  </w:r>
                </w:p>
              </w:tc>
              <w:tc>
                <w:tcPr>
                  <w:tcW w:w="1791" w:type="dxa"/>
                  <w:noWrap/>
                  <w:vAlign w:val="center"/>
                </w:tcPr>
                <w:p w14:paraId="4DEBA4D9" w14:textId="77777777" w:rsidR="00762AEF" w:rsidRPr="00A641BE" w:rsidRDefault="00762AEF" w:rsidP="00437BD9">
                  <w:pPr>
                    <w:pStyle w:val="Tabletext"/>
                    <w:jc w:val="center"/>
                    <w:rPr>
                      <w:lang w:val="fr-FR"/>
                    </w:rPr>
                  </w:pPr>
                  <w:r w:rsidRPr="00A641BE">
                    <w:rPr>
                      <w:lang w:val="fr-FR"/>
                    </w:rPr>
                    <w:t>11 700</w:t>
                  </w:r>
                </w:p>
              </w:tc>
            </w:tr>
            <w:tr w:rsidR="00762AEF" w:rsidRPr="00AD36B1" w14:paraId="19945C3D" w14:textId="77777777" w:rsidTr="004A7E7F">
              <w:trPr>
                <w:trHeight w:val="300"/>
                <w:jc w:val="center"/>
              </w:trPr>
              <w:tc>
                <w:tcPr>
                  <w:tcW w:w="1922" w:type="dxa"/>
                  <w:noWrap/>
                  <w:vAlign w:val="center"/>
                </w:tcPr>
                <w:p w14:paraId="3A768D98" w14:textId="77777777" w:rsidR="00762AEF" w:rsidRPr="00A641BE" w:rsidRDefault="00762AEF" w:rsidP="00437BD9">
                  <w:pPr>
                    <w:pStyle w:val="Tabletext"/>
                    <w:jc w:val="center"/>
                    <w:rPr>
                      <w:lang w:val="fr-FR"/>
                    </w:rPr>
                  </w:pPr>
                  <w:r w:rsidRPr="00A641BE">
                    <w:rPr>
                      <w:lang w:val="fr-FR"/>
                    </w:rPr>
                    <w:t>ASIASAT-AK1</w:t>
                  </w:r>
                </w:p>
              </w:tc>
              <w:tc>
                <w:tcPr>
                  <w:tcW w:w="1004" w:type="dxa"/>
                  <w:noWrap/>
                </w:tcPr>
                <w:p w14:paraId="7122D689" w14:textId="77777777" w:rsidR="00762AEF" w:rsidRPr="00A641BE" w:rsidRDefault="00762AEF" w:rsidP="00437BD9">
                  <w:pPr>
                    <w:pStyle w:val="Tabletext"/>
                    <w:jc w:val="center"/>
                    <w:rPr>
                      <w:lang w:val="fr-FR"/>
                    </w:rPr>
                  </w:pPr>
                  <w:r w:rsidRPr="00A641BE">
                    <w:rPr>
                      <w:lang w:val="fr-FR"/>
                    </w:rPr>
                    <w:t>122° E</w:t>
                  </w:r>
                </w:p>
              </w:tc>
              <w:tc>
                <w:tcPr>
                  <w:tcW w:w="1753" w:type="dxa"/>
                  <w:noWrap/>
                  <w:vAlign w:val="center"/>
                </w:tcPr>
                <w:p w14:paraId="608D2933" w14:textId="77777777" w:rsidR="00762AEF" w:rsidRPr="00A641BE" w:rsidRDefault="00762AEF" w:rsidP="00437BD9">
                  <w:pPr>
                    <w:pStyle w:val="Tabletext"/>
                    <w:jc w:val="center"/>
                    <w:rPr>
                      <w:lang w:val="fr-FR"/>
                    </w:rPr>
                  </w:pPr>
                  <w:r w:rsidRPr="00A641BE">
                    <w:rPr>
                      <w:lang w:val="fr-FR"/>
                    </w:rPr>
                    <w:t>12 200</w:t>
                  </w:r>
                </w:p>
              </w:tc>
              <w:tc>
                <w:tcPr>
                  <w:tcW w:w="1791" w:type="dxa"/>
                  <w:noWrap/>
                  <w:vAlign w:val="center"/>
                </w:tcPr>
                <w:p w14:paraId="227264DE" w14:textId="77777777" w:rsidR="00762AEF" w:rsidRPr="00A641BE" w:rsidRDefault="00762AEF" w:rsidP="00437BD9">
                  <w:pPr>
                    <w:pStyle w:val="Tabletext"/>
                    <w:jc w:val="center"/>
                    <w:rPr>
                      <w:lang w:val="fr-FR"/>
                    </w:rPr>
                  </w:pPr>
                  <w:r w:rsidRPr="00A641BE">
                    <w:rPr>
                      <w:lang w:val="fr-FR"/>
                    </w:rPr>
                    <w:t>12 250</w:t>
                  </w:r>
                </w:p>
              </w:tc>
            </w:tr>
            <w:tr w:rsidR="00762AEF" w:rsidRPr="00AD36B1" w14:paraId="1F32FF63" w14:textId="77777777" w:rsidTr="004A7E7F">
              <w:trPr>
                <w:trHeight w:val="300"/>
                <w:jc w:val="center"/>
              </w:trPr>
              <w:tc>
                <w:tcPr>
                  <w:tcW w:w="1922" w:type="dxa"/>
                  <w:noWrap/>
                  <w:vAlign w:val="center"/>
                </w:tcPr>
                <w:p w14:paraId="6BA33D7D" w14:textId="77777777" w:rsidR="00762AEF" w:rsidRPr="00A641BE" w:rsidRDefault="00762AEF" w:rsidP="00437BD9">
                  <w:pPr>
                    <w:pStyle w:val="Tabletext"/>
                    <w:jc w:val="center"/>
                    <w:rPr>
                      <w:lang w:val="fr-FR"/>
                    </w:rPr>
                  </w:pPr>
                  <w:r w:rsidRPr="00A641BE">
                    <w:rPr>
                      <w:lang w:val="fr-FR"/>
                    </w:rPr>
                    <w:t>ASIASAT-AKX</w:t>
                  </w:r>
                </w:p>
              </w:tc>
              <w:tc>
                <w:tcPr>
                  <w:tcW w:w="1004" w:type="dxa"/>
                  <w:noWrap/>
                </w:tcPr>
                <w:p w14:paraId="707AE07D" w14:textId="77777777" w:rsidR="00762AEF" w:rsidRPr="00A641BE" w:rsidRDefault="00762AEF" w:rsidP="00437BD9">
                  <w:pPr>
                    <w:pStyle w:val="Tabletext"/>
                    <w:jc w:val="center"/>
                    <w:rPr>
                      <w:lang w:val="fr-FR"/>
                    </w:rPr>
                  </w:pPr>
                  <w:r w:rsidRPr="00A641BE">
                    <w:rPr>
                      <w:lang w:val="fr-FR"/>
                    </w:rPr>
                    <w:t>122° E</w:t>
                  </w:r>
                </w:p>
              </w:tc>
              <w:tc>
                <w:tcPr>
                  <w:tcW w:w="1753" w:type="dxa"/>
                  <w:noWrap/>
                  <w:vAlign w:val="center"/>
                </w:tcPr>
                <w:p w14:paraId="350313D2" w14:textId="77777777" w:rsidR="00762AEF" w:rsidRPr="00A641BE" w:rsidRDefault="00762AEF" w:rsidP="00437BD9">
                  <w:pPr>
                    <w:pStyle w:val="Tabletext"/>
                    <w:jc w:val="center"/>
                    <w:rPr>
                      <w:lang w:val="fr-FR"/>
                    </w:rPr>
                  </w:pPr>
                  <w:r w:rsidRPr="00A641BE">
                    <w:rPr>
                      <w:lang w:val="fr-FR"/>
                    </w:rPr>
                    <w:t>6 425</w:t>
                  </w:r>
                </w:p>
              </w:tc>
              <w:tc>
                <w:tcPr>
                  <w:tcW w:w="1791" w:type="dxa"/>
                  <w:noWrap/>
                  <w:vAlign w:val="center"/>
                </w:tcPr>
                <w:p w14:paraId="521C353B" w14:textId="77777777" w:rsidR="00762AEF" w:rsidRPr="00A641BE" w:rsidRDefault="00762AEF" w:rsidP="00437BD9">
                  <w:pPr>
                    <w:pStyle w:val="Tabletext"/>
                    <w:jc w:val="center"/>
                    <w:rPr>
                      <w:lang w:val="fr-FR"/>
                    </w:rPr>
                  </w:pPr>
                  <w:r w:rsidRPr="00A641BE">
                    <w:rPr>
                      <w:lang w:val="fr-FR"/>
                    </w:rPr>
                    <w:t>6 725</w:t>
                  </w:r>
                </w:p>
              </w:tc>
            </w:tr>
            <w:tr w:rsidR="00762AEF" w:rsidRPr="00AD36B1" w14:paraId="1C5FDCD0" w14:textId="77777777" w:rsidTr="004A7E7F">
              <w:trPr>
                <w:trHeight w:val="300"/>
                <w:jc w:val="center"/>
              </w:trPr>
              <w:tc>
                <w:tcPr>
                  <w:tcW w:w="1922" w:type="dxa"/>
                  <w:noWrap/>
                  <w:vAlign w:val="center"/>
                </w:tcPr>
                <w:p w14:paraId="027C4279" w14:textId="77777777" w:rsidR="00762AEF" w:rsidRPr="00A641BE" w:rsidRDefault="00762AEF" w:rsidP="00437BD9">
                  <w:pPr>
                    <w:pStyle w:val="Tabletext"/>
                    <w:jc w:val="center"/>
                    <w:rPr>
                      <w:lang w:val="fr-FR"/>
                    </w:rPr>
                  </w:pPr>
                  <w:r w:rsidRPr="00A641BE">
                    <w:rPr>
                      <w:lang w:val="fr-FR"/>
                    </w:rPr>
                    <w:t>ASIASAT-AKX</w:t>
                  </w:r>
                </w:p>
              </w:tc>
              <w:tc>
                <w:tcPr>
                  <w:tcW w:w="1004" w:type="dxa"/>
                  <w:noWrap/>
                </w:tcPr>
                <w:p w14:paraId="740ED6B3" w14:textId="77777777" w:rsidR="00762AEF" w:rsidRPr="00A641BE" w:rsidRDefault="00762AEF" w:rsidP="00437BD9">
                  <w:pPr>
                    <w:pStyle w:val="Tabletext"/>
                    <w:jc w:val="center"/>
                    <w:rPr>
                      <w:lang w:val="fr-FR"/>
                    </w:rPr>
                  </w:pPr>
                  <w:r w:rsidRPr="00A641BE">
                    <w:rPr>
                      <w:lang w:val="fr-FR"/>
                    </w:rPr>
                    <w:t>122° E</w:t>
                  </w:r>
                </w:p>
              </w:tc>
              <w:tc>
                <w:tcPr>
                  <w:tcW w:w="1753" w:type="dxa"/>
                  <w:noWrap/>
                  <w:vAlign w:val="center"/>
                </w:tcPr>
                <w:p w14:paraId="784F7A73" w14:textId="77777777" w:rsidR="00762AEF" w:rsidRPr="00A641BE" w:rsidRDefault="00762AEF" w:rsidP="00437BD9">
                  <w:pPr>
                    <w:pStyle w:val="Tabletext"/>
                    <w:jc w:val="center"/>
                    <w:rPr>
                      <w:lang w:val="fr-FR"/>
                    </w:rPr>
                  </w:pPr>
                  <w:r w:rsidRPr="00A641BE">
                    <w:rPr>
                      <w:lang w:val="fr-FR"/>
                    </w:rPr>
                    <w:t>10 953</w:t>
                  </w:r>
                </w:p>
              </w:tc>
              <w:tc>
                <w:tcPr>
                  <w:tcW w:w="1791" w:type="dxa"/>
                  <w:noWrap/>
                  <w:vAlign w:val="center"/>
                </w:tcPr>
                <w:p w14:paraId="1C19946D" w14:textId="77777777" w:rsidR="00762AEF" w:rsidRPr="00A641BE" w:rsidRDefault="00762AEF" w:rsidP="00437BD9">
                  <w:pPr>
                    <w:pStyle w:val="Tabletext"/>
                    <w:jc w:val="center"/>
                    <w:rPr>
                      <w:lang w:val="fr-FR"/>
                    </w:rPr>
                  </w:pPr>
                  <w:r w:rsidRPr="00A641BE">
                    <w:rPr>
                      <w:lang w:val="fr-FR"/>
                    </w:rPr>
                    <w:t>11 200</w:t>
                  </w:r>
                </w:p>
              </w:tc>
            </w:tr>
            <w:tr w:rsidR="00762AEF" w:rsidRPr="00AD36B1" w14:paraId="1673A5F3" w14:textId="77777777" w:rsidTr="004A7E7F">
              <w:trPr>
                <w:trHeight w:val="300"/>
                <w:jc w:val="center"/>
              </w:trPr>
              <w:tc>
                <w:tcPr>
                  <w:tcW w:w="1922" w:type="dxa"/>
                  <w:noWrap/>
                  <w:vAlign w:val="center"/>
                </w:tcPr>
                <w:p w14:paraId="24A6C86B" w14:textId="77777777" w:rsidR="00762AEF" w:rsidRPr="00A641BE" w:rsidRDefault="00762AEF" w:rsidP="00437BD9">
                  <w:pPr>
                    <w:pStyle w:val="Tabletext"/>
                    <w:jc w:val="center"/>
                    <w:rPr>
                      <w:lang w:val="fr-FR"/>
                    </w:rPr>
                  </w:pPr>
                  <w:r w:rsidRPr="00A641BE">
                    <w:rPr>
                      <w:lang w:val="fr-FR"/>
                    </w:rPr>
                    <w:t>ASIASAT-AKX</w:t>
                  </w:r>
                </w:p>
              </w:tc>
              <w:tc>
                <w:tcPr>
                  <w:tcW w:w="1004" w:type="dxa"/>
                  <w:noWrap/>
                </w:tcPr>
                <w:p w14:paraId="2D6374D5" w14:textId="77777777" w:rsidR="00762AEF" w:rsidRPr="00A641BE" w:rsidRDefault="00762AEF" w:rsidP="00437BD9">
                  <w:pPr>
                    <w:pStyle w:val="Tabletext"/>
                    <w:jc w:val="center"/>
                    <w:rPr>
                      <w:lang w:val="fr-FR"/>
                    </w:rPr>
                  </w:pPr>
                  <w:r w:rsidRPr="00A641BE">
                    <w:rPr>
                      <w:lang w:val="fr-FR"/>
                    </w:rPr>
                    <w:t>122° E</w:t>
                  </w:r>
                </w:p>
              </w:tc>
              <w:tc>
                <w:tcPr>
                  <w:tcW w:w="1753" w:type="dxa"/>
                  <w:noWrap/>
                  <w:vAlign w:val="center"/>
                </w:tcPr>
                <w:p w14:paraId="5B85DF8D" w14:textId="77777777" w:rsidR="00762AEF" w:rsidRPr="00A641BE" w:rsidRDefault="00762AEF" w:rsidP="00437BD9">
                  <w:pPr>
                    <w:pStyle w:val="Tabletext"/>
                    <w:jc w:val="center"/>
                    <w:rPr>
                      <w:lang w:val="fr-FR"/>
                    </w:rPr>
                  </w:pPr>
                  <w:r w:rsidRPr="00A641BE">
                    <w:rPr>
                      <w:lang w:val="fr-FR"/>
                    </w:rPr>
                    <w:t>11 450</w:t>
                  </w:r>
                </w:p>
              </w:tc>
              <w:tc>
                <w:tcPr>
                  <w:tcW w:w="1791" w:type="dxa"/>
                  <w:noWrap/>
                  <w:vAlign w:val="center"/>
                </w:tcPr>
                <w:p w14:paraId="39DE0BB3" w14:textId="77777777" w:rsidR="00762AEF" w:rsidRPr="00A641BE" w:rsidRDefault="00762AEF" w:rsidP="00437BD9">
                  <w:pPr>
                    <w:pStyle w:val="Tabletext"/>
                    <w:jc w:val="center"/>
                    <w:rPr>
                      <w:lang w:val="fr-FR"/>
                    </w:rPr>
                  </w:pPr>
                  <w:r w:rsidRPr="00A641BE">
                    <w:rPr>
                      <w:lang w:val="fr-FR"/>
                    </w:rPr>
                    <w:t>11 699</w:t>
                  </w:r>
                </w:p>
              </w:tc>
            </w:tr>
            <w:tr w:rsidR="00762AEF" w:rsidRPr="00AD36B1" w14:paraId="4C8B47B3" w14:textId="77777777" w:rsidTr="004A7E7F">
              <w:trPr>
                <w:trHeight w:val="300"/>
                <w:jc w:val="center"/>
              </w:trPr>
              <w:tc>
                <w:tcPr>
                  <w:tcW w:w="1922" w:type="dxa"/>
                  <w:noWrap/>
                  <w:vAlign w:val="center"/>
                </w:tcPr>
                <w:p w14:paraId="6DB21F89" w14:textId="77777777" w:rsidR="00762AEF" w:rsidRPr="00A641BE" w:rsidRDefault="00762AEF" w:rsidP="00437BD9">
                  <w:pPr>
                    <w:pStyle w:val="Tabletext"/>
                    <w:jc w:val="center"/>
                    <w:rPr>
                      <w:lang w:val="fr-FR"/>
                    </w:rPr>
                  </w:pPr>
                  <w:r w:rsidRPr="00A641BE">
                    <w:rPr>
                      <w:lang w:val="fr-FR"/>
                    </w:rPr>
                    <w:t>ASIASAT-AKX</w:t>
                  </w:r>
                </w:p>
              </w:tc>
              <w:tc>
                <w:tcPr>
                  <w:tcW w:w="1004" w:type="dxa"/>
                  <w:noWrap/>
                </w:tcPr>
                <w:p w14:paraId="6570B6D0" w14:textId="77777777" w:rsidR="00762AEF" w:rsidRPr="00A641BE" w:rsidRDefault="00762AEF" w:rsidP="00437BD9">
                  <w:pPr>
                    <w:pStyle w:val="Tabletext"/>
                    <w:jc w:val="center"/>
                    <w:rPr>
                      <w:lang w:val="fr-FR"/>
                    </w:rPr>
                  </w:pPr>
                  <w:r w:rsidRPr="00A641BE">
                    <w:rPr>
                      <w:lang w:val="fr-FR"/>
                    </w:rPr>
                    <w:t>122° E</w:t>
                  </w:r>
                </w:p>
              </w:tc>
              <w:tc>
                <w:tcPr>
                  <w:tcW w:w="1753" w:type="dxa"/>
                  <w:noWrap/>
                  <w:vAlign w:val="center"/>
                </w:tcPr>
                <w:p w14:paraId="30224712" w14:textId="77777777" w:rsidR="00762AEF" w:rsidRPr="00A641BE" w:rsidRDefault="00762AEF" w:rsidP="00437BD9">
                  <w:pPr>
                    <w:pStyle w:val="Tabletext"/>
                    <w:jc w:val="center"/>
                    <w:rPr>
                      <w:lang w:val="fr-FR"/>
                    </w:rPr>
                  </w:pPr>
                  <w:r w:rsidRPr="00A641BE">
                    <w:rPr>
                      <w:lang w:val="fr-FR"/>
                    </w:rPr>
                    <w:t>13 753</w:t>
                  </w:r>
                </w:p>
              </w:tc>
              <w:tc>
                <w:tcPr>
                  <w:tcW w:w="1791" w:type="dxa"/>
                  <w:noWrap/>
                  <w:vAlign w:val="center"/>
                </w:tcPr>
                <w:p w14:paraId="2E0D3A88" w14:textId="77777777" w:rsidR="00762AEF" w:rsidRPr="00A641BE" w:rsidRDefault="00762AEF" w:rsidP="00437BD9">
                  <w:pPr>
                    <w:pStyle w:val="Tabletext"/>
                    <w:jc w:val="center"/>
                    <w:rPr>
                      <w:lang w:val="fr-FR"/>
                    </w:rPr>
                  </w:pPr>
                  <w:r w:rsidRPr="00A641BE">
                    <w:rPr>
                      <w:lang w:val="fr-FR"/>
                    </w:rPr>
                    <w:t>14 000</w:t>
                  </w:r>
                </w:p>
              </w:tc>
            </w:tr>
          </w:tbl>
          <w:p w14:paraId="164A8522" w14:textId="77777777" w:rsidR="00762AEF" w:rsidRPr="00A641BE" w:rsidRDefault="00762AEF" w:rsidP="002536E7">
            <w:pPr>
              <w:pStyle w:val="Tabletext"/>
              <w:tabs>
                <w:tab w:val="clear" w:pos="1134"/>
                <w:tab w:val="clear" w:pos="2268"/>
              </w:tabs>
              <w:spacing w:before="120"/>
              <w:rPr>
                <w:i/>
                <w:sz w:val="22"/>
                <w:lang w:val="fr-FR"/>
              </w:rPr>
            </w:pPr>
            <w:r w:rsidRPr="00A641BE">
              <w:rPr>
                <w:i/>
                <w:sz w:val="22"/>
                <w:lang w:val="fr-FR"/>
              </w:rPr>
              <w:lastRenderedPageBreak/>
              <w:t>Demande relative aux réseaux à satellite INTELSAT8 328.5E et INTELSAT9 328.5E</w:t>
            </w:r>
          </w:p>
          <w:p w14:paraId="43E21A6E" w14:textId="4D0BB197" w:rsidR="00762AEF" w:rsidRPr="00A641BE" w:rsidRDefault="00762AEF" w:rsidP="002536E7">
            <w:pPr>
              <w:pStyle w:val="Tabletext"/>
              <w:tabs>
                <w:tab w:val="clear" w:pos="1134"/>
                <w:tab w:val="clear" w:pos="2268"/>
              </w:tabs>
              <w:spacing w:before="120"/>
              <w:rPr>
                <w:sz w:val="22"/>
                <w:lang w:val="fr-FR"/>
              </w:rPr>
            </w:pPr>
            <w:r w:rsidRPr="00A641BE">
              <w:rPr>
                <w:sz w:val="22"/>
                <w:lang w:val="fr-FR"/>
              </w:rPr>
              <w:t xml:space="preserve">La CMR-19 a examiné la demande spécifique figurant dans le Document </w:t>
            </w:r>
            <w:r w:rsidRPr="00437BD9">
              <w:rPr>
                <w:sz w:val="22"/>
                <w:lang w:val="fr-FR"/>
              </w:rPr>
              <w:t>46(Add.22)</w:t>
            </w:r>
            <w:r w:rsidRPr="00A641BE">
              <w:rPr>
                <w:sz w:val="22"/>
                <w:lang w:val="fr-FR"/>
              </w:rPr>
              <w:t xml:space="preserve"> concernant le maintien des assignations</w:t>
            </w:r>
            <w:r w:rsidR="002536E7">
              <w:rPr>
                <w:sz w:val="22"/>
                <w:lang w:val="fr-FR"/>
              </w:rPr>
              <w:t> </w:t>
            </w:r>
            <w:r w:rsidRPr="00A641BE">
              <w:rPr>
                <w:sz w:val="22"/>
                <w:lang w:val="fr-FR"/>
              </w:rPr>
              <w:t>de fréquence des réseaux à satellite INTELSAT8 328.5E et INTELSAT9 328.5E dans les bandes de fréquences 10</w:t>
            </w:r>
            <w:r w:rsidR="002536E7">
              <w:rPr>
                <w:sz w:val="22"/>
                <w:lang w:val="fr-FR"/>
              </w:rPr>
              <w:t> </w:t>
            </w:r>
            <w:r w:rsidRPr="00A641BE">
              <w:rPr>
                <w:sz w:val="22"/>
                <w:lang w:val="fr-FR"/>
              </w:rPr>
              <w:t>950-11 195 MHz et 11 197,98</w:t>
            </w:r>
            <w:r w:rsidRPr="00A641BE">
              <w:rPr>
                <w:sz w:val="22"/>
                <w:lang w:val="fr-FR"/>
              </w:rPr>
              <w:noBreakHyphen/>
              <w:t>11 198,03 MHz. La CMR</w:t>
            </w:r>
            <w:r w:rsidRPr="00A641BE">
              <w:rPr>
                <w:sz w:val="22"/>
                <w:lang w:val="fr-FR"/>
              </w:rPr>
              <w:noBreakHyphen/>
              <w:t>19 a décidé d'accéder à la demande formulée dans ce document compte tenu des questions particulières qui y sont soulevées. La CMR-19 a par conséquent chargé le Bureau des radiocommunications de maintenir les assignations de fréquence susmentionnées dans le Fichier de référence international des fréquences.</w:t>
            </w:r>
          </w:p>
          <w:p w14:paraId="541CC6D3" w14:textId="77777777" w:rsidR="00762AEF" w:rsidRPr="00A641BE" w:rsidRDefault="00762AEF" w:rsidP="002536E7">
            <w:pPr>
              <w:pStyle w:val="Tabletext"/>
              <w:tabs>
                <w:tab w:val="clear" w:pos="1134"/>
                <w:tab w:val="clear" w:pos="2268"/>
              </w:tabs>
              <w:spacing w:before="120"/>
              <w:rPr>
                <w:b/>
                <w:sz w:val="22"/>
                <w:lang w:val="fr-FR"/>
              </w:rPr>
            </w:pPr>
            <w:r w:rsidRPr="00A641BE">
              <w:rPr>
                <w:b/>
                <w:sz w:val="22"/>
                <w:lang w:val="fr-FR"/>
              </w:rPr>
              <w:t>Demande d'inclusion dans les Plans des Appendices 30 et 30A du RR de 10 assignations à la position orbitale 1,9° E, en lieu et place des assignations de la Bulgarie figurant dans les Plans actuels à 1,2° W</w:t>
            </w:r>
          </w:p>
          <w:p w14:paraId="6F0476D3" w14:textId="2C024611" w:rsidR="00762AEF" w:rsidRPr="00A641BE" w:rsidRDefault="00762AEF" w:rsidP="002536E7">
            <w:pPr>
              <w:pStyle w:val="Tabletext"/>
              <w:tabs>
                <w:tab w:val="clear" w:pos="1134"/>
                <w:tab w:val="clear" w:pos="2268"/>
              </w:tabs>
              <w:spacing w:before="120"/>
              <w:rPr>
                <w:sz w:val="22"/>
                <w:lang w:val="fr-FR"/>
              </w:rPr>
            </w:pPr>
            <w:r w:rsidRPr="00A641BE">
              <w:rPr>
                <w:sz w:val="22"/>
                <w:lang w:val="fr-FR"/>
              </w:rPr>
              <w:t xml:space="preserve">La CMR-19 a examiné la demande spécifique figurant dans le Document </w:t>
            </w:r>
            <w:r w:rsidRPr="00437BD9">
              <w:rPr>
                <w:sz w:val="22"/>
                <w:lang w:val="fr-FR"/>
              </w:rPr>
              <w:t>43(Add.2)</w:t>
            </w:r>
            <w:r w:rsidRPr="00A641BE">
              <w:rPr>
                <w:sz w:val="22"/>
                <w:lang w:val="fr-FR"/>
              </w:rPr>
              <w:t xml:space="preserve"> qui vise l'éventuelle inclusion dans les Plans des Appendices </w:t>
            </w:r>
            <w:r w:rsidRPr="00A641BE">
              <w:rPr>
                <w:b/>
                <w:bCs/>
                <w:sz w:val="22"/>
                <w:lang w:val="fr-FR"/>
              </w:rPr>
              <w:t>30</w:t>
            </w:r>
            <w:r w:rsidRPr="00A641BE">
              <w:rPr>
                <w:sz w:val="22"/>
                <w:lang w:val="fr-FR"/>
              </w:rPr>
              <w:t xml:space="preserve"> et </w:t>
            </w:r>
            <w:r w:rsidRPr="00A641BE">
              <w:rPr>
                <w:b/>
                <w:bCs/>
                <w:sz w:val="22"/>
                <w:lang w:val="fr-FR"/>
              </w:rPr>
              <w:t>30A</w:t>
            </w:r>
            <w:r w:rsidRPr="00A641BE">
              <w:rPr>
                <w:sz w:val="22"/>
                <w:lang w:val="fr-FR"/>
              </w:rPr>
              <w:t xml:space="preserve"> du RR de 10 assignations à la position orbitale 1,9° E, en lieu et place des assignations de la Bulgarie figurant dans les Plans actuels à 1,2° W, conformément au § 4.1.27 de l'Article 4 des Appendices </w:t>
            </w:r>
            <w:r w:rsidRPr="00A641BE">
              <w:rPr>
                <w:b/>
                <w:bCs/>
                <w:sz w:val="22"/>
                <w:lang w:val="fr-FR"/>
              </w:rPr>
              <w:t>30</w:t>
            </w:r>
            <w:r w:rsidRPr="00A641BE">
              <w:rPr>
                <w:sz w:val="22"/>
                <w:lang w:val="fr-FR"/>
              </w:rPr>
              <w:t xml:space="preserve"> et </w:t>
            </w:r>
            <w:r w:rsidRPr="00A641BE">
              <w:rPr>
                <w:b/>
                <w:bCs/>
                <w:sz w:val="22"/>
                <w:lang w:val="fr-FR"/>
              </w:rPr>
              <w:t>30A</w:t>
            </w:r>
            <w:r w:rsidRPr="00A641BE">
              <w:rPr>
                <w:sz w:val="22"/>
                <w:lang w:val="fr-FR"/>
              </w:rPr>
              <w:t xml:space="preserve"> du RR. Tout en reconnaissant que cette demande était associée à une décision de la CMR-12 sur cette même question, et compte tenu des résultats des activités menées après la CMR-12, et du fait que la procédure au titre de l'Article 4 de l'Appendice </w:t>
            </w:r>
            <w:r w:rsidRPr="00A641BE">
              <w:rPr>
                <w:b/>
                <w:bCs/>
                <w:sz w:val="22"/>
                <w:lang w:val="fr-FR"/>
              </w:rPr>
              <w:t>30</w:t>
            </w:r>
            <w:r w:rsidRPr="00A641BE">
              <w:rPr>
                <w:sz w:val="22"/>
                <w:lang w:val="fr-FR"/>
              </w:rPr>
              <w:t xml:space="preserve"> du RR et la soumission de fiches de notification au titre de l'Article 4 de l'Appendice </w:t>
            </w:r>
            <w:r w:rsidRPr="00A641BE">
              <w:rPr>
                <w:b/>
                <w:bCs/>
                <w:sz w:val="22"/>
                <w:lang w:val="fr-FR"/>
              </w:rPr>
              <w:t>30</w:t>
            </w:r>
            <w:r w:rsidRPr="00A641BE">
              <w:rPr>
                <w:sz w:val="22"/>
                <w:lang w:val="fr-FR"/>
              </w:rPr>
              <w:t xml:space="preserve"> du RR pour des canaux du SRS dans la bande 11,7</w:t>
            </w:r>
            <w:r w:rsidRPr="00A641BE">
              <w:rPr>
                <w:sz w:val="22"/>
                <w:lang w:val="fr-FR"/>
              </w:rPr>
              <w:noBreakHyphen/>
              <w:t>12,2 GHz à la position orbitale 1,9° E ont été menées à bien, la CMR-19 a décidé d'accéder à cette demande.</w:t>
            </w:r>
          </w:p>
          <w:p w14:paraId="194F6541" w14:textId="77777777" w:rsidR="00762AEF" w:rsidRPr="00A641BE" w:rsidRDefault="00762AEF" w:rsidP="002536E7">
            <w:pPr>
              <w:pStyle w:val="Tabletext"/>
              <w:tabs>
                <w:tab w:val="clear" w:pos="1134"/>
                <w:tab w:val="clear" w:pos="2268"/>
              </w:tabs>
              <w:spacing w:before="120"/>
              <w:rPr>
                <w:sz w:val="22"/>
                <w:lang w:val="fr-FR"/>
              </w:rPr>
            </w:pPr>
            <w:r w:rsidRPr="00A641BE">
              <w:rPr>
                <w:sz w:val="22"/>
                <w:lang w:val="fr-FR"/>
              </w:rPr>
              <w:t xml:space="preserve">La CMR-19 charge le Bureau des radiocommunications d'inclure dans les Plans des Appendices </w:t>
            </w:r>
            <w:r w:rsidRPr="00A641BE">
              <w:rPr>
                <w:b/>
                <w:bCs/>
                <w:sz w:val="22"/>
                <w:lang w:val="fr-FR"/>
              </w:rPr>
              <w:t>30</w:t>
            </w:r>
            <w:r w:rsidRPr="00A641BE">
              <w:rPr>
                <w:sz w:val="22"/>
                <w:lang w:val="fr-FR"/>
              </w:rPr>
              <w:t xml:space="preserve"> et </w:t>
            </w:r>
            <w:r w:rsidRPr="00A641BE">
              <w:rPr>
                <w:b/>
                <w:bCs/>
                <w:sz w:val="22"/>
                <w:lang w:val="fr-FR"/>
              </w:rPr>
              <w:t>30A</w:t>
            </w:r>
            <w:r w:rsidRPr="00A641BE">
              <w:rPr>
                <w:sz w:val="22"/>
                <w:lang w:val="fr-FR"/>
              </w:rPr>
              <w:t xml:space="preserve"> du RR dix canaux de 33 MHz pour le SRS et les liaisons de connexion du SRS (canaux 1, 2, 3, 4, 5, 6, 7, 8, 17 et 18), dont les caractéristiques applicables à l'Administration de la Bulgarie figurent dans le Tableau 1 ci-dessous. Une fois que ces canaux auront été ajoutés, le Bureau des radiocommunications retirera les assignations actuelles dans le Plan à 1,2° W de l'Administration de la Bulgarie des Plans des Appendices </w:t>
            </w:r>
            <w:r w:rsidRPr="00A641BE">
              <w:rPr>
                <w:b/>
                <w:bCs/>
                <w:sz w:val="22"/>
                <w:lang w:val="fr-FR"/>
              </w:rPr>
              <w:t>30</w:t>
            </w:r>
            <w:r w:rsidRPr="00A641BE">
              <w:rPr>
                <w:sz w:val="22"/>
                <w:lang w:val="fr-FR"/>
              </w:rPr>
              <w:t xml:space="preserve"> et </w:t>
            </w:r>
            <w:r w:rsidRPr="00A641BE">
              <w:rPr>
                <w:b/>
                <w:bCs/>
                <w:sz w:val="22"/>
                <w:lang w:val="fr-FR"/>
              </w:rPr>
              <w:t>30A</w:t>
            </w:r>
            <w:r w:rsidRPr="00A641BE">
              <w:rPr>
                <w:sz w:val="22"/>
                <w:lang w:val="fr-FR"/>
              </w:rPr>
              <w:t xml:space="preserve"> du RR et supprimera les assignations de fréquence du réseau à satellite BULSAT-BSS-1.2W-W (voir le Tableau 2 ci-dessous) correspondant aux 10 canaux susmentionnés de la Liste d'utilisations additionnelles et du Fichier international de référence des fréquences.</w:t>
            </w:r>
          </w:p>
          <w:p w14:paraId="48ACE5A5" w14:textId="77777777" w:rsidR="002536E7" w:rsidRDefault="002536E7" w:rsidP="002536E7">
            <w:pPr>
              <w:pStyle w:val="TableNoTitle"/>
              <w:keepNext w:val="0"/>
              <w:keepLines w:val="0"/>
              <w:spacing w:before="1200" w:line="240" w:lineRule="auto"/>
              <w:rPr>
                <w:b w:val="0"/>
                <w:bCs/>
                <w:lang w:val="fr-FR"/>
              </w:rPr>
            </w:pPr>
          </w:p>
          <w:p w14:paraId="15EC37F9" w14:textId="036EB1F0" w:rsidR="00762AEF" w:rsidRPr="00A641BE" w:rsidRDefault="00762AEF" w:rsidP="002536E7">
            <w:pPr>
              <w:pStyle w:val="TableNoTitle"/>
              <w:keepNext w:val="0"/>
              <w:keepLines w:val="0"/>
              <w:spacing w:before="240" w:line="240" w:lineRule="auto"/>
              <w:rPr>
                <w:b w:val="0"/>
                <w:bCs/>
                <w:lang w:val="fr-FR"/>
              </w:rPr>
            </w:pPr>
            <w:r w:rsidRPr="00A641BE">
              <w:rPr>
                <w:b w:val="0"/>
                <w:bCs/>
                <w:lang w:val="fr-FR"/>
              </w:rPr>
              <w:lastRenderedPageBreak/>
              <w:t>TABLEAU 1</w:t>
            </w:r>
          </w:p>
          <w:p w14:paraId="222BF844" w14:textId="77777777" w:rsidR="00762AEF" w:rsidRPr="00A641BE" w:rsidRDefault="00762AEF" w:rsidP="00437BD9">
            <w:pPr>
              <w:pStyle w:val="TableNoTitle"/>
              <w:keepNext w:val="0"/>
              <w:keepLines w:val="0"/>
              <w:spacing w:before="120" w:line="240" w:lineRule="auto"/>
              <w:rPr>
                <w:lang w:val="fr-FR"/>
              </w:rPr>
            </w:pPr>
            <w:r w:rsidRPr="00A641BE">
              <w:rPr>
                <w:lang w:val="fr-FR"/>
              </w:rPr>
              <w:t xml:space="preserve">Liste des caractéristiques des nouvelles assignations de l'Administration de la Bulgarie </w:t>
            </w:r>
            <w:r w:rsidRPr="00A641BE">
              <w:rPr>
                <w:lang w:val="fr-FR"/>
              </w:rPr>
              <w:br/>
              <w:t>dans les Plans des Appendices 30 et 30A du RR</w:t>
            </w:r>
          </w:p>
          <w:tbl>
            <w:tblPr>
              <w:tblStyle w:val="TableGrid"/>
              <w:tblW w:w="9965" w:type="dxa"/>
              <w:jc w:val="center"/>
              <w:tblLayout w:type="fixed"/>
              <w:tblLook w:val="04A0" w:firstRow="1" w:lastRow="0" w:firstColumn="1" w:lastColumn="0" w:noHBand="0" w:noVBand="1"/>
            </w:tblPr>
            <w:tblGrid>
              <w:gridCol w:w="3869"/>
              <w:gridCol w:w="3151"/>
              <w:gridCol w:w="2945"/>
            </w:tblGrid>
            <w:tr w:rsidR="00762AEF" w:rsidRPr="00A641BE" w14:paraId="2946B8FB" w14:textId="77777777" w:rsidTr="002536E7">
              <w:trPr>
                <w:tblHeader/>
                <w:jc w:val="center"/>
              </w:trPr>
              <w:tc>
                <w:tcPr>
                  <w:tcW w:w="3869" w:type="dxa"/>
                </w:tcPr>
                <w:p w14:paraId="0BE01402" w14:textId="77777777" w:rsidR="00762AEF" w:rsidRPr="00A641BE" w:rsidRDefault="00762AEF" w:rsidP="00437BD9">
                  <w:pPr>
                    <w:pStyle w:val="Tablehead"/>
                    <w:keepNext w:val="0"/>
                    <w:rPr>
                      <w:lang w:val="fr-FR"/>
                    </w:rPr>
                  </w:pPr>
                  <w:r w:rsidRPr="00A641BE">
                    <w:rPr>
                      <w:lang w:val="fr-FR"/>
                    </w:rPr>
                    <w:t>Paramètre</w:t>
                  </w:r>
                </w:p>
              </w:tc>
              <w:tc>
                <w:tcPr>
                  <w:tcW w:w="3151" w:type="dxa"/>
                </w:tcPr>
                <w:p w14:paraId="2E6C5942" w14:textId="77777777" w:rsidR="00762AEF" w:rsidRPr="00A641BE" w:rsidRDefault="00762AEF" w:rsidP="00437BD9">
                  <w:pPr>
                    <w:pStyle w:val="Tablehead"/>
                    <w:keepNext w:val="0"/>
                    <w:rPr>
                      <w:lang w:val="fr-FR"/>
                    </w:rPr>
                  </w:pPr>
                  <w:r w:rsidRPr="00A641BE">
                    <w:rPr>
                      <w:lang w:val="fr-FR"/>
                    </w:rPr>
                    <w:t>Liaison descendante</w:t>
                  </w:r>
                </w:p>
              </w:tc>
              <w:tc>
                <w:tcPr>
                  <w:tcW w:w="2945" w:type="dxa"/>
                </w:tcPr>
                <w:p w14:paraId="0DA90C3A" w14:textId="77777777" w:rsidR="00762AEF" w:rsidRPr="00A641BE" w:rsidRDefault="00762AEF" w:rsidP="00437BD9">
                  <w:pPr>
                    <w:pStyle w:val="Tablehead"/>
                    <w:keepNext w:val="0"/>
                    <w:rPr>
                      <w:lang w:val="fr-FR"/>
                    </w:rPr>
                  </w:pPr>
                  <w:r w:rsidRPr="00A641BE">
                    <w:rPr>
                      <w:lang w:val="fr-FR"/>
                    </w:rPr>
                    <w:t>Liaison de connexion</w:t>
                  </w:r>
                </w:p>
              </w:tc>
            </w:tr>
            <w:tr w:rsidR="00762AEF" w:rsidRPr="00A641BE" w14:paraId="6144B9DA" w14:textId="77777777" w:rsidTr="002536E7">
              <w:trPr>
                <w:jc w:val="center"/>
              </w:trPr>
              <w:tc>
                <w:tcPr>
                  <w:tcW w:w="3869" w:type="dxa"/>
                </w:tcPr>
                <w:p w14:paraId="19333999" w14:textId="77777777" w:rsidR="00762AEF" w:rsidRPr="00A641BE" w:rsidRDefault="00762AEF" w:rsidP="00437BD9">
                  <w:pPr>
                    <w:pStyle w:val="Tabletext"/>
                    <w:rPr>
                      <w:lang w:val="fr-FR"/>
                    </w:rPr>
                  </w:pPr>
                  <w:r w:rsidRPr="00A641BE">
                    <w:rPr>
                      <w:lang w:val="fr-FR"/>
                    </w:rPr>
                    <w:t>Position orbitale</w:t>
                  </w:r>
                </w:p>
              </w:tc>
              <w:tc>
                <w:tcPr>
                  <w:tcW w:w="6096" w:type="dxa"/>
                  <w:gridSpan w:val="2"/>
                </w:tcPr>
                <w:p w14:paraId="5D354FD6" w14:textId="77777777" w:rsidR="00762AEF" w:rsidRPr="00A641BE" w:rsidRDefault="00762AEF" w:rsidP="00437BD9">
                  <w:pPr>
                    <w:pStyle w:val="Tabletext"/>
                    <w:rPr>
                      <w:lang w:val="fr-FR"/>
                    </w:rPr>
                  </w:pPr>
                  <w:r w:rsidRPr="00A641BE">
                    <w:rPr>
                      <w:lang w:val="fr-FR"/>
                    </w:rPr>
                    <w:t>1,9° E</w:t>
                  </w:r>
                </w:p>
              </w:tc>
            </w:tr>
            <w:tr w:rsidR="00762AEF" w:rsidRPr="00A641BE" w14:paraId="39B9C651" w14:textId="77777777" w:rsidTr="002536E7">
              <w:trPr>
                <w:jc w:val="center"/>
              </w:trPr>
              <w:tc>
                <w:tcPr>
                  <w:tcW w:w="3869" w:type="dxa"/>
                </w:tcPr>
                <w:p w14:paraId="249ADCBA" w14:textId="77777777" w:rsidR="00762AEF" w:rsidRPr="00A641BE" w:rsidRDefault="00762AEF" w:rsidP="00437BD9">
                  <w:pPr>
                    <w:pStyle w:val="Tabletext"/>
                    <w:rPr>
                      <w:lang w:val="fr-FR"/>
                    </w:rPr>
                  </w:pPr>
                  <w:r w:rsidRPr="00A641BE">
                    <w:rPr>
                      <w:lang w:val="fr-FR"/>
                    </w:rPr>
                    <w:t>Maintien en position (Est-Ouest)</w:t>
                  </w:r>
                </w:p>
              </w:tc>
              <w:tc>
                <w:tcPr>
                  <w:tcW w:w="6096" w:type="dxa"/>
                  <w:gridSpan w:val="2"/>
                </w:tcPr>
                <w:p w14:paraId="6412A110" w14:textId="77777777" w:rsidR="00762AEF" w:rsidRPr="00A641BE" w:rsidRDefault="00762AEF" w:rsidP="00437BD9">
                  <w:pPr>
                    <w:pStyle w:val="Tabletext"/>
                    <w:rPr>
                      <w:lang w:val="fr-FR"/>
                    </w:rPr>
                  </w:pPr>
                  <w:r w:rsidRPr="00A641BE">
                    <w:rPr>
                      <w:lang w:val="fr-FR"/>
                    </w:rPr>
                    <w:t>0,05°</w:t>
                  </w:r>
                </w:p>
              </w:tc>
            </w:tr>
            <w:tr w:rsidR="00762AEF" w:rsidRPr="00A641BE" w14:paraId="0D49CD06" w14:textId="77777777" w:rsidTr="002536E7">
              <w:trPr>
                <w:jc w:val="center"/>
              </w:trPr>
              <w:tc>
                <w:tcPr>
                  <w:tcW w:w="3869" w:type="dxa"/>
                </w:tcPr>
                <w:p w14:paraId="26F9F3A9" w14:textId="77777777" w:rsidR="00762AEF" w:rsidRPr="00A641BE" w:rsidRDefault="00762AEF" w:rsidP="00437BD9">
                  <w:pPr>
                    <w:pStyle w:val="Tabletext"/>
                    <w:rPr>
                      <w:lang w:val="fr-FR"/>
                    </w:rPr>
                  </w:pPr>
                  <w:r w:rsidRPr="00A641BE">
                    <w:rPr>
                      <w:lang w:val="fr-FR"/>
                    </w:rPr>
                    <w:t>Identification du faisceau</w:t>
                  </w:r>
                </w:p>
              </w:tc>
              <w:tc>
                <w:tcPr>
                  <w:tcW w:w="6096" w:type="dxa"/>
                  <w:gridSpan w:val="2"/>
                </w:tcPr>
                <w:p w14:paraId="5E0552E4" w14:textId="77777777" w:rsidR="00762AEF" w:rsidRPr="00A641BE" w:rsidRDefault="00762AEF" w:rsidP="00437BD9">
                  <w:pPr>
                    <w:pStyle w:val="Tabletext"/>
                    <w:rPr>
                      <w:lang w:val="fr-FR"/>
                    </w:rPr>
                  </w:pPr>
                  <w:r w:rsidRPr="00A641BE">
                    <w:rPr>
                      <w:lang w:val="fr-FR"/>
                    </w:rPr>
                    <w:t>BUL02000</w:t>
                  </w:r>
                </w:p>
              </w:tc>
            </w:tr>
            <w:tr w:rsidR="00762AEF" w:rsidRPr="00A641BE" w14:paraId="5475F87A" w14:textId="77777777" w:rsidTr="002536E7">
              <w:trPr>
                <w:jc w:val="center"/>
              </w:trPr>
              <w:tc>
                <w:tcPr>
                  <w:tcW w:w="3869" w:type="dxa"/>
                </w:tcPr>
                <w:p w14:paraId="634B0AA3" w14:textId="77777777" w:rsidR="00762AEF" w:rsidRPr="00A641BE" w:rsidRDefault="00762AEF" w:rsidP="00437BD9">
                  <w:pPr>
                    <w:pStyle w:val="Tabletext"/>
                    <w:rPr>
                      <w:lang w:val="fr-FR"/>
                    </w:rPr>
                  </w:pPr>
                  <w:r w:rsidRPr="00A641BE">
                    <w:rPr>
                      <w:lang w:val="fr-FR"/>
                    </w:rPr>
                    <w:t>Date de réception</w:t>
                  </w:r>
                </w:p>
              </w:tc>
              <w:tc>
                <w:tcPr>
                  <w:tcW w:w="6096" w:type="dxa"/>
                  <w:gridSpan w:val="2"/>
                </w:tcPr>
                <w:p w14:paraId="50E3F68A" w14:textId="77777777" w:rsidR="00762AEF" w:rsidRPr="00A641BE" w:rsidRDefault="00762AEF" w:rsidP="00437BD9">
                  <w:pPr>
                    <w:pStyle w:val="Tabletext"/>
                    <w:rPr>
                      <w:lang w:val="fr-FR"/>
                    </w:rPr>
                  </w:pPr>
                  <w:r w:rsidRPr="00A641BE">
                    <w:rPr>
                      <w:lang w:val="fr-FR"/>
                    </w:rPr>
                    <w:t>23.11.2019</w:t>
                  </w:r>
                </w:p>
              </w:tc>
            </w:tr>
            <w:tr w:rsidR="00762AEF" w:rsidRPr="00A641BE" w14:paraId="7CEC0A1F" w14:textId="77777777" w:rsidTr="002536E7">
              <w:trPr>
                <w:jc w:val="center"/>
              </w:trPr>
              <w:tc>
                <w:tcPr>
                  <w:tcW w:w="3869" w:type="dxa"/>
                </w:tcPr>
                <w:p w14:paraId="4CCA532F" w14:textId="77777777" w:rsidR="00762AEF" w:rsidRPr="00A641BE" w:rsidRDefault="00762AEF" w:rsidP="00437BD9">
                  <w:pPr>
                    <w:pStyle w:val="Tabletext"/>
                    <w:rPr>
                      <w:lang w:val="fr-FR"/>
                    </w:rPr>
                  </w:pPr>
                  <w:r w:rsidRPr="00A641BE">
                    <w:rPr>
                      <w:lang w:val="fr-FR"/>
                    </w:rPr>
                    <w:t>Date de protection</w:t>
                  </w:r>
                </w:p>
              </w:tc>
              <w:tc>
                <w:tcPr>
                  <w:tcW w:w="3151" w:type="dxa"/>
                </w:tcPr>
                <w:p w14:paraId="08E61D60" w14:textId="77777777" w:rsidR="00762AEF" w:rsidRPr="00A641BE" w:rsidRDefault="00762AEF" w:rsidP="00437BD9">
                  <w:pPr>
                    <w:pStyle w:val="Tabletext"/>
                    <w:rPr>
                      <w:lang w:val="fr-FR"/>
                    </w:rPr>
                  </w:pPr>
                  <w:r w:rsidRPr="00A641BE">
                    <w:rPr>
                      <w:lang w:val="fr-FR"/>
                    </w:rPr>
                    <w:t>19.03.2012</w:t>
                  </w:r>
                </w:p>
              </w:tc>
              <w:tc>
                <w:tcPr>
                  <w:tcW w:w="2945" w:type="dxa"/>
                </w:tcPr>
                <w:p w14:paraId="7F01A38B" w14:textId="77777777" w:rsidR="00762AEF" w:rsidRPr="00A641BE" w:rsidRDefault="00762AEF" w:rsidP="00437BD9">
                  <w:pPr>
                    <w:pStyle w:val="Tabletext"/>
                    <w:rPr>
                      <w:lang w:val="fr-FR"/>
                    </w:rPr>
                  </w:pPr>
                  <w:r w:rsidRPr="00A641BE">
                    <w:rPr>
                      <w:lang w:val="fr-FR"/>
                    </w:rPr>
                    <w:t>04.11.2010</w:t>
                  </w:r>
                </w:p>
              </w:tc>
            </w:tr>
            <w:tr w:rsidR="00762AEF" w:rsidRPr="00A641BE" w14:paraId="4FC36D7D" w14:textId="77777777" w:rsidTr="002536E7">
              <w:trPr>
                <w:jc w:val="center"/>
              </w:trPr>
              <w:tc>
                <w:tcPr>
                  <w:tcW w:w="3869" w:type="dxa"/>
                </w:tcPr>
                <w:p w14:paraId="064D4692" w14:textId="77777777" w:rsidR="00762AEF" w:rsidRPr="00A641BE" w:rsidRDefault="00762AEF" w:rsidP="00437BD9">
                  <w:pPr>
                    <w:pStyle w:val="Tabletext"/>
                    <w:rPr>
                      <w:lang w:val="fr-FR"/>
                    </w:rPr>
                  </w:pPr>
                  <w:r w:rsidRPr="00A641BE">
                    <w:rPr>
                      <w:lang w:val="fr-FR"/>
                    </w:rPr>
                    <w:t>Nom du faisceau du satellite</w:t>
                  </w:r>
                </w:p>
              </w:tc>
              <w:tc>
                <w:tcPr>
                  <w:tcW w:w="6096" w:type="dxa"/>
                  <w:gridSpan w:val="2"/>
                </w:tcPr>
                <w:p w14:paraId="5D98F387" w14:textId="77777777" w:rsidR="00762AEF" w:rsidRPr="00A641BE" w:rsidRDefault="00762AEF" w:rsidP="00437BD9">
                  <w:pPr>
                    <w:pStyle w:val="Tabletext"/>
                    <w:rPr>
                      <w:lang w:val="fr-FR"/>
                    </w:rPr>
                  </w:pPr>
                  <w:r w:rsidRPr="00A641BE">
                    <w:rPr>
                      <w:lang w:val="fr-FR"/>
                    </w:rPr>
                    <w:t>E001</w:t>
                  </w:r>
                </w:p>
              </w:tc>
            </w:tr>
            <w:tr w:rsidR="00762AEF" w:rsidRPr="00A641BE" w14:paraId="5F1A36AA" w14:textId="77777777" w:rsidTr="002536E7">
              <w:trPr>
                <w:jc w:val="center"/>
              </w:trPr>
              <w:tc>
                <w:tcPr>
                  <w:tcW w:w="3869" w:type="dxa"/>
                </w:tcPr>
                <w:p w14:paraId="174C4062" w14:textId="77777777" w:rsidR="00762AEF" w:rsidRPr="00A641BE" w:rsidRDefault="00762AEF" w:rsidP="00437BD9">
                  <w:pPr>
                    <w:pStyle w:val="Tabletext"/>
                    <w:rPr>
                      <w:lang w:val="fr-FR"/>
                    </w:rPr>
                  </w:pPr>
                  <w:r w:rsidRPr="00A641BE">
                    <w:rPr>
                      <w:lang w:val="fr-FR"/>
                    </w:rPr>
                    <w:t>Type de faisceau</w:t>
                  </w:r>
                </w:p>
              </w:tc>
              <w:tc>
                <w:tcPr>
                  <w:tcW w:w="6096" w:type="dxa"/>
                  <w:gridSpan w:val="2"/>
                </w:tcPr>
                <w:p w14:paraId="634EBFA0" w14:textId="77777777" w:rsidR="00762AEF" w:rsidRPr="00A641BE" w:rsidRDefault="00762AEF" w:rsidP="00437BD9">
                  <w:pPr>
                    <w:pStyle w:val="Tabletext"/>
                    <w:rPr>
                      <w:lang w:val="fr-FR"/>
                    </w:rPr>
                  </w:pPr>
                  <w:r w:rsidRPr="00A641BE">
                    <w:rPr>
                      <w:lang w:val="fr-FR"/>
                    </w:rPr>
                    <w:t>Modelé</w:t>
                  </w:r>
                </w:p>
              </w:tc>
            </w:tr>
            <w:tr w:rsidR="00762AEF" w:rsidRPr="00A641BE" w14:paraId="38B531E0" w14:textId="77777777" w:rsidTr="002536E7">
              <w:trPr>
                <w:jc w:val="center"/>
              </w:trPr>
              <w:tc>
                <w:tcPr>
                  <w:tcW w:w="3869" w:type="dxa"/>
                </w:tcPr>
                <w:p w14:paraId="0BAFF3EC" w14:textId="77777777" w:rsidR="00762AEF" w:rsidRPr="00A641BE" w:rsidRDefault="00762AEF" w:rsidP="00437BD9">
                  <w:pPr>
                    <w:pStyle w:val="Tabletext"/>
                    <w:rPr>
                      <w:lang w:val="fr-FR"/>
                    </w:rPr>
                  </w:pPr>
                  <w:r w:rsidRPr="00A641BE">
                    <w:rPr>
                      <w:lang w:val="fr-FR"/>
                    </w:rPr>
                    <w:t>Gain d'antenne maximal copolaire</w:t>
                  </w:r>
                </w:p>
              </w:tc>
              <w:tc>
                <w:tcPr>
                  <w:tcW w:w="3151" w:type="dxa"/>
                </w:tcPr>
                <w:p w14:paraId="782D683E" w14:textId="77777777" w:rsidR="00762AEF" w:rsidRPr="00A641BE" w:rsidRDefault="00762AEF" w:rsidP="00437BD9">
                  <w:pPr>
                    <w:pStyle w:val="Tabletext"/>
                    <w:rPr>
                      <w:lang w:val="fr-FR"/>
                    </w:rPr>
                  </w:pPr>
                  <w:r w:rsidRPr="00A641BE">
                    <w:rPr>
                      <w:lang w:val="fr-FR"/>
                    </w:rPr>
                    <w:t>33,8 dBi</w:t>
                  </w:r>
                </w:p>
              </w:tc>
              <w:tc>
                <w:tcPr>
                  <w:tcW w:w="2945" w:type="dxa"/>
                </w:tcPr>
                <w:p w14:paraId="0105059E" w14:textId="77777777" w:rsidR="00762AEF" w:rsidRPr="00A641BE" w:rsidRDefault="00762AEF" w:rsidP="00437BD9">
                  <w:pPr>
                    <w:pStyle w:val="Tabletext"/>
                    <w:rPr>
                      <w:lang w:val="fr-FR"/>
                    </w:rPr>
                  </w:pPr>
                  <w:r w:rsidRPr="00A641BE">
                    <w:rPr>
                      <w:lang w:val="fr-FR"/>
                    </w:rPr>
                    <w:t>36,5 dBi</w:t>
                  </w:r>
                </w:p>
              </w:tc>
            </w:tr>
            <w:tr w:rsidR="00762AEF" w:rsidRPr="00A641BE" w14:paraId="67686FD8" w14:textId="77777777" w:rsidTr="002536E7">
              <w:trPr>
                <w:jc w:val="center"/>
              </w:trPr>
              <w:tc>
                <w:tcPr>
                  <w:tcW w:w="3869" w:type="dxa"/>
                </w:tcPr>
                <w:p w14:paraId="1A47300D" w14:textId="77777777" w:rsidR="00762AEF" w:rsidRPr="00A641BE" w:rsidRDefault="00762AEF" w:rsidP="00437BD9">
                  <w:pPr>
                    <w:pStyle w:val="Tabletext"/>
                    <w:rPr>
                      <w:lang w:val="fr-FR"/>
                    </w:rPr>
                  </w:pPr>
                  <w:r w:rsidRPr="00A641BE">
                    <w:rPr>
                      <w:lang w:val="fr-FR"/>
                    </w:rPr>
                    <w:t>Gain d'antenne maximal contrapolaire</w:t>
                  </w:r>
                </w:p>
              </w:tc>
              <w:tc>
                <w:tcPr>
                  <w:tcW w:w="3151" w:type="dxa"/>
                </w:tcPr>
                <w:p w14:paraId="380B2137" w14:textId="77777777" w:rsidR="00762AEF" w:rsidRPr="00A641BE" w:rsidRDefault="00762AEF" w:rsidP="00437BD9">
                  <w:pPr>
                    <w:pStyle w:val="Tabletext"/>
                    <w:rPr>
                      <w:lang w:val="fr-FR"/>
                    </w:rPr>
                  </w:pPr>
                  <w:r w:rsidRPr="00A641BE">
                    <w:rPr>
                      <w:lang w:val="fr-FR"/>
                    </w:rPr>
                    <w:t>–2 dBi</w:t>
                  </w:r>
                </w:p>
              </w:tc>
              <w:tc>
                <w:tcPr>
                  <w:tcW w:w="2945" w:type="dxa"/>
                </w:tcPr>
                <w:p w14:paraId="1E060131" w14:textId="77777777" w:rsidR="00762AEF" w:rsidRPr="00A641BE" w:rsidRDefault="00762AEF" w:rsidP="00437BD9">
                  <w:pPr>
                    <w:pStyle w:val="Tabletext"/>
                    <w:rPr>
                      <w:lang w:val="fr-FR"/>
                    </w:rPr>
                  </w:pPr>
                  <w:r w:rsidRPr="00A641BE">
                    <w:rPr>
                      <w:lang w:val="fr-FR"/>
                    </w:rPr>
                    <w:t>0 dBi</w:t>
                  </w:r>
                </w:p>
              </w:tc>
            </w:tr>
            <w:tr w:rsidR="00762AEF" w:rsidRPr="00AD36B1" w14:paraId="004F6178" w14:textId="77777777" w:rsidTr="002536E7">
              <w:trPr>
                <w:jc w:val="center"/>
              </w:trPr>
              <w:tc>
                <w:tcPr>
                  <w:tcW w:w="3869" w:type="dxa"/>
                </w:tcPr>
                <w:p w14:paraId="2C979068" w14:textId="77777777" w:rsidR="00762AEF" w:rsidRPr="00A641BE" w:rsidRDefault="00762AEF" w:rsidP="00437BD9">
                  <w:pPr>
                    <w:pStyle w:val="Tabletext"/>
                    <w:rPr>
                      <w:lang w:val="fr-FR"/>
                    </w:rPr>
                  </w:pPr>
                  <w:r w:rsidRPr="00A641BE">
                    <w:rPr>
                      <w:lang w:val="fr-FR"/>
                    </w:rPr>
                    <w:t>Contours des gains d'antenne copolaire et contrapolaire</w:t>
                  </w:r>
                </w:p>
              </w:tc>
              <w:tc>
                <w:tcPr>
                  <w:tcW w:w="6096" w:type="dxa"/>
                  <w:gridSpan w:val="2"/>
                </w:tcPr>
                <w:p w14:paraId="4D8B9E94" w14:textId="77777777" w:rsidR="00762AEF" w:rsidRPr="00A641BE" w:rsidRDefault="00762AEF" w:rsidP="00437BD9">
                  <w:pPr>
                    <w:pStyle w:val="Tabletext"/>
                    <w:rPr>
                      <w:lang w:val="fr-FR"/>
                    </w:rPr>
                  </w:pPr>
                  <w:r w:rsidRPr="00A641BE">
                    <w:rPr>
                      <w:lang w:val="fr-FR"/>
                    </w:rPr>
                    <w:t>Correspondant au faisceau CEED de liaison descendante et au faisceau CER de liaison de connexion du réseau à satellite BULSAT-BSS-1.2W-W dans le Tableau 2 ci-dessous</w:t>
                  </w:r>
                </w:p>
              </w:tc>
            </w:tr>
            <w:tr w:rsidR="00762AEF" w:rsidRPr="00AD36B1" w14:paraId="69D1C527" w14:textId="77777777" w:rsidTr="002536E7">
              <w:trPr>
                <w:jc w:val="center"/>
              </w:trPr>
              <w:tc>
                <w:tcPr>
                  <w:tcW w:w="3869" w:type="dxa"/>
                </w:tcPr>
                <w:p w14:paraId="005AF9EF" w14:textId="77777777" w:rsidR="00762AEF" w:rsidRPr="00A641BE" w:rsidRDefault="00762AEF" w:rsidP="00437BD9">
                  <w:pPr>
                    <w:pStyle w:val="Tabletext"/>
                    <w:rPr>
                      <w:lang w:val="fr-FR"/>
                    </w:rPr>
                  </w:pPr>
                  <w:r w:rsidRPr="00A641BE">
                    <w:rPr>
                      <w:lang w:val="fr-FR"/>
                    </w:rPr>
                    <w:t>Point de visée</w:t>
                  </w:r>
                </w:p>
              </w:tc>
              <w:tc>
                <w:tcPr>
                  <w:tcW w:w="6096" w:type="dxa"/>
                  <w:gridSpan w:val="2"/>
                </w:tcPr>
                <w:p w14:paraId="3D33084A" w14:textId="77777777" w:rsidR="00762AEF" w:rsidRPr="00A641BE" w:rsidRDefault="00762AEF" w:rsidP="00437BD9">
                  <w:pPr>
                    <w:pStyle w:val="Tabletext"/>
                    <w:rPr>
                      <w:lang w:val="fr-FR"/>
                    </w:rPr>
                  </w:pPr>
                  <w:r w:rsidRPr="00A641BE">
                    <w:rPr>
                      <w:lang w:val="fr-FR"/>
                    </w:rPr>
                    <w:t>Identique à celui des données du GIMS</w:t>
                  </w:r>
                </w:p>
              </w:tc>
            </w:tr>
            <w:tr w:rsidR="00762AEF" w:rsidRPr="00AD36B1" w14:paraId="5327DC6F" w14:textId="77777777" w:rsidTr="002536E7">
              <w:trPr>
                <w:jc w:val="center"/>
              </w:trPr>
              <w:tc>
                <w:tcPr>
                  <w:tcW w:w="3869" w:type="dxa"/>
                </w:tcPr>
                <w:p w14:paraId="2F854BED" w14:textId="77777777" w:rsidR="00762AEF" w:rsidRPr="00A641BE" w:rsidRDefault="00762AEF" w:rsidP="00437BD9">
                  <w:pPr>
                    <w:pStyle w:val="Tabletext"/>
                    <w:rPr>
                      <w:lang w:val="fr-FR"/>
                    </w:rPr>
                  </w:pPr>
                  <w:r w:rsidRPr="00A641BE">
                    <w:rPr>
                      <w:lang w:val="fr-FR"/>
                    </w:rPr>
                    <w:t>Zone de service</w:t>
                  </w:r>
                </w:p>
              </w:tc>
              <w:tc>
                <w:tcPr>
                  <w:tcW w:w="6096" w:type="dxa"/>
                  <w:gridSpan w:val="2"/>
                </w:tcPr>
                <w:p w14:paraId="27BE8603" w14:textId="77777777" w:rsidR="00762AEF" w:rsidRPr="00A641BE" w:rsidRDefault="00762AEF" w:rsidP="00437BD9">
                  <w:pPr>
                    <w:pStyle w:val="Tabletext"/>
                    <w:rPr>
                      <w:lang w:val="fr-FR"/>
                    </w:rPr>
                  </w:pPr>
                  <w:r w:rsidRPr="00A641BE">
                    <w:rPr>
                      <w:lang w:val="fr-FR"/>
                    </w:rPr>
                    <w:t>Désignation du territoire national par «BUL» dans l'application logicielle du GIMS</w:t>
                  </w:r>
                </w:p>
              </w:tc>
            </w:tr>
            <w:tr w:rsidR="00762AEF" w:rsidRPr="00A641BE" w14:paraId="44254C9A" w14:textId="77777777" w:rsidTr="002536E7">
              <w:trPr>
                <w:jc w:val="center"/>
              </w:trPr>
              <w:tc>
                <w:tcPr>
                  <w:tcW w:w="3869" w:type="dxa"/>
                </w:tcPr>
                <w:p w14:paraId="3B4062C5" w14:textId="77777777" w:rsidR="00762AEF" w:rsidRPr="00A641BE" w:rsidRDefault="00762AEF" w:rsidP="00437BD9">
                  <w:pPr>
                    <w:pStyle w:val="Tabletext"/>
                    <w:rPr>
                      <w:lang w:val="fr-FR"/>
                    </w:rPr>
                  </w:pPr>
                  <w:r w:rsidRPr="00A641BE">
                    <w:rPr>
                      <w:lang w:val="fr-FR"/>
                    </w:rPr>
                    <w:t>Points de mesure</w:t>
                  </w:r>
                </w:p>
              </w:tc>
              <w:tc>
                <w:tcPr>
                  <w:tcW w:w="6096" w:type="dxa"/>
                  <w:gridSpan w:val="2"/>
                </w:tcPr>
                <w:tbl>
                  <w:tblPr>
                    <w:tblW w:w="2600" w:type="dxa"/>
                    <w:jc w:val="center"/>
                    <w:tblLayout w:type="fixed"/>
                    <w:tblLook w:val="04A0" w:firstRow="1" w:lastRow="0" w:firstColumn="1" w:lastColumn="0" w:noHBand="0" w:noVBand="1"/>
                  </w:tblPr>
                  <w:tblGrid>
                    <w:gridCol w:w="1237"/>
                    <w:gridCol w:w="1363"/>
                  </w:tblGrid>
                  <w:tr w:rsidR="00762AEF" w:rsidRPr="00A641BE" w14:paraId="34F785D3" w14:textId="77777777" w:rsidTr="004A7E7F">
                    <w:trPr>
                      <w:trHeight w:val="300"/>
                      <w:jc w:val="center"/>
                    </w:trPr>
                    <w:tc>
                      <w:tcPr>
                        <w:tcW w:w="1237" w:type="dxa"/>
                        <w:tcBorders>
                          <w:top w:val="nil"/>
                          <w:left w:val="nil"/>
                          <w:bottom w:val="nil"/>
                          <w:right w:val="nil"/>
                        </w:tcBorders>
                        <w:shd w:val="clear" w:color="auto" w:fill="auto"/>
                        <w:noWrap/>
                        <w:vAlign w:val="bottom"/>
                        <w:hideMark/>
                      </w:tcPr>
                      <w:p w14:paraId="3019EE3E" w14:textId="77777777" w:rsidR="00762AEF" w:rsidRPr="00A641BE" w:rsidRDefault="00762AEF" w:rsidP="00437BD9">
                        <w:pPr>
                          <w:pStyle w:val="Tabletext"/>
                          <w:rPr>
                            <w:lang w:val="fr-FR"/>
                          </w:rPr>
                        </w:pPr>
                        <w:r w:rsidRPr="00A641BE">
                          <w:rPr>
                            <w:lang w:val="fr-FR"/>
                          </w:rPr>
                          <w:t>Longitude (deg. E)</w:t>
                        </w:r>
                      </w:p>
                    </w:tc>
                    <w:tc>
                      <w:tcPr>
                        <w:tcW w:w="1363" w:type="dxa"/>
                        <w:tcBorders>
                          <w:top w:val="nil"/>
                          <w:left w:val="nil"/>
                          <w:bottom w:val="nil"/>
                          <w:right w:val="nil"/>
                        </w:tcBorders>
                        <w:shd w:val="clear" w:color="auto" w:fill="auto"/>
                        <w:noWrap/>
                        <w:vAlign w:val="bottom"/>
                        <w:hideMark/>
                      </w:tcPr>
                      <w:p w14:paraId="6DD58FB8" w14:textId="77777777" w:rsidR="00762AEF" w:rsidRPr="00A641BE" w:rsidRDefault="00762AEF" w:rsidP="00437BD9">
                        <w:pPr>
                          <w:pStyle w:val="Tabletext"/>
                          <w:rPr>
                            <w:lang w:val="fr-FR"/>
                          </w:rPr>
                        </w:pPr>
                        <w:r w:rsidRPr="00A641BE">
                          <w:rPr>
                            <w:lang w:val="fr-FR"/>
                          </w:rPr>
                          <w:t>Latitude (deg. N)</w:t>
                        </w:r>
                      </w:p>
                    </w:tc>
                  </w:tr>
                  <w:tr w:rsidR="00762AEF" w:rsidRPr="00A641BE" w14:paraId="41BB493A" w14:textId="77777777" w:rsidTr="004A7E7F">
                    <w:trPr>
                      <w:trHeight w:val="300"/>
                      <w:jc w:val="center"/>
                    </w:trPr>
                    <w:tc>
                      <w:tcPr>
                        <w:tcW w:w="1237" w:type="dxa"/>
                        <w:tcBorders>
                          <w:top w:val="nil"/>
                          <w:left w:val="nil"/>
                          <w:bottom w:val="nil"/>
                          <w:right w:val="nil"/>
                        </w:tcBorders>
                        <w:shd w:val="clear" w:color="auto" w:fill="auto"/>
                        <w:noWrap/>
                        <w:vAlign w:val="bottom"/>
                        <w:hideMark/>
                      </w:tcPr>
                      <w:p w14:paraId="16D5AC6C" w14:textId="77777777" w:rsidR="00762AEF" w:rsidRPr="00A641BE" w:rsidRDefault="00762AEF" w:rsidP="00437BD9">
                        <w:pPr>
                          <w:pStyle w:val="Tabletext"/>
                          <w:rPr>
                            <w:lang w:val="fr-FR"/>
                          </w:rPr>
                        </w:pPr>
                        <w:r w:rsidRPr="00A641BE">
                          <w:rPr>
                            <w:lang w:val="fr-FR"/>
                          </w:rPr>
                          <w:t>27,91</w:t>
                        </w:r>
                      </w:p>
                    </w:tc>
                    <w:tc>
                      <w:tcPr>
                        <w:tcW w:w="1363" w:type="dxa"/>
                        <w:tcBorders>
                          <w:top w:val="nil"/>
                          <w:left w:val="nil"/>
                          <w:bottom w:val="nil"/>
                          <w:right w:val="nil"/>
                        </w:tcBorders>
                        <w:shd w:val="clear" w:color="auto" w:fill="auto"/>
                        <w:noWrap/>
                        <w:vAlign w:val="bottom"/>
                        <w:hideMark/>
                      </w:tcPr>
                      <w:p w14:paraId="1E446AA0" w14:textId="77777777" w:rsidR="00762AEF" w:rsidRPr="00A641BE" w:rsidRDefault="00762AEF" w:rsidP="00437BD9">
                        <w:pPr>
                          <w:pStyle w:val="Tabletext"/>
                          <w:rPr>
                            <w:lang w:val="fr-FR"/>
                          </w:rPr>
                        </w:pPr>
                        <w:r w:rsidRPr="00A641BE">
                          <w:rPr>
                            <w:lang w:val="fr-FR"/>
                          </w:rPr>
                          <w:t>42,06</w:t>
                        </w:r>
                      </w:p>
                    </w:tc>
                  </w:tr>
                  <w:tr w:rsidR="00762AEF" w:rsidRPr="00A641BE" w14:paraId="37E69EF4" w14:textId="77777777" w:rsidTr="004A7E7F">
                    <w:trPr>
                      <w:trHeight w:val="300"/>
                      <w:jc w:val="center"/>
                    </w:trPr>
                    <w:tc>
                      <w:tcPr>
                        <w:tcW w:w="1237" w:type="dxa"/>
                        <w:tcBorders>
                          <w:top w:val="nil"/>
                          <w:left w:val="nil"/>
                          <w:bottom w:val="nil"/>
                          <w:right w:val="nil"/>
                        </w:tcBorders>
                        <w:shd w:val="clear" w:color="auto" w:fill="auto"/>
                        <w:noWrap/>
                        <w:vAlign w:val="bottom"/>
                        <w:hideMark/>
                      </w:tcPr>
                      <w:p w14:paraId="48F50C63" w14:textId="77777777" w:rsidR="00762AEF" w:rsidRPr="00A641BE" w:rsidRDefault="00762AEF" w:rsidP="00437BD9">
                        <w:pPr>
                          <w:pStyle w:val="Tabletext"/>
                          <w:rPr>
                            <w:lang w:val="fr-FR"/>
                          </w:rPr>
                        </w:pPr>
                        <w:r w:rsidRPr="00A641BE">
                          <w:rPr>
                            <w:lang w:val="fr-FR"/>
                          </w:rPr>
                          <w:t>28,47</w:t>
                        </w:r>
                      </w:p>
                    </w:tc>
                    <w:tc>
                      <w:tcPr>
                        <w:tcW w:w="1363" w:type="dxa"/>
                        <w:tcBorders>
                          <w:top w:val="nil"/>
                          <w:left w:val="nil"/>
                          <w:bottom w:val="nil"/>
                          <w:right w:val="nil"/>
                        </w:tcBorders>
                        <w:shd w:val="clear" w:color="auto" w:fill="auto"/>
                        <w:noWrap/>
                        <w:vAlign w:val="bottom"/>
                        <w:hideMark/>
                      </w:tcPr>
                      <w:p w14:paraId="7BE91564" w14:textId="77777777" w:rsidR="00762AEF" w:rsidRPr="00A641BE" w:rsidRDefault="00762AEF" w:rsidP="00437BD9">
                        <w:pPr>
                          <w:pStyle w:val="Tabletext"/>
                          <w:rPr>
                            <w:lang w:val="fr-FR"/>
                          </w:rPr>
                        </w:pPr>
                        <w:r w:rsidRPr="00A641BE">
                          <w:rPr>
                            <w:lang w:val="fr-FR"/>
                          </w:rPr>
                          <w:t>43,70</w:t>
                        </w:r>
                      </w:p>
                    </w:tc>
                  </w:tr>
                  <w:tr w:rsidR="00762AEF" w:rsidRPr="00A641BE" w14:paraId="6B0F56E3" w14:textId="77777777" w:rsidTr="004A7E7F">
                    <w:trPr>
                      <w:trHeight w:val="300"/>
                      <w:jc w:val="center"/>
                    </w:trPr>
                    <w:tc>
                      <w:tcPr>
                        <w:tcW w:w="1237" w:type="dxa"/>
                        <w:tcBorders>
                          <w:top w:val="nil"/>
                          <w:left w:val="nil"/>
                          <w:bottom w:val="nil"/>
                          <w:right w:val="nil"/>
                        </w:tcBorders>
                        <w:shd w:val="clear" w:color="auto" w:fill="auto"/>
                        <w:noWrap/>
                        <w:vAlign w:val="bottom"/>
                        <w:hideMark/>
                      </w:tcPr>
                      <w:p w14:paraId="256CD9C6" w14:textId="77777777" w:rsidR="00762AEF" w:rsidRPr="00A641BE" w:rsidRDefault="00762AEF" w:rsidP="00437BD9">
                        <w:pPr>
                          <w:pStyle w:val="Tabletext"/>
                          <w:rPr>
                            <w:lang w:val="fr-FR"/>
                          </w:rPr>
                        </w:pPr>
                        <w:r w:rsidRPr="00A641BE">
                          <w:rPr>
                            <w:lang w:val="fr-FR"/>
                          </w:rPr>
                          <w:t>25,28</w:t>
                        </w:r>
                      </w:p>
                    </w:tc>
                    <w:tc>
                      <w:tcPr>
                        <w:tcW w:w="1363" w:type="dxa"/>
                        <w:tcBorders>
                          <w:top w:val="nil"/>
                          <w:left w:val="nil"/>
                          <w:bottom w:val="nil"/>
                          <w:right w:val="nil"/>
                        </w:tcBorders>
                        <w:shd w:val="clear" w:color="auto" w:fill="auto"/>
                        <w:noWrap/>
                        <w:vAlign w:val="bottom"/>
                        <w:hideMark/>
                      </w:tcPr>
                      <w:p w14:paraId="5BEB4051" w14:textId="77777777" w:rsidR="00762AEF" w:rsidRPr="00A641BE" w:rsidRDefault="00762AEF" w:rsidP="00437BD9">
                        <w:pPr>
                          <w:pStyle w:val="Tabletext"/>
                          <w:rPr>
                            <w:lang w:val="fr-FR"/>
                          </w:rPr>
                        </w:pPr>
                        <w:r w:rsidRPr="00A641BE">
                          <w:rPr>
                            <w:lang w:val="fr-FR"/>
                          </w:rPr>
                          <w:t>41,35</w:t>
                        </w:r>
                      </w:p>
                    </w:tc>
                  </w:tr>
                  <w:tr w:rsidR="00762AEF" w:rsidRPr="00A641BE" w14:paraId="6C55B346" w14:textId="77777777" w:rsidTr="004A7E7F">
                    <w:trPr>
                      <w:trHeight w:val="300"/>
                      <w:jc w:val="center"/>
                    </w:trPr>
                    <w:tc>
                      <w:tcPr>
                        <w:tcW w:w="1237" w:type="dxa"/>
                        <w:tcBorders>
                          <w:top w:val="nil"/>
                          <w:left w:val="nil"/>
                          <w:bottom w:val="nil"/>
                          <w:right w:val="nil"/>
                        </w:tcBorders>
                        <w:shd w:val="clear" w:color="auto" w:fill="auto"/>
                        <w:noWrap/>
                        <w:vAlign w:val="bottom"/>
                        <w:hideMark/>
                      </w:tcPr>
                      <w:p w14:paraId="46853F25" w14:textId="77777777" w:rsidR="00762AEF" w:rsidRPr="00A641BE" w:rsidRDefault="00762AEF" w:rsidP="00437BD9">
                        <w:pPr>
                          <w:pStyle w:val="Tabletext"/>
                          <w:rPr>
                            <w:lang w:val="fr-FR"/>
                          </w:rPr>
                        </w:pPr>
                        <w:r w:rsidRPr="00A641BE">
                          <w:rPr>
                            <w:lang w:val="fr-FR"/>
                          </w:rPr>
                          <w:t>22,40</w:t>
                        </w:r>
                      </w:p>
                    </w:tc>
                    <w:tc>
                      <w:tcPr>
                        <w:tcW w:w="1363" w:type="dxa"/>
                        <w:tcBorders>
                          <w:top w:val="nil"/>
                          <w:left w:val="nil"/>
                          <w:bottom w:val="nil"/>
                          <w:right w:val="nil"/>
                        </w:tcBorders>
                        <w:shd w:val="clear" w:color="auto" w:fill="auto"/>
                        <w:noWrap/>
                        <w:vAlign w:val="bottom"/>
                        <w:hideMark/>
                      </w:tcPr>
                      <w:p w14:paraId="00D451E0" w14:textId="77777777" w:rsidR="00762AEF" w:rsidRPr="00A641BE" w:rsidRDefault="00762AEF" w:rsidP="00437BD9">
                        <w:pPr>
                          <w:pStyle w:val="Tabletext"/>
                          <w:rPr>
                            <w:lang w:val="fr-FR"/>
                          </w:rPr>
                        </w:pPr>
                        <w:r w:rsidRPr="00A641BE">
                          <w:rPr>
                            <w:lang w:val="fr-FR"/>
                          </w:rPr>
                          <w:t>42,30</w:t>
                        </w:r>
                      </w:p>
                    </w:tc>
                  </w:tr>
                  <w:tr w:rsidR="00762AEF" w:rsidRPr="00A641BE" w14:paraId="75E184A9" w14:textId="77777777" w:rsidTr="004A7E7F">
                    <w:trPr>
                      <w:trHeight w:val="300"/>
                      <w:jc w:val="center"/>
                    </w:trPr>
                    <w:tc>
                      <w:tcPr>
                        <w:tcW w:w="1237" w:type="dxa"/>
                        <w:tcBorders>
                          <w:top w:val="nil"/>
                          <w:left w:val="nil"/>
                          <w:bottom w:val="nil"/>
                          <w:right w:val="nil"/>
                        </w:tcBorders>
                        <w:shd w:val="clear" w:color="auto" w:fill="auto"/>
                        <w:noWrap/>
                        <w:vAlign w:val="bottom"/>
                        <w:hideMark/>
                      </w:tcPr>
                      <w:p w14:paraId="2ECB676A" w14:textId="77777777" w:rsidR="00762AEF" w:rsidRPr="00A641BE" w:rsidRDefault="00762AEF" w:rsidP="00437BD9">
                        <w:pPr>
                          <w:pStyle w:val="Tabletext"/>
                          <w:rPr>
                            <w:lang w:val="fr-FR"/>
                          </w:rPr>
                        </w:pPr>
                        <w:r w:rsidRPr="00A641BE">
                          <w:rPr>
                            <w:lang w:val="fr-FR"/>
                          </w:rPr>
                          <w:lastRenderedPageBreak/>
                          <w:t>23,01</w:t>
                        </w:r>
                      </w:p>
                    </w:tc>
                    <w:tc>
                      <w:tcPr>
                        <w:tcW w:w="1363" w:type="dxa"/>
                        <w:tcBorders>
                          <w:top w:val="nil"/>
                          <w:left w:val="nil"/>
                          <w:bottom w:val="nil"/>
                          <w:right w:val="nil"/>
                        </w:tcBorders>
                        <w:shd w:val="clear" w:color="auto" w:fill="auto"/>
                        <w:noWrap/>
                        <w:vAlign w:val="bottom"/>
                        <w:hideMark/>
                      </w:tcPr>
                      <w:p w14:paraId="4C4B0A93" w14:textId="77777777" w:rsidR="00762AEF" w:rsidRPr="00A641BE" w:rsidRDefault="00762AEF" w:rsidP="00437BD9">
                        <w:pPr>
                          <w:pStyle w:val="Tabletext"/>
                          <w:rPr>
                            <w:lang w:val="fr-FR"/>
                          </w:rPr>
                        </w:pPr>
                        <w:r w:rsidRPr="00A641BE">
                          <w:rPr>
                            <w:lang w:val="fr-FR"/>
                          </w:rPr>
                          <w:t>41,44</w:t>
                        </w:r>
                      </w:p>
                    </w:tc>
                  </w:tr>
                  <w:tr w:rsidR="00762AEF" w:rsidRPr="00A641BE" w14:paraId="24E40F89" w14:textId="77777777" w:rsidTr="004A7E7F">
                    <w:trPr>
                      <w:trHeight w:val="300"/>
                      <w:jc w:val="center"/>
                    </w:trPr>
                    <w:tc>
                      <w:tcPr>
                        <w:tcW w:w="1237" w:type="dxa"/>
                        <w:tcBorders>
                          <w:top w:val="nil"/>
                          <w:left w:val="nil"/>
                          <w:bottom w:val="nil"/>
                          <w:right w:val="nil"/>
                        </w:tcBorders>
                        <w:shd w:val="clear" w:color="auto" w:fill="auto"/>
                        <w:noWrap/>
                        <w:vAlign w:val="bottom"/>
                        <w:hideMark/>
                      </w:tcPr>
                      <w:p w14:paraId="67AB50BC" w14:textId="77777777" w:rsidR="00762AEF" w:rsidRPr="00A641BE" w:rsidRDefault="00762AEF" w:rsidP="00437BD9">
                        <w:pPr>
                          <w:pStyle w:val="Tabletext"/>
                          <w:rPr>
                            <w:lang w:val="fr-FR"/>
                          </w:rPr>
                        </w:pPr>
                        <w:r w:rsidRPr="00A641BE">
                          <w:rPr>
                            <w:lang w:val="fr-FR"/>
                          </w:rPr>
                          <w:t>22,69</w:t>
                        </w:r>
                      </w:p>
                    </w:tc>
                    <w:tc>
                      <w:tcPr>
                        <w:tcW w:w="1363" w:type="dxa"/>
                        <w:tcBorders>
                          <w:top w:val="nil"/>
                          <w:left w:val="nil"/>
                          <w:bottom w:val="nil"/>
                          <w:right w:val="nil"/>
                        </w:tcBorders>
                        <w:shd w:val="clear" w:color="auto" w:fill="auto"/>
                        <w:noWrap/>
                        <w:vAlign w:val="bottom"/>
                        <w:hideMark/>
                      </w:tcPr>
                      <w:p w14:paraId="32453A8D" w14:textId="77777777" w:rsidR="00762AEF" w:rsidRPr="00A641BE" w:rsidRDefault="00762AEF" w:rsidP="00437BD9">
                        <w:pPr>
                          <w:pStyle w:val="Tabletext"/>
                          <w:rPr>
                            <w:lang w:val="fr-FR"/>
                          </w:rPr>
                        </w:pPr>
                        <w:r w:rsidRPr="00A641BE">
                          <w:rPr>
                            <w:lang w:val="fr-FR"/>
                          </w:rPr>
                          <w:t>44,17</w:t>
                        </w:r>
                      </w:p>
                    </w:tc>
                  </w:tr>
                  <w:tr w:rsidR="00762AEF" w:rsidRPr="00A641BE" w14:paraId="29DC539B" w14:textId="77777777" w:rsidTr="004A7E7F">
                    <w:trPr>
                      <w:trHeight w:val="300"/>
                      <w:jc w:val="center"/>
                    </w:trPr>
                    <w:tc>
                      <w:tcPr>
                        <w:tcW w:w="1237" w:type="dxa"/>
                        <w:tcBorders>
                          <w:top w:val="nil"/>
                          <w:left w:val="nil"/>
                          <w:bottom w:val="nil"/>
                          <w:right w:val="nil"/>
                        </w:tcBorders>
                        <w:shd w:val="clear" w:color="auto" w:fill="auto"/>
                        <w:noWrap/>
                        <w:vAlign w:val="bottom"/>
                        <w:hideMark/>
                      </w:tcPr>
                      <w:p w14:paraId="5C34CC37" w14:textId="77777777" w:rsidR="00762AEF" w:rsidRPr="00A641BE" w:rsidRDefault="00762AEF" w:rsidP="00437BD9">
                        <w:pPr>
                          <w:pStyle w:val="Tabletext"/>
                          <w:rPr>
                            <w:lang w:val="fr-FR"/>
                          </w:rPr>
                        </w:pPr>
                      </w:p>
                    </w:tc>
                    <w:tc>
                      <w:tcPr>
                        <w:tcW w:w="1363" w:type="dxa"/>
                        <w:tcBorders>
                          <w:top w:val="nil"/>
                          <w:left w:val="nil"/>
                          <w:bottom w:val="nil"/>
                          <w:right w:val="nil"/>
                        </w:tcBorders>
                        <w:shd w:val="clear" w:color="auto" w:fill="auto"/>
                        <w:noWrap/>
                        <w:vAlign w:val="bottom"/>
                        <w:hideMark/>
                      </w:tcPr>
                      <w:p w14:paraId="708B44D3" w14:textId="77777777" w:rsidR="00762AEF" w:rsidRPr="00A641BE" w:rsidRDefault="00762AEF" w:rsidP="00437BD9">
                        <w:pPr>
                          <w:pStyle w:val="Tabletext"/>
                          <w:rPr>
                            <w:lang w:val="fr-FR"/>
                          </w:rPr>
                        </w:pPr>
                      </w:p>
                    </w:tc>
                  </w:tr>
                </w:tbl>
                <w:p w14:paraId="04802C04" w14:textId="77777777" w:rsidR="00762AEF" w:rsidRPr="00A641BE" w:rsidRDefault="00762AEF" w:rsidP="00437BD9">
                  <w:pPr>
                    <w:pStyle w:val="Tabletext"/>
                    <w:rPr>
                      <w:lang w:val="fr-FR"/>
                    </w:rPr>
                  </w:pPr>
                </w:p>
              </w:tc>
            </w:tr>
            <w:tr w:rsidR="00762AEF" w:rsidRPr="00A641BE" w14:paraId="6CA5D415" w14:textId="77777777" w:rsidTr="002536E7">
              <w:trPr>
                <w:jc w:val="center"/>
              </w:trPr>
              <w:tc>
                <w:tcPr>
                  <w:tcW w:w="3869" w:type="dxa"/>
                </w:tcPr>
                <w:p w14:paraId="65F87DCB" w14:textId="77777777" w:rsidR="00762AEF" w:rsidRPr="00A641BE" w:rsidRDefault="00762AEF" w:rsidP="00437BD9">
                  <w:pPr>
                    <w:pStyle w:val="Tabletext"/>
                    <w:rPr>
                      <w:lang w:val="fr-FR"/>
                    </w:rPr>
                  </w:pPr>
                  <w:r w:rsidRPr="00A641BE">
                    <w:rPr>
                      <w:lang w:val="fr-FR"/>
                    </w:rPr>
                    <w:lastRenderedPageBreak/>
                    <w:t>Puissance maximale à l'entrée</w:t>
                  </w:r>
                </w:p>
              </w:tc>
              <w:tc>
                <w:tcPr>
                  <w:tcW w:w="3151" w:type="dxa"/>
                </w:tcPr>
                <w:p w14:paraId="08FECA63" w14:textId="77777777" w:rsidR="00762AEF" w:rsidRPr="00A641BE" w:rsidRDefault="00762AEF" w:rsidP="00437BD9">
                  <w:pPr>
                    <w:pStyle w:val="Tabletext"/>
                    <w:jc w:val="center"/>
                    <w:rPr>
                      <w:lang w:val="fr-FR"/>
                    </w:rPr>
                  </w:pPr>
                  <w:r w:rsidRPr="00A641BE">
                    <w:rPr>
                      <w:lang w:val="fr-FR"/>
                    </w:rPr>
                    <w:t>13,7 dBW</w:t>
                  </w:r>
                </w:p>
              </w:tc>
              <w:tc>
                <w:tcPr>
                  <w:tcW w:w="2945" w:type="dxa"/>
                </w:tcPr>
                <w:p w14:paraId="31A6F22F" w14:textId="77777777" w:rsidR="00762AEF" w:rsidRPr="00A641BE" w:rsidRDefault="00762AEF" w:rsidP="00437BD9">
                  <w:pPr>
                    <w:pStyle w:val="Tabletext"/>
                    <w:jc w:val="center"/>
                    <w:rPr>
                      <w:lang w:val="fr-FR"/>
                    </w:rPr>
                  </w:pPr>
                  <w:r w:rsidRPr="00A641BE">
                    <w:rPr>
                      <w:lang w:val="fr-FR"/>
                    </w:rPr>
                    <w:t>18,8 dBW</w:t>
                  </w:r>
                </w:p>
              </w:tc>
            </w:tr>
            <w:tr w:rsidR="00762AEF" w:rsidRPr="00A641BE" w14:paraId="03D2D818" w14:textId="77777777" w:rsidTr="002536E7">
              <w:trPr>
                <w:jc w:val="center"/>
              </w:trPr>
              <w:tc>
                <w:tcPr>
                  <w:tcW w:w="3869" w:type="dxa"/>
                </w:tcPr>
                <w:p w14:paraId="30C60FC2" w14:textId="77777777" w:rsidR="00762AEF" w:rsidRPr="00A641BE" w:rsidRDefault="00762AEF" w:rsidP="00437BD9">
                  <w:pPr>
                    <w:pStyle w:val="Tabletext"/>
                    <w:rPr>
                      <w:lang w:val="fr-FR"/>
                    </w:rPr>
                  </w:pPr>
                  <w:r w:rsidRPr="00A641BE">
                    <w:rPr>
                      <w:lang w:val="fr-FR"/>
                    </w:rPr>
                    <w:t>Densité maximale de puissance à l'entrée</w:t>
                  </w:r>
                </w:p>
              </w:tc>
              <w:tc>
                <w:tcPr>
                  <w:tcW w:w="3151" w:type="dxa"/>
                </w:tcPr>
                <w:p w14:paraId="39574F22" w14:textId="77777777" w:rsidR="00762AEF" w:rsidRPr="00A641BE" w:rsidRDefault="00762AEF" w:rsidP="00437BD9">
                  <w:pPr>
                    <w:pStyle w:val="Tabletext"/>
                    <w:jc w:val="center"/>
                    <w:rPr>
                      <w:lang w:val="fr-FR"/>
                    </w:rPr>
                  </w:pPr>
                  <w:r w:rsidRPr="00A641BE">
                    <w:rPr>
                      <w:lang w:val="fr-FR"/>
                    </w:rPr>
                    <w:t>–61,5 dBW/Hz</w:t>
                  </w:r>
                </w:p>
              </w:tc>
              <w:tc>
                <w:tcPr>
                  <w:tcW w:w="2945" w:type="dxa"/>
                </w:tcPr>
                <w:p w14:paraId="65839408" w14:textId="77777777" w:rsidR="00762AEF" w:rsidRPr="00A641BE" w:rsidRDefault="00762AEF" w:rsidP="00437BD9">
                  <w:pPr>
                    <w:pStyle w:val="Tabletext"/>
                    <w:jc w:val="center"/>
                    <w:rPr>
                      <w:lang w:val="fr-FR"/>
                    </w:rPr>
                  </w:pPr>
                  <w:r w:rsidRPr="00A641BE">
                    <w:rPr>
                      <w:lang w:val="fr-FR"/>
                    </w:rPr>
                    <w:t>–56,4 dBW/Hz</w:t>
                  </w:r>
                </w:p>
              </w:tc>
            </w:tr>
            <w:tr w:rsidR="00762AEF" w:rsidRPr="00A641BE" w14:paraId="7A6005CA" w14:textId="77777777" w:rsidTr="002536E7">
              <w:trPr>
                <w:jc w:val="center"/>
              </w:trPr>
              <w:tc>
                <w:tcPr>
                  <w:tcW w:w="3869" w:type="dxa"/>
                </w:tcPr>
                <w:p w14:paraId="4AB8B462" w14:textId="77777777" w:rsidR="00762AEF" w:rsidRPr="00A641BE" w:rsidRDefault="00762AEF" w:rsidP="00437BD9">
                  <w:pPr>
                    <w:pStyle w:val="Tabletext"/>
                    <w:rPr>
                      <w:lang w:val="fr-FR"/>
                    </w:rPr>
                  </w:pPr>
                  <w:r w:rsidRPr="00A641BE">
                    <w:rPr>
                      <w:lang w:val="fr-FR"/>
                    </w:rPr>
                    <w:t>Gain d'antenne de la station terrienne</w:t>
                  </w:r>
                </w:p>
              </w:tc>
              <w:tc>
                <w:tcPr>
                  <w:tcW w:w="3151" w:type="dxa"/>
                </w:tcPr>
                <w:p w14:paraId="2AECFF20" w14:textId="355B752D" w:rsidR="00762AEF" w:rsidRPr="00A641BE" w:rsidRDefault="00762AEF" w:rsidP="00437BD9">
                  <w:pPr>
                    <w:pStyle w:val="Tabletext"/>
                    <w:jc w:val="center"/>
                    <w:rPr>
                      <w:lang w:val="fr-FR"/>
                    </w:rPr>
                  </w:pPr>
                  <w:r w:rsidRPr="00A641BE">
                    <w:rPr>
                      <w:lang w:val="fr-FR"/>
                    </w:rPr>
                    <w:t>33,5 dBi</w:t>
                  </w:r>
                  <w:r w:rsidR="007524A0" w:rsidRPr="00A641BE">
                    <w:rPr>
                      <w:rStyle w:val="FootnoteReference"/>
                      <w:lang w:val="fr-FR"/>
                    </w:rPr>
                    <w:footnoteReference w:id="2"/>
                  </w:r>
                </w:p>
              </w:tc>
              <w:tc>
                <w:tcPr>
                  <w:tcW w:w="2945" w:type="dxa"/>
                </w:tcPr>
                <w:p w14:paraId="61043B33" w14:textId="77777777" w:rsidR="00762AEF" w:rsidRPr="00A641BE" w:rsidRDefault="00762AEF" w:rsidP="00437BD9">
                  <w:pPr>
                    <w:pStyle w:val="Tabletext"/>
                    <w:jc w:val="center"/>
                    <w:rPr>
                      <w:lang w:val="fr-FR"/>
                    </w:rPr>
                  </w:pPr>
                  <w:r w:rsidRPr="00A641BE">
                    <w:rPr>
                      <w:lang w:val="fr-FR"/>
                    </w:rPr>
                    <w:t>57 dBi</w:t>
                  </w:r>
                </w:p>
              </w:tc>
            </w:tr>
            <w:tr w:rsidR="00762AEF" w:rsidRPr="00A641BE" w14:paraId="3CB82CBC" w14:textId="77777777" w:rsidTr="002536E7">
              <w:trPr>
                <w:jc w:val="center"/>
              </w:trPr>
              <w:tc>
                <w:tcPr>
                  <w:tcW w:w="3869" w:type="dxa"/>
                </w:tcPr>
                <w:p w14:paraId="50CB16A9" w14:textId="77777777" w:rsidR="00762AEF" w:rsidRPr="00A641BE" w:rsidRDefault="00762AEF" w:rsidP="00437BD9">
                  <w:pPr>
                    <w:pStyle w:val="Tabletext"/>
                    <w:rPr>
                      <w:lang w:val="fr-FR"/>
                    </w:rPr>
                  </w:pPr>
                  <w:r w:rsidRPr="00A641BE">
                    <w:rPr>
                      <w:lang w:val="fr-FR"/>
                    </w:rPr>
                    <w:t>Diamètre de l'antenne de station terrienne</w:t>
                  </w:r>
                </w:p>
              </w:tc>
              <w:tc>
                <w:tcPr>
                  <w:tcW w:w="3151" w:type="dxa"/>
                </w:tcPr>
                <w:p w14:paraId="1A312A0A" w14:textId="77777777" w:rsidR="00762AEF" w:rsidRPr="00A641BE" w:rsidRDefault="00762AEF" w:rsidP="00437BD9">
                  <w:pPr>
                    <w:pStyle w:val="Tabletext"/>
                    <w:jc w:val="center"/>
                    <w:rPr>
                      <w:lang w:val="fr-FR"/>
                    </w:rPr>
                  </w:pPr>
                  <w:r w:rsidRPr="00A641BE">
                    <w:rPr>
                      <w:lang w:val="fr-FR"/>
                    </w:rPr>
                    <w:t>0,6 m</w:t>
                  </w:r>
                </w:p>
              </w:tc>
              <w:tc>
                <w:tcPr>
                  <w:tcW w:w="2945" w:type="dxa"/>
                </w:tcPr>
                <w:p w14:paraId="6B267089" w14:textId="77777777" w:rsidR="00762AEF" w:rsidRPr="00A641BE" w:rsidRDefault="00762AEF" w:rsidP="00437BD9">
                  <w:pPr>
                    <w:pStyle w:val="Tabletext"/>
                    <w:jc w:val="center"/>
                    <w:rPr>
                      <w:lang w:val="fr-FR"/>
                    </w:rPr>
                  </w:pPr>
                  <w:r w:rsidRPr="00A641BE">
                    <w:rPr>
                      <w:lang w:val="fr-FR"/>
                    </w:rPr>
                    <w:t>5 m</w:t>
                  </w:r>
                </w:p>
              </w:tc>
            </w:tr>
            <w:tr w:rsidR="00762AEF" w:rsidRPr="00A641BE" w14:paraId="45ED5A55" w14:textId="77777777" w:rsidTr="002536E7">
              <w:trPr>
                <w:jc w:val="center"/>
              </w:trPr>
              <w:tc>
                <w:tcPr>
                  <w:tcW w:w="3869" w:type="dxa"/>
                </w:tcPr>
                <w:p w14:paraId="0098F09B" w14:textId="77777777" w:rsidR="00762AEF" w:rsidRPr="00A641BE" w:rsidRDefault="00762AEF" w:rsidP="00437BD9">
                  <w:pPr>
                    <w:pStyle w:val="Tabletext"/>
                    <w:rPr>
                      <w:lang w:val="fr-FR"/>
                    </w:rPr>
                  </w:pPr>
                  <w:r w:rsidRPr="00A641BE">
                    <w:rPr>
                      <w:lang w:val="fr-FR"/>
                    </w:rPr>
                    <w:t>Diagramme d'antenne de la station terrienne</w:t>
                  </w:r>
                </w:p>
              </w:tc>
              <w:tc>
                <w:tcPr>
                  <w:tcW w:w="3151" w:type="dxa"/>
                </w:tcPr>
                <w:p w14:paraId="065328A7" w14:textId="77777777" w:rsidR="00762AEF" w:rsidRPr="00A641BE" w:rsidRDefault="00762AEF" w:rsidP="00437BD9">
                  <w:pPr>
                    <w:pStyle w:val="Tabletext"/>
                    <w:jc w:val="center"/>
                    <w:rPr>
                      <w:lang w:val="fr-FR"/>
                    </w:rPr>
                  </w:pPr>
                  <w:r w:rsidRPr="00A641BE">
                    <w:rPr>
                      <w:lang w:val="fr-FR"/>
                    </w:rPr>
                    <w:t>MODRES</w:t>
                  </w:r>
                </w:p>
              </w:tc>
              <w:tc>
                <w:tcPr>
                  <w:tcW w:w="2945" w:type="dxa"/>
                </w:tcPr>
                <w:p w14:paraId="3F4B46F1" w14:textId="77777777" w:rsidR="00762AEF" w:rsidRPr="00A641BE" w:rsidRDefault="00762AEF" w:rsidP="00437BD9">
                  <w:pPr>
                    <w:pStyle w:val="Tabletext"/>
                    <w:jc w:val="center"/>
                    <w:rPr>
                      <w:lang w:val="fr-FR"/>
                    </w:rPr>
                  </w:pPr>
                  <w:r w:rsidRPr="00A641BE">
                    <w:rPr>
                      <w:lang w:val="fr-FR"/>
                    </w:rPr>
                    <w:t>MODTES</w:t>
                  </w:r>
                </w:p>
              </w:tc>
            </w:tr>
            <w:tr w:rsidR="00762AEF" w:rsidRPr="00A641BE" w14:paraId="00610605" w14:textId="77777777" w:rsidTr="002536E7">
              <w:trPr>
                <w:jc w:val="center"/>
              </w:trPr>
              <w:tc>
                <w:tcPr>
                  <w:tcW w:w="3869" w:type="dxa"/>
                </w:tcPr>
                <w:p w14:paraId="3DAF541C" w14:textId="77777777" w:rsidR="00762AEF" w:rsidRPr="00A641BE" w:rsidRDefault="00762AEF" w:rsidP="00437BD9">
                  <w:pPr>
                    <w:pStyle w:val="Tabletext"/>
                    <w:rPr>
                      <w:lang w:val="fr-FR"/>
                    </w:rPr>
                  </w:pPr>
                  <w:r w:rsidRPr="00A641BE">
                    <w:rPr>
                      <w:lang w:val="fr-FR"/>
                    </w:rPr>
                    <w:t>Ouverture de faisceau à 3 dB de la station terrienne</w:t>
                  </w:r>
                </w:p>
              </w:tc>
              <w:tc>
                <w:tcPr>
                  <w:tcW w:w="3151" w:type="dxa"/>
                </w:tcPr>
                <w:p w14:paraId="0A3A78DD" w14:textId="77777777" w:rsidR="00762AEF" w:rsidRPr="00A641BE" w:rsidRDefault="00762AEF" w:rsidP="00437BD9">
                  <w:pPr>
                    <w:pStyle w:val="Tabletext"/>
                    <w:jc w:val="center"/>
                    <w:rPr>
                      <w:lang w:val="fr-FR"/>
                    </w:rPr>
                  </w:pPr>
                  <w:r w:rsidRPr="00A641BE">
                    <w:rPr>
                      <w:lang w:val="fr-FR"/>
                    </w:rPr>
                    <w:t>2,86</w:t>
                  </w:r>
                  <w:r w:rsidRPr="00A641BE">
                    <w:rPr>
                      <w:lang w:val="fr-FR"/>
                    </w:rPr>
                    <w:sym w:font="Symbol" w:char="F0B0"/>
                  </w:r>
                </w:p>
              </w:tc>
              <w:tc>
                <w:tcPr>
                  <w:tcW w:w="2945" w:type="dxa"/>
                </w:tcPr>
                <w:p w14:paraId="003B5CBA" w14:textId="77777777" w:rsidR="00762AEF" w:rsidRPr="00A641BE" w:rsidRDefault="00762AEF" w:rsidP="00437BD9">
                  <w:pPr>
                    <w:pStyle w:val="Tabletext"/>
                    <w:jc w:val="center"/>
                    <w:rPr>
                      <w:lang w:val="fr-FR"/>
                    </w:rPr>
                  </w:pPr>
                  <w:r w:rsidRPr="00A641BE">
                    <w:rPr>
                      <w:lang w:val="fr-FR"/>
                    </w:rPr>
                    <w:t>0,25</w:t>
                  </w:r>
                  <w:r w:rsidRPr="00A641BE">
                    <w:rPr>
                      <w:lang w:val="fr-FR"/>
                    </w:rPr>
                    <w:sym w:font="Symbol" w:char="F0B0"/>
                  </w:r>
                </w:p>
              </w:tc>
            </w:tr>
            <w:tr w:rsidR="00762AEF" w:rsidRPr="00A641BE" w14:paraId="08C7C432" w14:textId="77777777" w:rsidTr="002536E7">
              <w:trPr>
                <w:jc w:val="center"/>
              </w:trPr>
              <w:tc>
                <w:tcPr>
                  <w:tcW w:w="3869" w:type="dxa"/>
                </w:tcPr>
                <w:p w14:paraId="25309502" w14:textId="77777777" w:rsidR="00762AEF" w:rsidRPr="00A641BE" w:rsidRDefault="00762AEF" w:rsidP="00437BD9">
                  <w:pPr>
                    <w:pStyle w:val="Tabletext"/>
                    <w:rPr>
                      <w:lang w:val="fr-FR"/>
                    </w:rPr>
                  </w:pPr>
                  <w:r w:rsidRPr="00A641BE">
                    <w:rPr>
                      <w:lang w:val="fr-FR"/>
                    </w:rPr>
                    <w:t>10 canaux</w:t>
                  </w:r>
                </w:p>
              </w:tc>
              <w:tc>
                <w:tcPr>
                  <w:tcW w:w="3151" w:type="dxa"/>
                </w:tcPr>
                <w:p w14:paraId="53D12F80" w14:textId="77777777" w:rsidR="00762AEF" w:rsidRPr="00A641BE" w:rsidRDefault="00762AEF" w:rsidP="00437BD9">
                  <w:pPr>
                    <w:pStyle w:val="Tabletext"/>
                    <w:jc w:val="center"/>
                    <w:rPr>
                      <w:lang w:val="fr-FR"/>
                    </w:rPr>
                  </w:pPr>
                  <w:r w:rsidRPr="00A641BE">
                    <w:rPr>
                      <w:lang w:val="fr-FR"/>
                    </w:rPr>
                    <w:t>1, 2, 3, 4, 5, 6, 7, 8, 17, 18</w:t>
                  </w:r>
                </w:p>
              </w:tc>
              <w:tc>
                <w:tcPr>
                  <w:tcW w:w="2945" w:type="dxa"/>
                </w:tcPr>
                <w:p w14:paraId="1B18281E" w14:textId="77777777" w:rsidR="00762AEF" w:rsidRPr="00A641BE" w:rsidRDefault="00762AEF" w:rsidP="00437BD9">
                  <w:pPr>
                    <w:pStyle w:val="Tabletext"/>
                    <w:jc w:val="center"/>
                    <w:rPr>
                      <w:lang w:val="fr-FR"/>
                    </w:rPr>
                  </w:pPr>
                  <w:r w:rsidRPr="00A641BE">
                    <w:rPr>
                      <w:lang w:val="fr-FR"/>
                    </w:rPr>
                    <w:t>1, 2, 3, 4, 5, 6, 7, 8, 17, 18</w:t>
                  </w:r>
                </w:p>
              </w:tc>
            </w:tr>
            <w:tr w:rsidR="00762AEF" w:rsidRPr="00A641BE" w14:paraId="07AE4C6A" w14:textId="77777777" w:rsidTr="002536E7">
              <w:trPr>
                <w:jc w:val="center"/>
              </w:trPr>
              <w:tc>
                <w:tcPr>
                  <w:tcW w:w="3869" w:type="dxa"/>
                </w:tcPr>
                <w:p w14:paraId="72BE559A" w14:textId="77777777" w:rsidR="00762AEF" w:rsidRPr="00A641BE" w:rsidRDefault="00762AEF" w:rsidP="00437BD9">
                  <w:pPr>
                    <w:pStyle w:val="Tabletext"/>
                    <w:rPr>
                      <w:lang w:val="fr-FR"/>
                    </w:rPr>
                  </w:pPr>
                  <w:r w:rsidRPr="00A641BE">
                    <w:rPr>
                      <w:lang w:val="fr-FR"/>
                    </w:rPr>
                    <w:t>Largeur de bande par canal</w:t>
                  </w:r>
                </w:p>
              </w:tc>
              <w:tc>
                <w:tcPr>
                  <w:tcW w:w="3151" w:type="dxa"/>
                </w:tcPr>
                <w:p w14:paraId="0AE6F1EE" w14:textId="77777777" w:rsidR="00762AEF" w:rsidRPr="00A641BE" w:rsidRDefault="00762AEF" w:rsidP="00437BD9">
                  <w:pPr>
                    <w:pStyle w:val="Tabletext"/>
                    <w:jc w:val="center"/>
                    <w:rPr>
                      <w:lang w:val="fr-FR"/>
                    </w:rPr>
                  </w:pPr>
                  <w:r w:rsidRPr="00A641BE">
                    <w:rPr>
                      <w:lang w:val="fr-FR"/>
                    </w:rPr>
                    <w:t>33 MHz</w:t>
                  </w:r>
                </w:p>
              </w:tc>
              <w:tc>
                <w:tcPr>
                  <w:tcW w:w="2945" w:type="dxa"/>
                </w:tcPr>
                <w:p w14:paraId="58DBEA09" w14:textId="77777777" w:rsidR="00762AEF" w:rsidRPr="00A641BE" w:rsidRDefault="00762AEF" w:rsidP="00437BD9">
                  <w:pPr>
                    <w:pStyle w:val="Tabletext"/>
                    <w:jc w:val="center"/>
                    <w:rPr>
                      <w:lang w:val="fr-FR"/>
                    </w:rPr>
                  </w:pPr>
                  <w:r w:rsidRPr="00A641BE">
                    <w:rPr>
                      <w:lang w:val="fr-FR"/>
                    </w:rPr>
                    <w:t>33 MHz</w:t>
                  </w:r>
                </w:p>
              </w:tc>
            </w:tr>
            <w:tr w:rsidR="00762AEF" w:rsidRPr="00A641BE" w14:paraId="5BD19250" w14:textId="77777777" w:rsidTr="002536E7">
              <w:trPr>
                <w:jc w:val="center"/>
              </w:trPr>
              <w:tc>
                <w:tcPr>
                  <w:tcW w:w="3869" w:type="dxa"/>
                </w:tcPr>
                <w:p w14:paraId="44B63CA0" w14:textId="77777777" w:rsidR="00762AEF" w:rsidRPr="00A641BE" w:rsidRDefault="00762AEF" w:rsidP="00437BD9">
                  <w:pPr>
                    <w:pStyle w:val="Tabletext"/>
                    <w:rPr>
                      <w:lang w:val="fr-FR"/>
                    </w:rPr>
                  </w:pPr>
                  <w:r w:rsidRPr="00A641BE">
                    <w:rPr>
                      <w:lang w:val="fr-FR"/>
                    </w:rPr>
                    <w:t>Polarisation</w:t>
                  </w:r>
                </w:p>
              </w:tc>
              <w:tc>
                <w:tcPr>
                  <w:tcW w:w="3151" w:type="dxa"/>
                </w:tcPr>
                <w:p w14:paraId="1E408FDB" w14:textId="77777777" w:rsidR="00762AEF" w:rsidRPr="00A641BE" w:rsidRDefault="00762AEF" w:rsidP="00437BD9">
                  <w:pPr>
                    <w:pStyle w:val="Tabletext"/>
                    <w:jc w:val="center"/>
                    <w:rPr>
                      <w:lang w:val="fr-FR"/>
                    </w:rPr>
                  </w:pPr>
                  <w:r w:rsidRPr="00A641BE">
                    <w:rPr>
                      <w:lang w:val="fr-FR"/>
                    </w:rPr>
                    <w:t>Linéaire impaire 0</w:t>
                  </w:r>
                  <w:r w:rsidRPr="00A641BE">
                    <w:rPr>
                      <w:lang w:val="fr-FR"/>
                    </w:rPr>
                    <w:sym w:font="Symbol" w:char="F0B0"/>
                  </w:r>
                  <w:r w:rsidRPr="00A641BE">
                    <w:rPr>
                      <w:lang w:val="fr-FR"/>
                    </w:rPr>
                    <w:br/>
                    <w:t>Linéaire paire 90</w:t>
                  </w:r>
                  <w:r w:rsidRPr="00A641BE">
                    <w:rPr>
                      <w:lang w:val="fr-FR"/>
                    </w:rPr>
                    <w:sym w:font="Symbol" w:char="F0B0"/>
                  </w:r>
                </w:p>
              </w:tc>
              <w:tc>
                <w:tcPr>
                  <w:tcW w:w="2945" w:type="dxa"/>
                </w:tcPr>
                <w:p w14:paraId="2DDB9435" w14:textId="77777777" w:rsidR="00762AEF" w:rsidRPr="00A641BE" w:rsidRDefault="00762AEF" w:rsidP="00437BD9">
                  <w:pPr>
                    <w:pStyle w:val="Tabletext"/>
                    <w:jc w:val="center"/>
                    <w:rPr>
                      <w:lang w:val="fr-FR"/>
                    </w:rPr>
                  </w:pPr>
                  <w:r w:rsidRPr="00A641BE">
                    <w:rPr>
                      <w:lang w:val="fr-FR"/>
                    </w:rPr>
                    <w:t>Linéaire impaire 0</w:t>
                  </w:r>
                  <w:r w:rsidRPr="00A641BE">
                    <w:rPr>
                      <w:lang w:val="fr-FR"/>
                    </w:rPr>
                    <w:sym w:font="Symbol" w:char="F0B0"/>
                  </w:r>
                  <w:r w:rsidRPr="00A641BE">
                    <w:rPr>
                      <w:lang w:val="fr-FR"/>
                    </w:rPr>
                    <w:br/>
                    <w:t>Linéaire paire 90</w:t>
                  </w:r>
                  <w:r w:rsidRPr="00A641BE">
                    <w:rPr>
                      <w:lang w:val="fr-FR"/>
                    </w:rPr>
                    <w:sym w:font="Symbol" w:char="F0B0"/>
                  </w:r>
                </w:p>
              </w:tc>
            </w:tr>
            <w:tr w:rsidR="00762AEF" w:rsidRPr="00A641BE" w14:paraId="3300F629" w14:textId="77777777" w:rsidTr="002536E7">
              <w:trPr>
                <w:jc w:val="center"/>
              </w:trPr>
              <w:tc>
                <w:tcPr>
                  <w:tcW w:w="3869" w:type="dxa"/>
                </w:tcPr>
                <w:p w14:paraId="11E6F7D5" w14:textId="77777777" w:rsidR="00762AEF" w:rsidRPr="00A641BE" w:rsidRDefault="00762AEF" w:rsidP="00437BD9">
                  <w:pPr>
                    <w:pStyle w:val="Tabletext"/>
                    <w:rPr>
                      <w:lang w:val="fr-FR"/>
                    </w:rPr>
                  </w:pPr>
                  <w:r w:rsidRPr="00A641BE">
                    <w:rPr>
                      <w:lang w:val="fr-FR"/>
                    </w:rPr>
                    <w:t>Désignation de l'émission</w:t>
                  </w:r>
                </w:p>
              </w:tc>
              <w:tc>
                <w:tcPr>
                  <w:tcW w:w="3151" w:type="dxa"/>
                </w:tcPr>
                <w:p w14:paraId="64BE6804" w14:textId="77777777" w:rsidR="00762AEF" w:rsidRPr="00A641BE" w:rsidRDefault="00762AEF" w:rsidP="00437BD9">
                  <w:pPr>
                    <w:pStyle w:val="Tabletext"/>
                    <w:jc w:val="center"/>
                    <w:rPr>
                      <w:lang w:val="fr-FR"/>
                    </w:rPr>
                  </w:pPr>
                  <w:r w:rsidRPr="00A641BE">
                    <w:rPr>
                      <w:lang w:val="fr-FR"/>
                    </w:rPr>
                    <w:t>33M0G7W--</w:t>
                  </w:r>
                </w:p>
              </w:tc>
              <w:tc>
                <w:tcPr>
                  <w:tcW w:w="2945" w:type="dxa"/>
                </w:tcPr>
                <w:p w14:paraId="77A93FC9" w14:textId="77777777" w:rsidR="00762AEF" w:rsidRPr="00A641BE" w:rsidRDefault="00762AEF" w:rsidP="00437BD9">
                  <w:pPr>
                    <w:pStyle w:val="Tabletext"/>
                    <w:jc w:val="center"/>
                    <w:rPr>
                      <w:lang w:val="fr-FR"/>
                    </w:rPr>
                  </w:pPr>
                  <w:r w:rsidRPr="00A641BE">
                    <w:rPr>
                      <w:lang w:val="fr-FR"/>
                    </w:rPr>
                    <w:t>33M0G7W--</w:t>
                  </w:r>
                </w:p>
              </w:tc>
            </w:tr>
            <w:tr w:rsidR="00762AEF" w:rsidRPr="00A641BE" w14:paraId="431D3C3B" w14:textId="77777777" w:rsidTr="002536E7">
              <w:trPr>
                <w:jc w:val="center"/>
              </w:trPr>
              <w:tc>
                <w:tcPr>
                  <w:tcW w:w="3869" w:type="dxa"/>
                </w:tcPr>
                <w:p w14:paraId="46F04B5A" w14:textId="77777777" w:rsidR="00762AEF" w:rsidRPr="00A641BE" w:rsidRDefault="00762AEF" w:rsidP="00437BD9">
                  <w:pPr>
                    <w:pStyle w:val="Tabletext"/>
                    <w:rPr>
                      <w:lang w:val="fr-FR"/>
                    </w:rPr>
                  </w:pPr>
                  <w:r w:rsidRPr="00A641BE">
                    <w:rPr>
                      <w:lang w:val="fr-FR"/>
                    </w:rPr>
                    <w:t>Commande de puissance</w:t>
                  </w:r>
                </w:p>
              </w:tc>
              <w:tc>
                <w:tcPr>
                  <w:tcW w:w="3151" w:type="dxa"/>
                </w:tcPr>
                <w:p w14:paraId="0B8787FA" w14:textId="77777777" w:rsidR="00762AEF" w:rsidRPr="00A641BE" w:rsidRDefault="00762AEF" w:rsidP="00437BD9">
                  <w:pPr>
                    <w:pStyle w:val="Tabletext"/>
                    <w:jc w:val="center"/>
                    <w:rPr>
                      <w:lang w:val="fr-FR"/>
                    </w:rPr>
                  </w:pPr>
                </w:p>
              </w:tc>
              <w:tc>
                <w:tcPr>
                  <w:tcW w:w="2945" w:type="dxa"/>
                </w:tcPr>
                <w:p w14:paraId="697831D9" w14:textId="77777777" w:rsidR="00762AEF" w:rsidRPr="00A641BE" w:rsidRDefault="00762AEF" w:rsidP="00437BD9">
                  <w:pPr>
                    <w:pStyle w:val="Tabletext"/>
                    <w:jc w:val="center"/>
                    <w:rPr>
                      <w:lang w:val="fr-FR"/>
                    </w:rPr>
                  </w:pPr>
                  <w:r w:rsidRPr="00A641BE">
                    <w:rPr>
                      <w:lang w:val="fr-FR"/>
                    </w:rPr>
                    <w:t>3 dB</w:t>
                  </w:r>
                </w:p>
              </w:tc>
            </w:tr>
            <w:tr w:rsidR="00762AEF" w:rsidRPr="00A641BE" w14:paraId="4C1116AB" w14:textId="77777777" w:rsidTr="002536E7">
              <w:trPr>
                <w:jc w:val="center"/>
              </w:trPr>
              <w:tc>
                <w:tcPr>
                  <w:tcW w:w="3869" w:type="dxa"/>
                </w:tcPr>
                <w:p w14:paraId="539C7A93" w14:textId="77777777" w:rsidR="00762AEF" w:rsidRPr="00A641BE" w:rsidRDefault="00762AEF" w:rsidP="00437BD9">
                  <w:pPr>
                    <w:pStyle w:val="Tabletext"/>
                    <w:rPr>
                      <w:lang w:val="fr-FR"/>
                    </w:rPr>
                  </w:pPr>
                  <w:r w:rsidRPr="00A641BE">
                    <w:rPr>
                      <w:lang w:val="fr-FR"/>
                    </w:rPr>
                    <w:t>Contrôle automatique de gain</w:t>
                  </w:r>
                </w:p>
              </w:tc>
              <w:tc>
                <w:tcPr>
                  <w:tcW w:w="3151" w:type="dxa"/>
                </w:tcPr>
                <w:p w14:paraId="35173CC2" w14:textId="77777777" w:rsidR="00762AEF" w:rsidRPr="00A641BE" w:rsidRDefault="00762AEF" w:rsidP="00437BD9">
                  <w:pPr>
                    <w:pStyle w:val="Tabletext"/>
                    <w:jc w:val="center"/>
                    <w:rPr>
                      <w:lang w:val="fr-FR"/>
                    </w:rPr>
                  </w:pPr>
                </w:p>
              </w:tc>
              <w:tc>
                <w:tcPr>
                  <w:tcW w:w="2945" w:type="dxa"/>
                </w:tcPr>
                <w:p w14:paraId="5782B2C5" w14:textId="77777777" w:rsidR="00762AEF" w:rsidRPr="00A641BE" w:rsidRDefault="00762AEF" w:rsidP="00437BD9">
                  <w:pPr>
                    <w:pStyle w:val="Tabletext"/>
                    <w:jc w:val="center"/>
                    <w:rPr>
                      <w:lang w:val="fr-FR"/>
                    </w:rPr>
                  </w:pPr>
                  <w:r w:rsidRPr="00A641BE">
                    <w:rPr>
                      <w:lang w:val="fr-FR"/>
                    </w:rPr>
                    <w:t>15 dB</w:t>
                  </w:r>
                </w:p>
              </w:tc>
            </w:tr>
            <w:tr w:rsidR="00762AEF" w:rsidRPr="00A641BE" w14:paraId="4B3ABCFE" w14:textId="77777777" w:rsidTr="002536E7">
              <w:trPr>
                <w:jc w:val="center"/>
              </w:trPr>
              <w:tc>
                <w:tcPr>
                  <w:tcW w:w="3869" w:type="dxa"/>
                </w:tcPr>
                <w:p w14:paraId="469F7590" w14:textId="77777777" w:rsidR="00762AEF" w:rsidRPr="00A641BE" w:rsidRDefault="00762AEF" w:rsidP="00437BD9">
                  <w:pPr>
                    <w:pStyle w:val="Tabletext"/>
                    <w:rPr>
                      <w:lang w:val="fr-FR"/>
                    </w:rPr>
                  </w:pPr>
                  <w:r w:rsidRPr="00A641BE">
                    <w:rPr>
                      <w:lang w:val="fr-FR"/>
                    </w:rPr>
                    <w:t>Température de bruit</w:t>
                  </w:r>
                </w:p>
              </w:tc>
              <w:tc>
                <w:tcPr>
                  <w:tcW w:w="3151" w:type="dxa"/>
                </w:tcPr>
                <w:p w14:paraId="6E6DEE2D" w14:textId="77777777" w:rsidR="00762AEF" w:rsidRPr="00A641BE" w:rsidRDefault="00762AEF" w:rsidP="00437BD9">
                  <w:pPr>
                    <w:pStyle w:val="Tabletext"/>
                    <w:jc w:val="center"/>
                    <w:rPr>
                      <w:lang w:val="fr-FR"/>
                    </w:rPr>
                  </w:pPr>
                </w:p>
              </w:tc>
              <w:tc>
                <w:tcPr>
                  <w:tcW w:w="2945" w:type="dxa"/>
                </w:tcPr>
                <w:p w14:paraId="0A571E86" w14:textId="77777777" w:rsidR="00762AEF" w:rsidRPr="00A641BE" w:rsidRDefault="00762AEF" w:rsidP="00437BD9">
                  <w:pPr>
                    <w:pStyle w:val="Tabletext"/>
                    <w:jc w:val="center"/>
                    <w:rPr>
                      <w:lang w:val="fr-FR"/>
                    </w:rPr>
                  </w:pPr>
                  <w:r w:rsidRPr="00A641BE">
                    <w:rPr>
                      <w:lang w:val="fr-FR"/>
                    </w:rPr>
                    <w:t>600 K</w:t>
                  </w:r>
                </w:p>
              </w:tc>
            </w:tr>
            <w:tr w:rsidR="00762AEF" w:rsidRPr="00AD36B1" w14:paraId="60B5286A" w14:textId="77777777" w:rsidTr="002536E7">
              <w:trPr>
                <w:jc w:val="center"/>
              </w:trPr>
              <w:tc>
                <w:tcPr>
                  <w:tcW w:w="3869" w:type="dxa"/>
                </w:tcPr>
                <w:p w14:paraId="27712C99" w14:textId="77777777" w:rsidR="00762AEF" w:rsidRPr="00A641BE" w:rsidRDefault="00762AEF" w:rsidP="00437BD9">
                  <w:pPr>
                    <w:pStyle w:val="Tabletext"/>
                    <w:rPr>
                      <w:lang w:val="fr-FR"/>
                    </w:rPr>
                  </w:pPr>
                  <w:r w:rsidRPr="00A641BE">
                    <w:rPr>
                      <w:lang w:val="fr-FR"/>
                    </w:rPr>
                    <w:t>Code de groupe d'exploitation exclusif</w:t>
                  </w:r>
                </w:p>
              </w:tc>
              <w:tc>
                <w:tcPr>
                  <w:tcW w:w="3151" w:type="dxa"/>
                </w:tcPr>
                <w:p w14:paraId="3BC8B8A2" w14:textId="77777777" w:rsidR="00762AEF" w:rsidRPr="00A641BE" w:rsidRDefault="00762AEF" w:rsidP="00437BD9">
                  <w:pPr>
                    <w:pStyle w:val="Tabletext"/>
                    <w:jc w:val="center"/>
                    <w:rPr>
                      <w:lang w:val="fr-FR"/>
                    </w:rPr>
                  </w:pPr>
                  <w:r w:rsidRPr="00A641BE">
                    <w:rPr>
                      <w:lang w:val="fr-FR"/>
                    </w:rPr>
                    <w:t>E5</w:t>
                  </w:r>
                </w:p>
              </w:tc>
              <w:tc>
                <w:tcPr>
                  <w:tcW w:w="2945" w:type="dxa"/>
                </w:tcPr>
                <w:p w14:paraId="1E5FEA88" w14:textId="77777777" w:rsidR="00762AEF" w:rsidRPr="00A641BE" w:rsidRDefault="00762AEF" w:rsidP="00437BD9">
                  <w:pPr>
                    <w:pStyle w:val="Tabletext"/>
                    <w:jc w:val="center"/>
                    <w:rPr>
                      <w:lang w:val="fr-FR"/>
                    </w:rPr>
                  </w:pPr>
                  <w:r w:rsidRPr="00A641BE">
                    <w:rPr>
                      <w:lang w:val="fr-FR"/>
                    </w:rPr>
                    <w:t>E5</w:t>
                  </w:r>
                </w:p>
              </w:tc>
            </w:tr>
          </w:tbl>
          <w:p w14:paraId="6EA36381" w14:textId="77777777" w:rsidR="002536E7" w:rsidRDefault="002536E7" w:rsidP="00437BD9">
            <w:pPr>
              <w:pStyle w:val="TableNoTitle"/>
              <w:keepNext w:val="0"/>
              <w:keepLines w:val="0"/>
              <w:spacing w:before="240" w:line="240" w:lineRule="auto"/>
              <w:rPr>
                <w:b w:val="0"/>
                <w:bCs/>
                <w:lang w:val="fr-FR"/>
              </w:rPr>
            </w:pPr>
          </w:p>
          <w:p w14:paraId="20DC4F83" w14:textId="357DDB7E" w:rsidR="00762AEF" w:rsidRPr="00A641BE" w:rsidRDefault="002536E7" w:rsidP="002536E7">
            <w:pPr>
              <w:pStyle w:val="TableNoTitle"/>
              <w:keepNext w:val="0"/>
              <w:keepLines w:val="0"/>
              <w:spacing w:line="240" w:lineRule="auto"/>
              <w:rPr>
                <w:b w:val="0"/>
                <w:bCs/>
                <w:lang w:val="fr-FR"/>
              </w:rPr>
            </w:pPr>
            <w:r w:rsidRPr="00A641BE">
              <w:rPr>
                <w:b w:val="0"/>
                <w:bCs/>
                <w:lang w:val="fr-FR"/>
              </w:rPr>
              <w:lastRenderedPageBreak/>
              <w:t>TABLEAU 2</w:t>
            </w:r>
          </w:p>
          <w:p w14:paraId="3EE328BC" w14:textId="77777777" w:rsidR="00762AEF" w:rsidRPr="00A641BE" w:rsidRDefault="00762AEF" w:rsidP="00437BD9">
            <w:pPr>
              <w:pStyle w:val="TableNoTitle"/>
              <w:keepNext w:val="0"/>
              <w:keepLines w:val="0"/>
              <w:spacing w:before="120" w:line="240" w:lineRule="auto"/>
              <w:rPr>
                <w:lang w:val="fr-FR"/>
              </w:rPr>
            </w:pPr>
            <w:r w:rsidRPr="00A641BE">
              <w:rPr>
                <w:lang w:val="fr-FR"/>
              </w:rPr>
              <w:t xml:space="preserve">Faisceaux du réseau à satellite BULSAT-BSS-1.2W-W pour lesquels </w:t>
            </w:r>
            <w:r w:rsidRPr="00A641BE">
              <w:rPr>
                <w:lang w:val="fr-FR"/>
              </w:rPr>
              <w:br/>
              <w:t>les assignations de fréquence doivent être supprimées</w:t>
            </w:r>
          </w:p>
          <w:tbl>
            <w:tblPr>
              <w:tblStyle w:val="TableGrid"/>
              <w:tblW w:w="0" w:type="auto"/>
              <w:jc w:val="center"/>
              <w:tblLayout w:type="fixed"/>
              <w:tblLook w:val="04A0" w:firstRow="1" w:lastRow="0" w:firstColumn="1" w:lastColumn="0" w:noHBand="0" w:noVBand="1"/>
            </w:tblPr>
            <w:tblGrid>
              <w:gridCol w:w="2690"/>
              <w:gridCol w:w="1926"/>
              <w:gridCol w:w="2664"/>
              <w:gridCol w:w="2012"/>
            </w:tblGrid>
            <w:tr w:rsidR="00762AEF" w:rsidRPr="00A641BE" w14:paraId="6A2EDC06" w14:textId="77777777" w:rsidTr="004A7E7F">
              <w:trPr>
                <w:jc w:val="center"/>
              </w:trPr>
              <w:tc>
                <w:tcPr>
                  <w:tcW w:w="2690" w:type="dxa"/>
                </w:tcPr>
                <w:p w14:paraId="2B9E8D77" w14:textId="77777777" w:rsidR="00762AEF" w:rsidRPr="00A641BE" w:rsidRDefault="00762AEF" w:rsidP="00437BD9">
                  <w:pPr>
                    <w:pStyle w:val="Tablehead"/>
                    <w:keepNext w:val="0"/>
                    <w:rPr>
                      <w:lang w:val="fr-FR"/>
                    </w:rPr>
                  </w:pPr>
                  <w:r w:rsidRPr="00A641BE">
                    <w:rPr>
                      <w:lang w:val="fr-FR"/>
                    </w:rPr>
                    <w:t xml:space="preserve">Nom du satellite </w:t>
                  </w:r>
                </w:p>
              </w:tc>
              <w:tc>
                <w:tcPr>
                  <w:tcW w:w="1926" w:type="dxa"/>
                </w:tcPr>
                <w:p w14:paraId="7CA5C78C" w14:textId="77777777" w:rsidR="00762AEF" w:rsidRPr="00A641BE" w:rsidRDefault="00762AEF" w:rsidP="00437BD9">
                  <w:pPr>
                    <w:pStyle w:val="Tablehead"/>
                    <w:keepNext w:val="0"/>
                    <w:rPr>
                      <w:lang w:val="fr-FR"/>
                    </w:rPr>
                  </w:pPr>
                  <w:r w:rsidRPr="00A641BE">
                    <w:rPr>
                      <w:lang w:val="fr-FR"/>
                    </w:rPr>
                    <w:t>Position orbitale</w:t>
                  </w:r>
                </w:p>
              </w:tc>
              <w:tc>
                <w:tcPr>
                  <w:tcW w:w="2664" w:type="dxa"/>
                </w:tcPr>
                <w:p w14:paraId="7EE54456" w14:textId="77777777" w:rsidR="00762AEF" w:rsidRPr="00A641BE" w:rsidRDefault="00762AEF" w:rsidP="00437BD9">
                  <w:pPr>
                    <w:pStyle w:val="Tablehead"/>
                    <w:keepNext w:val="0"/>
                    <w:rPr>
                      <w:lang w:val="fr-FR"/>
                    </w:rPr>
                  </w:pPr>
                  <w:r w:rsidRPr="00A641BE">
                    <w:rPr>
                      <w:lang w:val="fr-FR"/>
                    </w:rPr>
                    <w:t>Section spéciale (Partie B)</w:t>
                  </w:r>
                </w:p>
              </w:tc>
              <w:tc>
                <w:tcPr>
                  <w:tcW w:w="2012" w:type="dxa"/>
                </w:tcPr>
                <w:p w14:paraId="3C7B8876" w14:textId="77777777" w:rsidR="00762AEF" w:rsidRPr="00A641BE" w:rsidRDefault="00762AEF" w:rsidP="00437BD9">
                  <w:pPr>
                    <w:pStyle w:val="Tablehead"/>
                    <w:keepNext w:val="0"/>
                    <w:rPr>
                      <w:lang w:val="fr-FR"/>
                    </w:rPr>
                  </w:pPr>
                  <w:r w:rsidRPr="00A641BE">
                    <w:rPr>
                      <w:lang w:val="fr-FR"/>
                    </w:rPr>
                    <w:t>Faisceau</w:t>
                  </w:r>
                </w:p>
              </w:tc>
            </w:tr>
            <w:tr w:rsidR="00762AEF" w:rsidRPr="00A641BE" w14:paraId="255B9665" w14:textId="77777777" w:rsidTr="004A7E7F">
              <w:trPr>
                <w:jc w:val="center"/>
              </w:trPr>
              <w:tc>
                <w:tcPr>
                  <w:tcW w:w="2690" w:type="dxa"/>
                  <w:vMerge w:val="restart"/>
                  <w:vAlign w:val="center"/>
                </w:tcPr>
                <w:p w14:paraId="22BBC51F" w14:textId="77777777" w:rsidR="00762AEF" w:rsidRPr="00A641BE" w:rsidRDefault="00762AEF" w:rsidP="00437BD9">
                  <w:pPr>
                    <w:pStyle w:val="Tabletext"/>
                    <w:rPr>
                      <w:lang w:val="fr-FR"/>
                    </w:rPr>
                  </w:pPr>
                  <w:r w:rsidRPr="00A641BE">
                    <w:rPr>
                      <w:lang w:val="fr-FR"/>
                    </w:rPr>
                    <w:t>BULSAT-BSS-1.2W-W</w:t>
                  </w:r>
                </w:p>
              </w:tc>
              <w:tc>
                <w:tcPr>
                  <w:tcW w:w="1926" w:type="dxa"/>
                  <w:vMerge w:val="restart"/>
                  <w:vAlign w:val="center"/>
                </w:tcPr>
                <w:p w14:paraId="1886022B" w14:textId="777AC268" w:rsidR="00762AEF" w:rsidRPr="00A641BE" w:rsidRDefault="00762AEF" w:rsidP="002536E7">
                  <w:pPr>
                    <w:pStyle w:val="Tabletext"/>
                    <w:jc w:val="center"/>
                    <w:rPr>
                      <w:lang w:val="fr-FR"/>
                    </w:rPr>
                  </w:pPr>
                  <w:r w:rsidRPr="00A641BE">
                    <w:rPr>
                      <w:lang w:val="fr-FR"/>
                    </w:rPr>
                    <w:t>1,9</w:t>
                  </w:r>
                  <w:r w:rsidR="002536E7">
                    <w:rPr>
                      <w:lang w:val="fr-FR"/>
                    </w:rPr>
                    <w:t>° </w:t>
                  </w:r>
                  <w:r w:rsidRPr="00A641BE">
                    <w:rPr>
                      <w:lang w:val="fr-FR"/>
                    </w:rPr>
                    <w:t>E</w:t>
                  </w:r>
                </w:p>
              </w:tc>
              <w:tc>
                <w:tcPr>
                  <w:tcW w:w="2664" w:type="dxa"/>
                  <w:vAlign w:val="center"/>
                </w:tcPr>
                <w:p w14:paraId="680DDF2B" w14:textId="77777777" w:rsidR="00762AEF" w:rsidRPr="00A641BE" w:rsidRDefault="00762AEF" w:rsidP="002536E7">
                  <w:pPr>
                    <w:pStyle w:val="Tabletext"/>
                    <w:jc w:val="center"/>
                    <w:rPr>
                      <w:lang w:val="fr-FR"/>
                    </w:rPr>
                  </w:pPr>
                  <w:r w:rsidRPr="00A641BE">
                    <w:rPr>
                      <w:lang w:val="fr-FR"/>
                    </w:rPr>
                    <w:t>AP30/E/599</w:t>
                  </w:r>
                </w:p>
              </w:tc>
              <w:tc>
                <w:tcPr>
                  <w:tcW w:w="2012" w:type="dxa"/>
                  <w:vAlign w:val="center"/>
                </w:tcPr>
                <w:p w14:paraId="7737739F" w14:textId="77777777" w:rsidR="00762AEF" w:rsidRPr="00A641BE" w:rsidRDefault="00762AEF" w:rsidP="002536E7">
                  <w:pPr>
                    <w:pStyle w:val="Tabletext"/>
                    <w:jc w:val="center"/>
                    <w:rPr>
                      <w:lang w:val="fr-FR"/>
                    </w:rPr>
                  </w:pPr>
                  <w:r w:rsidRPr="00A641BE">
                    <w:rPr>
                      <w:lang w:val="fr-FR"/>
                    </w:rPr>
                    <w:t>CEED</w:t>
                  </w:r>
                </w:p>
              </w:tc>
            </w:tr>
            <w:tr w:rsidR="00762AEF" w:rsidRPr="00A641BE" w14:paraId="10C06CFE" w14:textId="77777777" w:rsidTr="004A7E7F">
              <w:trPr>
                <w:jc w:val="center"/>
              </w:trPr>
              <w:tc>
                <w:tcPr>
                  <w:tcW w:w="2690" w:type="dxa"/>
                  <w:vMerge/>
                  <w:vAlign w:val="center"/>
                </w:tcPr>
                <w:p w14:paraId="45A56F71" w14:textId="77777777" w:rsidR="00762AEF" w:rsidRPr="00A641BE" w:rsidRDefault="00762AEF" w:rsidP="00437BD9">
                  <w:pPr>
                    <w:pStyle w:val="Tabletext"/>
                    <w:rPr>
                      <w:lang w:val="fr-FR"/>
                    </w:rPr>
                  </w:pPr>
                </w:p>
              </w:tc>
              <w:tc>
                <w:tcPr>
                  <w:tcW w:w="1926" w:type="dxa"/>
                  <w:vMerge/>
                  <w:vAlign w:val="center"/>
                </w:tcPr>
                <w:p w14:paraId="76B11837" w14:textId="77777777" w:rsidR="00762AEF" w:rsidRPr="00A641BE" w:rsidRDefault="00762AEF" w:rsidP="00437BD9">
                  <w:pPr>
                    <w:pStyle w:val="Tabletext"/>
                    <w:rPr>
                      <w:lang w:val="fr-FR"/>
                    </w:rPr>
                  </w:pPr>
                </w:p>
              </w:tc>
              <w:tc>
                <w:tcPr>
                  <w:tcW w:w="2664" w:type="dxa"/>
                  <w:vAlign w:val="center"/>
                </w:tcPr>
                <w:p w14:paraId="02FAF1D7" w14:textId="77777777" w:rsidR="00762AEF" w:rsidRPr="00A641BE" w:rsidRDefault="00762AEF" w:rsidP="002536E7">
                  <w:pPr>
                    <w:pStyle w:val="Tabletext"/>
                    <w:jc w:val="center"/>
                    <w:rPr>
                      <w:lang w:val="fr-FR"/>
                    </w:rPr>
                  </w:pPr>
                  <w:r w:rsidRPr="00A641BE">
                    <w:rPr>
                      <w:lang w:val="fr-FR"/>
                    </w:rPr>
                    <w:t>AP30A/E/542</w:t>
                  </w:r>
                </w:p>
              </w:tc>
              <w:tc>
                <w:tcPr>
                  <w:tcW w:w="2012" w:type="dxa"/>
                  <w:vAlign w:val="center"/>
                </w:tcPr>
                <w:p w14:paraId="701C8252" w14:textId="77777777" w:rsidR="00762AEF" w:rsidRPr="00A641BE" w:rsidRDefault="00762AEF" w:rsidP="002536E7">
                  <w:pPr>
                    <w:pStyle w:val="Tabletext"/>
                    <w:jc w:val="center"/>
                    <w:rPr>
                      <w:lang w:val="fr-FR"/>
                    </w:rPr>
                  </w:pPr>
                  <w:r w:rsidRPr="00A641BE">
                    <w:rPr>
                      <w:lang w:val="fr-FR"/>
                    </w:rPr>
                    <w:t>CER</w:t>
                  </w:r>
                </w:p>
              </w:tc>
            </w:tr>
          </w:tbl>
          <w:p w14:paraId="412217BA" w14:textId="77777777" w:rsidR="00762AEF" w:rsidRPr="00A641BE" w:rsidRDefault="00762AEF" w:rsidP="002536E7">
            <w:pPr>
              <w:pStyle w:val="Tabletext"/>
              <w:tabs>
                <w:tab w:val="clear" w:pos="1134"/>
                <w:tab w:val="clear" w:pos="2268"/>
              </w:tabs>
              <w:spacing w:after="240"/>
              <w:rPr>
                <w:sz w:val="22"/>
                <w:lang w:val="fr-FR"/>
              </w:rPr>
            </w:pPr>
          </w:p>
          <w:tbl>
            <w:tblPr>
              <w:tblStyle w:val="TableGrid"/>
              <w:tblW w:w="0" w:type="auto"/>
              <w:jc w:val="center"/>
              <w:tblLayout w:type="fixed"/>
              <w:tblLook w:val="04A0" w:firstRow="1" w:lastRow="0" w:firstColumn="1" w:lastColumn="0" w:noHBand="0" w:noVBand="1"/>
            </w:tblPr>
            <w:tblGrid>
              <w:gridCol w:w="4866"/>
              <w:gridCol w:w="4763"/>
            </w:tblGrid>
            <w:tr w:rsidR="00762AEF" w:rsidRPr="00AD36B1" w14:paraId="16497B3D" w14:textId="77777777" w:rsidTr="00762AEF">
              <w:trPr>
                <w:jc w:val="center"/>
              </w:trPr>
              <w:tc>
                <w:tcPr>
                  <w:tcW w:w="4866" w:type="dxa"/>
                </w:tcPr>
                <w:p w14:paraId="53F51109" w14:textId="77777777" w:rsidR="00762AEF" w:rsidRPr="00A641BE" w:rsidRDefault="00762AEF" w:rsidP="002536E7">
                  <w:pPr>
                    <w:pStyle w:val="Tabletext"/>
                    <w:spacing w:before="80" w:after="80"/>
                    <w:jc w:val="center"/>
                    <w:rPr>
                      <w:lang w:val="fr-FR"/>
                    </w:rPr>
                  </w:pPr>
                  <w:r w:rsidRPr="00A641BE">
                    <w:rPr>
                      <w:lang w:val="fr-FR"/>
                    </w:rPr>
                    <w:t>Faisceau CEED de liaison descendante</w:t>
                  </w:r>
                </w:p>
              </w:tc>
              <w:tc>
                <w:tcPr>
                  <w:tcW w:w="4763" w:type="dxa"/>
                </w:tcPr>
                <w:p w14:paraId="7B9B77A2" w14:textId="77777777" w:rsidR="00762AEF" w:rsidRPr="00A641BE" w:rsidRDefault="00762AEF" w:rsidP="002536E7">
                  <w:pPr>
                    <w:pStyle w:val="Tabletext"/>
                    <w:spacing w:before="80" w:after="80"/>
                    <w:jc w:val="center"/>
                    <w:rPr>
                      <w:lang w:val="fr-FR"/>
                    </w:rPr>
                  </w:pPr>
                  <w:r w:rsidRPr="00A641BE">
                    <w:rPr>
                      <w:lang w:val="fr-FR"/>
                    </w:rPr>
                    <w:t>Faisceau CER de liaison de connexion</w:t>
                  </w:r>
                </w:p>
              </w:tc>
            </w:tr>
            <w:tr w:rsidR="00762AEF" w:rsidRPr="00A641BE" w14:paraId="35FA5BD1" w14:textId="77777777" w:rsidTr="00762AEF">
              <w:trPr>
                <w:jc w:val="center"/>
              </w:trPr>
              <w:tc>
                <w:tcPr>
                  <w:tcW w:w="9629" w:type="dxa"/>
                  <w:gridSpan w:val="2"/>
                </w:tcPr>
                <w:p w14:paraId="1C099087" w14:textId="77777777" w:rsidR="00762AEF" w:rsidRPr="00A641BE" w:rsidRDefault="00762AEF" w:rsidP="00437BD9">
                  <w:pPr>
                    <w:pStyle w:val="Tablehead"/>
                    <w:keepNext w:val="0"/>
                    <w:rPr>
                      <w:lang w:val="fr-FR"/>
                    </w:rPr>
                  </w:pPr>
                  <w:r w:rsidRPr="00A641BE">
                    <w:rPr>
                      <w:lang w:val="fr-FR"/>
                    </w:rPr>
                    <w:t>Couverture copolaire</w:t>
                  </w:r>
                </w:p>
              </w:tc>
            </w:tr>
            <w:tr w:rsidR="00762AEF" w:rsidRPr="00A641BE" w14:paraId="3215DB7B" w14:textId="77777777" w:rsidTr="00762AEF">
              <w:trPr>
                <w:jc w:val="center"/>
              </w:trPr>
              <w:tc>
                <w:tcPr>
                  <w:tcW w:w="4866" w:type="dxa"/>
                </w:tcPr>
                <w:p w14:paraId="60A1336C" w14:textId="77777777" w:rsidR="00762AEF" w:rsidRPr="00A641BE" w:rsidRDefault="00762AEF" w:rsidP="00437BD9">
                  <w:pPr>
                    <w:pStyle w:val="Tabletext"/>
                    <w:tabs>
                      <w:tab w:val="clear" w:pos="1134"/>
                      <w:tab w:val="clear" w:pos="2268"/>
                    </w:tabs>
                    <w:rPr>
                      <w:sz w:val="22"/>
                      <w:lang w:val="fr-FR"/>
                    </w:rPr>
                  </w:pPr>
                  <w:r w:rsidRPr="00A641BE">
                    <w:rPr>
                      <w:noProof/>
                      <w:sz w:val="22"/>
                      <w:lang w:val="fr-FR"/>
                    </w:rPr>
                    <w:drawing>
                      <wp:inline distT="0" distB="0" distL="0" distR="0" wp14:anchorId="529EDC2E" wp14:editId="3371A30F">
                        <wp:extent cx="2581154" cy="25787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825465"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tretch>
                                  <a:fillRect/>
                                </a:stretch>
                              </pic:blipFill>
                              <pic:spPr bwMode="auto">
                                <a:xfrm>
                                  <a:off x="0" y="0"/>
                                  <a:ext cx="2594258" cy="2591832"/>
                                </a:xfrm>
                                <a:prstGeom prst="rect">
                                  <a:avLst/>
                                </a:prstGeom>
                                <a:noFill/>
                                <a:ln>
                                  <a:noFill/>
                                </a:ln>
                              </pic:spPr>
                            </pic:pic>
                          </a:graphicData>
                        </a:graphic>
                      </wp:inline>
                    </w:drawing>
                  </w:r>
                </w:p>
              </w:tc>
              <w:tc>
                <w:tcPr>
                  <w:tcW w:w="4763" w:type="dxa"/>
                </w:tcPr>
                <w:p w14:paraId="233E8F8D" w14:textId="77777777" w:rsidR="00762AEF" w:rsidRPr="00A641BE" w:rsidRDefault="00762AEF" w:rsidP="00437BD9">
                  <w:pPr>
                    <w:pStyle w:val="Tabletext"/>
                    <w:tabs>
                      <w:tab w:val="clear" w:pos="1134"/>
                      <w:tab w:val="clear" w:pos="2268"/>
                    </w:tabs>
                    <w:rPr>
                      <w:sz w:val="22"/>
                      <w:lang w:val="fr-FR"/>
                    </w:rPr>
                  </w:pPr>
                  <w:r w:rsidRPr="00A641BE">
                    <w:rPr>
                      <w:noProof/>
                      <w:sz w:val="22"/>
                      <w:lang w:val="fr-FR"/>
                    </w:rPr>
                    <w:drawing>
                      <wp:inline distT="0" distB="0" distL="0" distR="0" wp14:anchorId="298941D4" wp14:editId="11AF3185">
                        <wp:extent cx="2549171" cy="254679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772465"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tretch>
                                  <a:fillRect/>
                                </a:stretch>
                              </pic:blipFill>
                              <pic:spPr bwMode="auto">
                                <a:xfrm>
                                  <a:off x="0" y="0"/>
                                  <a:ext cx="2558275" cy="2555886"/>
                                </a:xfrm>
                                <a:prstGeom prst="rect">
                                  <a:avLst/>
                                </a:prstGeom>
                                <a:noFill/>
                                <a:ln>
                                  <a:noFill/>
                                </a:ln>
                              </pic:spPr>
                            </pic:pic>
                          </a:graphicData>
                        </a:graphic>
                      </wp:inline>
                    </w:drawing>
                  </w:r>
                </w:p>
              </w:tc>
            </w:tr>
            <w:tr w:rsidR="00762AEF" w:rsidRPr="00A641BE" w14:paraId="7387B28D" w14:textId="77777777" w:rsidTr="00762AEF">
              <w:trPr>
                <w:jc w:val="center"/>
              </w:trPr>
              <w:tc>
                <w:tcPr>
                  <w:tcW w:w="9629" w:type="dxa"/>
                  <w:gridSpan w:val="2"/>
                </w:tcPr>
                <w:p w14:paraId="0B91CD90" w14:textId="77777777" w:rsidR="00762AEF" w:rsidRPr="00A641BE" w:rsidRDefault="00762AEF" w:rsidP="002536E7">
                  <w:pPr>
                    <w:pStyle w:val="Tablehead"/>
                    <w:keepNext w:val="0"/>
                    <w:spacing w:before="240"/>
                    <w:rPr>
                      <w:lang w:val="fr-FR"/>
                    </w:rPr>
                  </w:pPr>
                  <w:r w:rsidRPr="00A641BE">
                    <w:rPr>
                      <w:lang w:val="fr-FR"/>
                    </w:rPr>
                    <w:lastRenderedPageBreak/>
                    <w:t>Couverture contrapolaire</w:t>
                  </w:r>
                </w:p>
              </w:tc>
            </w:tr>
            <w:tr w:rsidR="00762AEF" w:rsidRPr="00A641BE" w14:paraId="124C4906" w14:textId="77777777" w:rsidTr="00762AEF">
              <w:trPr>
                <w:jc w:val="center"/>
              </w:trPr>
              <w:tc>
                <w:tcPr>
                  <w:tcW w:w="4866" w:type="dxa"/>
                </w:tcPr>
                <w:p w14:paraId="37D9AFA1" w14:textId="77777777" w:rsidR="00762AEF" w:rsidRPr="00A641BE" w:rsidRDefault="00762AEF" w:rsidP="00437BD9">
                  <w:pPr>
                    <w:pStyle w:val="Tabletext"/>
                    <w:tabs>
                      <w:tab w:val="clear" w:pos="1134"/>
                      <w:tab w:val="clear" w:pos="2268"/>
                    </w:tabs>
                    <w:rPr>
                      <w:sz w:val="22"/>
                      <w:lang w:val="fr-FR"/>
                    </w:rPr>
                  </w:pPr>
                  <w:r w:rsidRPr="00A641BE">
                    <w:rPr>
                      <w:noProof/>
                      <w:sz w:val="22"/>
                      <w:lang w:val="fr-FR"/>
                    </w:rPr>
                    <w:drawing>
                      <wp:inline distT="0" distB="0" distL="0" distR="0" wp14:anchorId="090B6415" wp14:editId="150B25EA">
                        <wp:extent cx="2947928" cy="2945173"/>
                        <wp:effectExtent l="0" t="0" r="508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756452"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tretch>
                                  <a:fillRect/>
                                </a:stretch>
                              </pic:blipFill>
                              <pic:spPr bwMode="auto">
                                <a:xfrm>
                                  <a:off x="0" y="0"/>
                                  <a:ext cx="2955033" cy="2952271"/>
                                </a:xfrm>
                                <a:prstGeom prst="rect">
                                  <a:avLst/>
                                </a:prstGeom>
                                <a:noFill/>
                                <a:ln>
                                  <a:noFill/>
                                </a:ln>
                              </pic:spPr>
                            </pic:pic>
                          </a:graphicData>
                        </a:graphic>
                      </wp:inline>
                    </w:drawing>
                  </w:r>
                </w:p>
              </w:tc>
              <w:tc>
                <w:tcPr>
                  <w:tcW w:w="4763" w:type="dxa"/>
                </w:tcPr>
                <w:p w14:paraId="35337640" w14:textId="77777777" w:rsidR="00762AEF" w:rsidRPr="00A641BE" w:rsidRDefault="00762AEF" w:rsidP="00437BD9">
                  <w:pPr>
                    <w:pStyle w:val="Tabletext"/>
                    <w:tabs>
                      <w:tab w:val="clear" w:pos="1134"/>
                      <w:tab w:val="clear" w:pos="2268"/>
                    </w:tabs>
                    <w:rPr>
                      <w:sz w:val="22"/>
                      <w:lang w:val="fr-FR"/>
                    </w:rPr>
                  </w:pPr>
                  <w:r w:rsidRPr="00A641BE">
                    <w:rPr>
                      <w:noProof/>
                      <w:sz w:val="22"/>
                      <w:lang w:val="fr-FR"/>
                    </w:rPr>
                    <w:drawing>
                      <wp:inline distT="0" distB="0" distL="0" distR="0" wp14:anchorId="67BA42E5" wp14:editId="6FA53091">
                        <wp:extent cx="2828394" cy="2893671"/>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908697"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2837744" cy="2903237"/>
                                </a:xfrm>
                                <a:prstGeom prst="rect">
                                  <a:avLst/>
                                </a:prstGeom>
                                <a:noFill/>
                                <a:ln>
                                  <a:noFill/>
                                </a:ln>
                              </pic:spPr>
                            </pic:pic>
                          </a:graphicData>
                        </a:graphic>
                      </wp:inline>
                    </w:drawing>
                  </w:r>
                </w:p>
              </w:tc>
            </w:tr>
          </w:tbl>
          <w:p w14:paraId="139A2181" w14:textId="77777777" w:rsidR="00762AEF" w:rsidRPr="00A641BE" w:rsidRDefault="00762AEF" w:rsidP="002536E7">
            <w:pPr>
              <w:pStyle w:val="Tabletext"/>
              <w:tabs>
                <w:tab w:val="clear" w:pos="1134"/>
                <w:tab w:val="clear" w:pos="2268"/>
              </w:tabs>
              <w:spacing w:before="240"/>
              <w:rPr>
                <w:i/>
                <w:sz w:val="22"/>
                <w:lang w:val="fr-FR"/>
              </w:rPr>
            </w:pPr>
            <w:r w:rsidRPr="00A641BE">
              <w:rPr>
                <w:i/>
                <w:sz w:val="22"/>
                <w:lang w:val="fr-FR"/>
              </w:rPr>
              <w:t>Demande relative au réseau à satellite INSAT-EXK82.5E</w:t>
            </w:r>
          </w:p>
          <w:p w14:paraId="1B041FCB" w14:textId="650C86CF" w:rsidR="00762AEF" w:rsidRPr="00A641BE" w:rsidRDefault="00762AEF" w:rsidP="002536E7">
            <w:pPr>
              <w:pStyle w:val="Tabletext"/>
              <w:tabs>
                <w:tab w:val="clear" w:pos="1134"/>
                <w:tab w:val="clear" w:pos="2268"/>
              </w:tabs>
              <w:spacing w:before="120"/>
              <w:rPr>
                <w:sz w:val="22"/>
                <w:lang w:val="fr-FR"/>
              </w:rPr>
            </w:pPr>
            <w:r w:rsidRPr="00A641BE">
              <w:rPr>
                <w:sz w:val="22"/>
                <w:lang w:val="fr-FR"/>
              </w:rPr>
              <w:t xml:space="preserve">La CMR-19 a examiné la demande spécifique présentée par l'Inde dans le Document </w:t>
            </w:r>
            <w:r w:rsidRPr="0017049F">
              <w:rPr>
                <w:sz w:val="22"/>
                <w:lang w:val="fr-FR"/>
              </w:rPr>
              <w:t>92(Add.22)</w:t>
            </w:r>
            <w:r w:rsidRPr="00A641BE">
              <w:rPr>
                <w:sz w:val="22"/>
                <w:lang w:val="fr-FR"/>
              </w:rPr>
              <w:t xml:space="preserve"> concernant la prorogation du délai réglementaire applicable à la mise en service du réseau à satellite INSAT-EXK82.5E. Compte tenu des questions particulières soulevées dans ce document, la CMR</w:t>
            </w:r>
            <w:r w:rsidRPr="00A641BE">
              <w:rPr>
                <w:sz w:val="22"/>
                <w:lang w:val="fr-FR"/>
              </w:rPr>
              <w:noBreakHyphen/>
              <w:t>19 a décidé d'accéder à cette demande, et en conséquence, a chargé le Bureau des radiocommunications:</w:t>
            </w:r>
          </w:p>
          <w:p w14:paraId="08445EA1" w14:textId="77777777" w:rsidR="00762AEF" w:rsidRPr="00A641BE" w:rsidRDefault="00762AEF" w:rsidP="002536E7">
            <w:pPr>
              <w:pStyle w:val="Tabletext"/>
              <w:tabs>
                <w:tab w:val="clear" w:pos="284"/>
                <w:tab w:val="clear" w:pos="1134"/>
              </w:tabs>
              <w:ind w:left="576" w:hanging="574"/>
              <w:rPr>
                <w:sz w:val="22"/>
                <w:lang w:val="fr-FR"/>
              </w:rPr>
            </w:pPr>
            <w:r w:rsidRPr="00A641BE">
              <w:rPr>
                <w:sz w:val="22"/>
                <w:lang w:val="fr-FR"/>
              </w:rPr>
              <w:t>1)</w:t>
            </w:r>
            <w:r w:rsidRPr="00A641BE">
              <w:rPr>
                <w:sz w:val="22"/>
                <w:lang w:val="fr-FR"/>
              </w:rPr>
              <w:tab/>
              <w:t>d'envisager d'accorder une prorogation du délai réglementaire applicable à la mise en service des assignations de fréquence du réseau à satellite INSAT-EXK82.5E, du 30 mars 2017 au 30 juin 2017;</w:t>
            </w:r>
          </w:p>
          <w:p w14:paraId="41EEFC96" w14:textId="77777777" w:rsidR="00762AEF" w:rsidRPr="00A641BE" w:rsidRDefault="00762AEF" w:rsidP="002536E7">
            <w:pPr>
              <w:pStyle w:val="Tabletext"/>
              <w:tabs>
                <w:tab w:val="clear" w:pos="284"/>
                <w:tab w:val="clear" w:pos="1134"/>
              </w:tabs>
              <w:rPr>
                <w:sz w:val="22"/>
                <w:lang w:val="fr-FR"/>
              </w:rPr>
            </w:pPr>
            <w:r w:rsidRPr="00A641BE">
              <w:rPr>
                <w:sz w:val="22"/>
                <w:lang w:val="fr-FR"/>
              </w:rPr>
              <w:t>2)</w:t>
            </w:r>
            <w:r w:rsidRPr="00A641BE">
              <w:rPr>
                <w:sz w:val="22"/>
                <w:lang w:val="fr-FR"/>
              </w:rPr>
              <w:tab/>
              <w:t>d'établir la date de mise en service de ces assignations de fréquence au 30 juin 2017;</w:t>
            </w:r>
          </w:p>
          <w:p w14:paraId="085CE5E1" w14:textId="77777777" w:rsidR="00762AEF" w:rsidRPr="00A641BE" w:rsidRDefault="00762AEF" w:rsidP="00437BD9">
            <w:pPr>
              <w:pStyle w:val="Tabletext"/>
              <w:tabs>
                <w:tab w:val="clear" w:pos="1134"/>
              </w:tabs>
              <w:ind w:left="284" w:hanging="284"/>
              <w:rPr>
                <w:sz w:val="22"/>
                <w:lang w:val="fr-FR"/>
              </w:rPr>
            </w:pPr>
            <w:r w:rsidRPr="00A641BE">
              <w:rPr>
                <w:sz w:val="22"/>
                <w:lang w:val="fr-FR"/>
              </w:rPr>
              <w:lastRenderedPageBreak/>
              <w:t>3)</w:t>
            </w:r>
            <w:r w:rsidRPr="00A641BE">
              <w:rPr>
                <w:sz w:val="22"/>
                <w:lang w:val="fr-FR"/>
              </w:rPr>
              <w:tab/>
              <w:t xml:space="preserve">d'établir la date de suspension de l'utilisation de ces assignations de fréquence au titre du § 8.17 de l'Article 8 de l'Appendice </w:t>
            </w:r>
            <w:r w:rsidRPr="00A641BE">
              <w:rPr>
                <w:b/>
                <w:bCs/>
                <w:sz w:val="22"/>
                <w:lang w:val="fr-FR"/>
              </w:rPr>
              <w:t xml:space="preserve">30B </w:t>
            </w:r>
            <w:r w:rsidRPr="00A641BE">
              <w:rPr>
                <w:sz w:val="22"/>
                <w:lang w:val="fr-FR"/>
              </w:rPr>
              <w:t>au 3 janvier 2018 (de sorte que le délai de 3 ans avant la suspension indiquée dans cette disposition prenne fin au 3 janvier 2021);</w:t>
            </w:r>
          </w:p>
          <w:p w14:paraId="6EEBA4FA" w14:textId="3FC37894" w:rsidR="00762AEF" w:rsidRPr="00A641BE" w:rsidRDefault="00762AEF" w:rsidP="00437BD9">
            <w:pPr>
              <w:pStyle w:val="Tabletext"/>
              <w:tabs>
                <w:tab w:val="clear" w:pos="1134"/>
              </w:tabs>
              <w:ind w:left="284" w:hanging="284"/>
              <w:rPr>
                <w:sz w:val="22"/>
                <w:lang w:val="fr-FR"/>
              </w:rPr>
            </w:pPr>
            <w:r w:rsidRPr="00A641BE">
              <w:rPr>
                <w:sz w:val="22"/>
                <w:lang w:val="fr-FR"/>
              </w:rPr>
              <w:t>4)</w:t>
            </w:r>
            <w:r w:rsidRPr="00A641BE">
              <w:rPr>
                <w:sz w:val="22"/>
                <w:lang w:val="fr-FR"/>
              </w:rPr>
              <w:tab/>
              <w:t>de traiter la Partie B et la notification de ces assignations de fréquence, avec une date officielle de réception établie au</w:t>
            </w:r>
            <w:r w:rsidR="002536E7">
              <w:rPr>
                <w:sz w:val="22"/>
                <w:lang w:val="fr-FR"/>
              </w:rPr>
              <w:t> </w:t>
            </w:r>
            <w:r w:rsidRPr="00A641BE">
              <w:rPr>
                <w:sz w:val="22"/>
                <w:lang w:val="fr-FR"/>
              </w:rPr>
              <w:t>22 novembre 2019.</w:t>
            </w:r>
          </w:p>
          <w:p w14:paraId="61250C85" w14:textId="77777777" w:rsidR="00762AEF" w:rsidRPr="00A641BE" w:rsidRDefault="00762AEF" w:rsidP="002536E7">
            <w:pPr>
              <w:pStyle w:val="Tabletext"/>
              <w:tabs>
                <w:tab w:val="clear" w:pos="1134"/>
                <w:tab w:val="clear" w:pos="2268"/>
              </w:tabs>
              <w:spacing w:before="120"/>
              <w:rPr>
                <w:i/>
                <w:sz w:val="22"/>
                <w:lang w:val="fr-FR"/>
              </w:rPr>
            </w:pPr>
            <w:r w:rsidRPr="00A641BE">
              <w:rPr>
                <w:i/>
                <w:sz w:val="22"/>
                <w:lang w:val="fr-FR"/>
              </w:rPr>
              <w:t>Demande relative au réseau à satellite KYPROS-SAT-3 (39° E)</w:t>
            </w:r>
          </w:p>
          <w:p w14:paraId="655E3457" w14:textId="1B29BD25" w:rsidR="00762AEF" w:rsidRPr="00A641BE" w:rsidRDefault="00762AEF" w:rsidP="002536E7">
            <w:pPr>
              <w:pStyle w:val="Tabletext"/>
              <w:tabs>
                <w:tab w:val="clear" w:pos="1134"/>
                <w:tab w:val="clear" w:pos="2268"/>
              </w:tabs>
              <w:spacing w:before="120"/>
              <w:rPr>
                <w:sz w:val="22"/>
                <w:lang w:val="fr-FR"/>
              </w:rPr>
            </w:pPr>
            <w:r w:rsidRPr="00A641BE">
              <w:rPr>
                <w:sz w:val="22"/>
                <w:lang w:val="fr-FR"/>
              </w:rPr>
              <w:t xml:space="preserve">La CMR-19 a examiné la demande spécifique présentée par Chypre dans le Document </w:t>
            </w:r>
            <w:r w:rsidRPr="0017049F">
              <w:rPr>
                <w:sz w:val="22"/>
                <w:lang w:val="fr-FR"/>
              </w:rPr>
              <w:t>48(Add.22)</w:t>
            </w:r>
            <w:r w:rsidRPr="00A641BE">
              <w:rPr>
                <w:sz w:val="22"/>
                <w:lang w:val="fr-FR"/>
              </w:rPr>
              <w:t xml:space="preserve"> concernant la mise en service du réseau à satellite KYPROS-SAT-3 à la position orbitale 39° E. Après avoir </w:t>
            </w:r>
            <w:r w:rsidR="0017049F">
              <w:rPr>
                <w:sz w:val="22"/>
                <w:lang w:val="fr-FR"/>
              </w:rPr>
              <w:t>dissipé</w:t>
            </w:r>
            <w:r w:rsidRPr="00A641BE">
              <w:rPr>
                <w:sz w:val="22"/>
                <w:lang w:val="fr-FR"/>
              </w:rPr>
              <w:t xml:space="preserve"> les inquiétudes </w:t>
            </w:r>
            <w:r w:rsidR="0017049F">
              <w:rPr>
                <w:sz w:val="22"/>
                <w:lang w:val="fr-FR"/>
              </w:rPr>
              <w:t xml:space="preserve">initiales exprimées à propos de </w:t>
            </w:r>
            <w:r w:rsidRPr="00A641BE">
              <w:rPr>
                <w:sz w:val="22"/>
                <w:lang w:val="fr-FR"/>
              </w:rPr>
              <w:t>cette demande, la CMR</w:t>
            </w:r>
            <w:r w:rsidRPr="00A641BE">
              <w:rPr>
                <w:sz w:val="22"/>
                <w:lang w:val="fr-FR"/>
              </w:rPr>
              <w:noBreakHyphen/>
              <w:t xml:space="preserve">19 a décidé </w:t>
            </w:r>
            <w:r w:rsidR="0017049F">
              <w:rPr>
                <w:sz w:val="22"/>
                <w:lang w:val="fr-FR"/>
              </w:rPr>
              <w:t xml:space="preserve">à titre exceptionnel </w:t>
            </w:r>
            <w:r w:rsidRPr="00A641BE">
              <w:rPr>
                <w:sz w:val="22"/>
                <w:lang w:val="fr-FR"/>
              </w:rPr>
              <w:t xml:space="preserve">de fixer la date de mise en service des assignations de fréquence du réseau à satellite KYPROS-SAT-3 au 7 mars 2016. La CMR-19 a noté que l'utilisation de ces assignations de fréquence </w:t>
            </w:r>
            <w:r w:rsidR="0017049F">
              <w:rPr>
                <w:sz w:val="22"/>
                <w:lang w:val="fr-FR"/>
              </w:rPr>
              <w:t>avait par la suite</w:t>
            </w:r>
            <w:r w:rsidRPr="00A641BE">
              <w:rPr>
                <w:sz w:val="22"/>
                <w:lang w:val="fr-FR"/>
              </w:rPr>
              <w:t xml:space="preserve"> été suspendue à compter du 6 juin 2016 et </w:t>
            </w:r>
            <w:r w:rsidR="0017049F">
              <w:rPr>
                <w:sz w:val="22"/>
                <w:lang w:val="fr-FR"/>
              </w:rPr>
              <w:t>que celles-ci avaient</w:t>
            </w:r>
            <w:r w:rsidRPr="00A641BE">
              <w:rPr>
                <w:sz w:val="22"/>
                <w:lang w:val="fr-FR"/>
              </w:rPr>
              <w:t xml:space="preserve"> été remises en service avant la fin du délai réglementaire de trois ans prescrit au numéro </w:t>
            </w:r>
            <w:r w:rsidRPr="00A641BE">
              <w:rPr>
                <w:b/>
                <w:bCs/>
                <w:sz w:val="22"/>
                <w:lang w:val="fr-FR"/>
              </w:rPr>
              <w:t>11.49</w:t>
            </w:r>
            <w:r w:rsidRPr="00A641BE">
              <w:rPr>
                <w:sz w:val="22"/>
                <w:lang w:val="fr-FR"/>
              </w:rPr>
              <w:t>.</w:t>
            </w:r>
          </w:p>
          <w:p w14:paraId="6A0AC844" w14:textId="77777777" w:rsidR="00762AEF" w:rsidRPr="00A641BE" w:rsidRDefault="00762AEF" w:rsidP="002536E7">
            <w:pPr>
              <w:pStyle w:val="Tabletext"/>
              <w:tabs>
                <w:tab w:val="clear" w:pos="1134"/>
                <w:tab w:val="clear" w:pos="2268"/>
              </w:tabs>
              <w:spacing w:before="120"/>
              <w:rPr>
                <w:i/>
                <w:sz w:val="22"/>
                <w:lang w:val="fr-FR"/>
              </w:rPr>
            </w:pPr>
            <w:r w:rsidRPr="00A641BE">
              <w:rPr>
                <w:i/>
                <w:sz w:val="22"/>
                <w:lang w:val="fr-FR"/>
              </w:rPr>
              <w:t>Demande relative au réseau à satellite PALAPA-C1-B (113° E)</w:t>
            </w:r>
          </w:p>
          <w:p w14:paraId="465E81A0" w14:textId="10AA09EE" w:rsidR="00762AEF" w:rsidRPr="00A641BE" w:rsidRDefault="00762AEF" w:rsidP="002536E7">
            <w:pPr>
              <w:pStyle w:val="Tabletext"/>
              <w:tabs>
                <w:tab w:val="clear" w:pos="1134"/>
                <w:tab w:val="clear" w:pos="2268"/>
              </w:tabs>
              <w:spacing w:before="120"/>
              <w:rPr>
                <w:sz w:val="22"/>
                <w:lang w:val="fr-FR"/>
              </w:rPr>
            </w:pPr>
            <w:r w:rsidRPr="00A641BE">
              <w:rPr>
                <w:sz w:val="22"/>
                <w:lang w:val="fr-FR"/>
              </w:rPr>
              <w:t>La CMR-19 a examiné la demande spécifique présentée par l'Indonésie dans le Document </w:t>
            </w:r>
            <w:r w:rsidRPr="0017049F">
              <w:rPr>
                <w:sz w:val="22"/>
                <w:lang w:val="fr-FR"/>
              </w:rPr>
              <w:t>35(Add.25)</w:t>
            </w:r>
            <w:r w:rsidRPr="00A641BE">
              <w:rPr>
                <w:sz w:val="22"/>
                <w:lang w:val="fr-FR"/>
              </w:rPr>
              <w:t xml:space="preserve"> concernant la prorogation du délai réglementaire applicable à la mise en service des assignations de fréquence du réseau à satellite PALAPA-C1-B (113° E) dans les bandes de fréquences 11 452-11 678 MHz, 12 252-12 532 MHz, 13 758-13 984 MHz et 14 000</w:t>
            </w:r>
            <w:r w:rsidRPr="00A641BE">
              <w:rPr>
                <w:sz w:val="22"/>
                <w:lang w:val="fr-FR"/>
              </w:rPr>
              <w:noBreakHyphen/>
              <w:t>14 280 MHz, du 6 août 2019 au 31 juillet 2020. La CMR-19 a décidé d'accéder à cette demande de prorogation limitée du délai, après avoir confirmé que toutes les activités de coordination concernant ce réseau à satellite demandées par d'autres administrations pendant la CMR-19 avaient été menées à bien.</w:t>
            </w:r>
          </w:p>
        </w:tc>
      </w:tr>
      <w:tr w:rsidR="00762AEF" w:rsidRPr="00AD36B1" w14:paraId="306DCA11" w14:textId="77777777" w:rsidTr="00F75811">
        <w:tc>
          <w:tcPr>
            <w:tcW w:w="1696" w:type="dxa"/>
            <w:vMerge/>
          </w:tcPr>
          <w:p w14:paraId="11036B98" w14:textId="77777777" w:rsidR="00762AEF" w:rsidRPr="00A641BE" w:rsidRDefault="00762AEF" w:rsidP="00437BD9">
            <w:pPr>
              <w:pStyle w:val="Tablehead"/>
              <w:keepNext w:val="0"/>
              <w:jc w:val="left"/>
              <w:rPr>
                <w:bCs/>
                <w:sz w:val="22"/>
                <w:lang w:val="fr-FR"/>
              </w:rPr>
            </w:pPr>
          </w:p>
        </w:tc>
        <w:tc>
          <w:tcPr>
            <w:tcW w:w="2127" w:type="dxa"/>
          </w:tcPr>
          <w:p w14:paraId="7B1CEC0E" w14:textId="6066BA78" w:rsidR="007524A0" w:rsidRPr="00A641BE" w:rsidRDefault="007524A0" w:rsidP="00437BD9">
            <w:pPr>
              <w:pStyle w:val="Tablehead"/>
              <w:keepNext w:val="0"/>
              <w:jc w:val="left"/>
              <w:rPr>
                <w:sz w:val="22"/>
                <w:lang w:val="fr-FR"/>
              </w:rPr>
            </w:pPr>
            <w:r w:rsidRPr="00A641BE">
              <w:rPr>
                <w:sz w:val="22"/>
                <w:lang w:val="fr-FR"/>
              </w:rPr>
              <w:t>Paragraphes 10.2 à</w:t>
            </w:r>
            <w:r w:rsidR="002536E7">
              <w:rPr>
                <w:sz w:val="22"/>
                <w:lang w:val="fr-FR"/>
              </w:rPr>
              <w:t> </w:t>
            </w:r>
            <w:r w:rsidRPr="00A641BE">
              <w:rPr>
                <w:sz w:val="22"/>
                <w:lang w:val="fr-FR"/>
              </w:rPr>
              <w:t>10.4</w:t>
            </w:r>
          </w:p>
          <w:p w14:paraId="4B434FCE" w14:textId="47F7C8EF" w:rsidR="00762AEF" w:rsidRPr="00A641BE" w:rsidRDefault="007524A0" w:rsidP="00437BD9">
            <w:pPr>
              <w:pStyle w:val="Tablehead"/>
              <w:keepNext w:val="0"/>
              <w:jc w:val="left"/>
              <w:rPr>
                <w:sz w:val="22"/>
                <w:lang w:val="fr-FR"/>
              </w:rPr>
            </w:pPr>
            <w:r w:rsidRPr="00A641BE">
              <w:rPr>
                <w:sz w:val="22"/>
                <w:lang w:val="fr-FR"/>
              </w:rPr>
              <w:t xml:space="preserve">Approbation du Document </w:t>
            </w:r>
            <w:hyperlink r:id="rId38" w:history="1">
              <w:r w:rsidRPr="00EA3EF0">
                <w:rPr>
                  <w:rStyle w:val="Hyperlink"/>
                  <w:sz w:val="22"/>
                  <w:lang w:val="fr-FR"/>
                </w:rPr>
                <w:t>499</w:t>
              </w:r>
            </w:hyperlink>
          </w:p>
        </w:tc>
        <w:tc>
          <w:tcPr>
            <w:tcW w:w="11340" w:type="dxa"/>
          </w:tcPr>
          <w:p w14:paraId="0A71F585" w14:textId="45390962" w:rsidR="007524A0" w:rsidRPr="00A641BE" w:rsidRDefault="007524A0" w:rsidP="00437BD9">
            <w:pPr>
              <w:pStyle w:val="AnnexNoTitle"/>
              <w:keepNext w:val="0"/>
              <w:keepLines w:val="0"/>
              <w:spacing w:before="120" w:line="240" w:lineRule="auto"/>
              <w:rPr>
                <w:lang w:val="fr-FR"/>
              </w:rPr>
            </w:pPr>
            <w:r w:rsidRPr="00A641BE">
              <w:rPr>
                <w:lang w:val="fr-FR"/>
              </w:rPr>
              <w:t xml:space="preserve">Interprétation du Bureau des radiocommunications concernant </w:t>
            </w:r>
            <w:r w:rsidRPr="00A641BE">
              <w:rPr>
                <w:lang w:val="fr-FR"/>
              </w:rPr>
              <w:br/>
              <w:t>le point 11 du </w:t>
            </w:r>
            <w:r w:rsidRPr="00A641BE">
              <w:rPr>
                <w:i/>
                <w:iCs/>
                <w:lang w:val="fr-FR"/>
              </w:rPr>
              <w:t xml:space="preserve">décide </w:t>
            </w:r>
            <w:r w:rsidRPr="00A641BE">
              <w:rPr>
                <w:lang w:val="fr-FR"/>
              </w:rPr>
              <w:t xml:space="preserve">et l'Annexe 2 de la Résolution </w:t>
            </w:r>
            <w:r w:rsidRPr="00A641BE">
              <w:rPr>
                <w:lang w:val="fr-FR"/>
              </w:rPr>
              <w:br/>
              <w:t>[7(A)-NGSO-MILESTONES] (CMR-19)</w:t>
            </w:r>
          </w:p>
          <w:p w14:paraId="50E4B4C6" w14:textId="600C75AB" w:rsidR="007524A0" w:rsidRPr="00A641BE" w:rsidRDefault="007524A0" w:rsidP="00437BD9">
            <w:pPr>
              <w:pStyle w:val="Tabletext"/>
              <w:tabs>
                <w:tab w:val="clear" w:pos="1134"/>
                <w:tab w:val="clear" w:pos="2268"/>
              </w:tabs>
              <w:rPr>
                <w:sz w:val="22"/>
                <w:lang w:val="fr-FR"/>
              </w:rPr>
            </w:pPr>
            <w:r w:rsidRPr="00A641BE">
              <w:rPr>
                <w:sz w:val="22"/>
                <w:lang w:val="fr-FR"/>
              </w:rPr>
              <w:t xml:space="preserve">Le Bureau note que la Résolution </w:t>
            </w:r>
            <w:r w:rsidRPr="00A641BE">
              <w:rPr>
                <w:b/>
                <w:sz w:val="22"/>
                <w:lang w:val="fr-FR"/>
              </w:rPr>
              <w:t>[7(A)-NGSO-MILESTONES] (CMR-19)</w:t>
            </w:r>
            <w:r w:rsidRPr="00A641BE">
              <w:rPr>
                <w:sz w:val="22"/>
                <w:lang w:val="fr-FR"/>
              </w:rPr>
              <w:t>,</w:t>
            </w:r>
            <w:r w:rsidR="002536E7">
              <w:rPr>
                <w:sz w:val="22"/>
                <w:lang w:val="fr-FR"/>
              </w:rPr>
              <w:t xml:space="preserve"> </w:t>
            </w:r>
            <w:r w:rsidRPr="00A641BE">
              <w:rPr>
                <w:sz w:val="22"/>
                <w:lang w:val="fr-FR"/>
              </w:rPr>
              <w:t xml:space="preserve">y compris son Annexe 2, ne remplace pas la bonne application des dispositions de l'Article </w:t>
            </w:r>
            <w:r w:rsidRPr="00A641BE">
              <w:rPr>
                <w:b/>
                <w:bCs/>
                <w:sz w:val="22"/>
                <w:lang w:val="fr-FR"/>
              </w:rPr>
              <w:t>9</w:t>
            </w:r>
            <w:r w:rsidRPr="00A641BE">
              <w:rPr>
                <w:sz w:val="22"/>
                <w:lang w:val="fr-FR"/>
              </w:rPr>
              <w:t xml:space="preserve"> du Règlement des radiocommunications, en particulier du numéro </w:t>
            </w:r>
            <w:r w:rsidRPr="00A641BE">
              <w:rPr>
                <w:b/>
                <w:bCs/>
                <w:sz w:val="22"/>
                <w:lang w:val="fr-FR"/>
              </w:rPr>
              <w:t>9.6</w:t>
            </w:r>
            <w:r w:rsidRPr="00A641BE">
              <w:rPr>
                <w:sz w:val="22"/>
                <w:lang w:val="fr-FR"/>
              </w:rPr>
              <w:t xml:space="preserve"> du RR (déclenchement de la procédure de coordination), des numéros </w:t>
            </w:r>
            <w:r w:rsidRPr="00A641BE">
              <w:rPr>
                <w:b/>
                <w:bCs/>
                <w:sz w:val="22"/>
                <w:lang w:val="fr-FR"/>
              </w:rPr>
              <w:t xml:space="preserve">9.50 </w:t>
            </w:r>
            <w:r w:rsidRPr="00A641BE">
              <w:rPr>
                <w:sz w:val="22"/>
                <w:lang w:val="fr-FR"/>
              </w:rPr>
              <w:t xml:space="preserve">à </w:t>
            </w:r>
            <w:r w:rsidRPr="00A641BE">
              <w:rPr>
                <w:b/>
                <w:bCs/>
                <w:sz w:val="22"/>
                <w:lang w:val="fr-FR"/>
              </w:rPr>
              <w:t xml:space="preserve">9.52 </w:t>
            </w:r>
            <w:r w:rsidRPr="00A641BE">
              <w:rPr>
                <w:sz w:val="22"/>
                <w:lang w:val="fr-FR"/>
              </w:rPr>
              <w:t xml:space="preserve">et </w:t>
            </w:r>
            <w:r w:rsidRPr="00A641BE">
              <w:rPr>
                <w:b/>
                <w:bCs/>
                <w:sz w:val="22"/>
                <w:lang w:val="fr-FR"/>
              </w:rPr>
              <w:t>9.52C</w:t>
            </w:r>
            <w:r w:rsidRPr="00A641BE">
              <w:rPr>
                <w:sz w:val="22"/>
                <w:lang w:val="fr-FR"/>
              </w:rPr>
              <w:t xml:space="preserve"> du RR (mesures à prendre en cas de demande de coordination) et du numéro </w:t>
            </w:r>
            <w:r w:rsidRPr="00A641BE">
              <w:rPr>
                <w:b/>
                <w:bCs/>
                <w:sz w:val="22"/>
                <w:lang w:val="fr-FR"/>
              </w:rPr>
              <w:t xml:space="preserve">9.53 </w:t>
            </w:r>
            <w:r w:rsidRPr="00A641BE">
              <w:rPr>
                <w:sz w:val="22"/>
                <w:lang w:val="fr-FR"/>
              </w:rPr>
              <w:t>du RR (efforts mutuels déployés par l'administration requérante et l'administration qui répond pour surmonter les difficultés).</w:t>
            </w:r>
          </w:p>
          <w:p w14:paraId="70F7F861" w14:textId="77777777" w:rsidR="007524A0" w:rsidRPr="00A641BE" w:rsidRDefault="007524A0" w:rsidP="00437BD9">
            <w:pPr>
              <w:pStyle w:val="Tabletext"/>
              <w:tabs>
                <w:tab w:val="clear" w:pos="1134"/>
                <w:tab w:val="clear" w:pos="2268"/>
              </w:tabs>
              <w:rPr>
                <w:sz w:val="22"/>
                <w:lang w:val="fr-FR"/>
              </w:rPr>
            </w:pPr>
            <w:r w:rsidRPr="00A641BE">
              <w:rPr>
                <w:sz w:val="22"/>
                <w:lang w:val="fr-FR"/>
              </w:rPr>
              <w:lastRenderedPageBreak/>
              <w:t>Cet ensemble de dispositions crée un cadre équilibré dans lequel l'administration requérante comme l'administration qui répond effectuent une série d'actions qui constitue la procédure de coordination bilatérale:</w:t>
            </w:r>
          </w:p>
          <w:p w14:paraId="74008304" w14:textId="77777777" w:rsidR="007524A0" w:rsidRPr="00A641BE" w:rsidRDefault="007524A0" w:rsidP="002536E7">
            <w:pPr>
              <w:pStyle w:val="Tabletext"/>
              <w:tabs>
                <w:tab w:val="clear" w:pos="284"/>
                <w:tab w:val="clear" w:pos="1134"/>
              </w:tabs>
              <w:rPr>
                <w:sz w:val="22"/>
                <w:lang w:val="fr-FR"/>
              </w:rPr>
            </w:pPr>
            <w:r w:rsidRPr="00A641BE">
              <w:rPr>
                <w:sz w:val="22"/>
                <w:lang w:val="fr-FR"/>
              </w:rPr>
              <w:t>–</w:t>
            </w:r>
            <w:r w:rsidRPr="00A641BE">
              <w:rPr>
                <w:sz w:val="22"/>
                <w:lang w:val="fr-FR"/>
              </w:rPr>
              <w:tab/>
              <w:t xml:space="preserve">l'administration requérante déclenche la procédure; </w:t>
            </w:r>
          </w:p>
          <w:p w14:paraId="52AF324E" w14:textId="77777777" w:rsidR="007524A0" w:rsidRPr="00A641BE" w:rsidRDefault="007524A0" w:rsidP="002536E7">
            <w:pPr>
              <w:pStyle w:val="Tabletext"/>
              <w:tabs>
                <w:tab w:val="clear" w:pos="284"/>
                <w:tab w:val="clear" w:pos="1134"/>
              </w:tabs>
              <w:ind w:left="576" w:hanging="576"/>
              <w:rPr>
                <w:sz w:val="22"/>
                <w:lang w:val="fr-FR"/>
              </w:rPr>
            </w:pPr>
            <w:r w:rsidRPr="00A641BE">
              <w:rPr>
                <w:sz w:val="22"/>
                <w:lang w:val="fr-FR"/>
              </w:rPr>
              <w:t>–</w:t>
            </w:r>
            <w:r w:rsidRPr="00A641BE">
              <w:rPr>
                <w:sz w:val="22"/>
                <w:lang w:val="fr-FR"/>
              </w:rPr>
              <w:tab/>
              <w:t xml:space="preserve">l'administration concernée répond à cette demande en donnant son accord ou en faisant part de son désaccord et en fournissant des informations concernant celles de ses assignations qui font l'objet du désaccord ainsi qu'en formulant des suggestions qu'elle est en mesure de faire en vue de résoudre le problème de façon satisfaisante; </w:t>
            </w:r>
          </w:p>
          <w:p w14:paraId="2629ABEF" w14:textId="77777777" w:rsidR="007524A0" w:rsidRPr="00A641BE" w:rsidRDefault="007524A0" w:rsidP="002536E7">
            <w:pPr>
              <w:pStyle w:val="Tabletext"/>
              <w:tabs>
                <w:tab w:val="clear" w:pos="284"/>
                <w:tab w:val="clear" w:pos="1134"/>
              </w:tabs>
              <w:ind w:left="576" w:hanging="576"/>
              <w:rPr>
                <w:sz w:val="22"/>
                <w:lang w:val="fr-FR"/>
              </w:rPr>
            </w:pPr>
            <w:r w:rsidRPr="00A641BE">
              <w:rPr>
                <w:sz w:val="22"/>
                <w:lang w:val="fr-FR"/>
              </w:rPr>
              <w:t>–</w:t>
            </w:r>
            <w:r w:rsidRPr="00A641BE">
              <w:rPr>
                <w:sz w:val="22"/>
                <w:lang w:val="fr-FR"/>
              </w:rPr>
              <w:tab/>
              <w:t>les administrations font de concert tous les efforts possibles pour surmonter les difficultés, d'une manière qui soit acceptable par les parties concernées.</w:t>
            </w:r>
          </w:p>
          <w:p w14:paraId="27B5C23F" w14:textId="77777777" w:rsidR="007524A0" w:rsidRPr="00A641BE" w:rsidRDefault="007524A0" w:rsidP="00BF5AF8">
            <w:pPr>
              <w:pStyle w:val="Tabletext"/>
              <w:tabs>
                <w:tab w:val="clear" w:pos="1134"/>
                <w:tab w:val="clear" w:pos="2268"/>
              </w:tabs>
              <w:spacing w:before="120"/>
              <w:rPr>
                <w:sz w:val="22"/>
                <w:lang w:val="fr-FR"/>
              </w:rPr>
            </w:pPr>
            <w:r w:rsidRPr="00A641BE">
              <w:rPr>
                <w:sz w:val="22"/>
                <w:lang w:val="fr-FR"/>
              </w:rPr>
              <w:t xml:space="preserve">Par conséquent, le Bureau croit comprendre qu'il sera demandé aux administrations notificatrices, lorsqu'elles fournissent, entre autres, le rapport demandé au § 3 de l'Annexe 2 de la Résolution </w:t>
            </w:r>
            <w:r w:rsidRPr="00A641BE">
              <w:rPr>
                <w:b/>
                <w:sz w:val="22"/>
                <w:lang w:val="fr-FR"/>
              </w:rPr>
              <w:t>[7(A)-NGSO-MILESTONES] (CMR-19)</w:t>
            </w:r>
            <w:r w:rsidRPr="00A641BE">
              <w:rPr>
                <w:sz w:val="22"/>
                <w:lang w:val="fr-FR"/>
              </w:rPr>
              <w:t xml:space="preserve"> en application du point 11 du </w:t>
            </w:r>
            <w:r w:rsidRPr="00A641BE">
              <w:rPr>
                <w:i/>
                <w:iCs/>
                <w:sz w:val="22"/>
                <w:lang w:val="fr-FR"/>
              </w:rPr>
              <w:t>décide</w:t>
            </w:r>
            <w:r w:rsidRPr="00A641BE">
              <w:rPr>
                <w:sz w:val="22"/>
                <w:lang w:val="fr-FR"/>
              </w:rPr>
              <w:t xml:space="preserve"> de cette résolution</w:t>
            </w:r>
            <w:r w:rsidRPr="00A641BE">
              <w:rPr>
                <w:i/>
                <w:iCs/>
                <w:sz w:val="22"/>
                <w:lang w:val="fr-FR"/>
              </w:rPr>
              <w:t>,</w:t>
            </w:r>
            <w:r w:rsidRPr="00A641BE">
              <w:rPr>
                <w:sz w:val="22"/>
                <w:lang w:val="fr-FR"/>
              </w:rPr>
              <w:t xml:space="preserve"> d'indiquer le statut de la coordination et les efforts déployés concernant la coordination avec les systèmes à satellites ou réseaux à satellite identifiés conformément aux dispositions pertinentes de la Section II de l'Article </w:t>
            </w:r>
            <w:r w:rsidRPr="00A641BE">
              <w:rPr>
                <w:b/>
                <w:bCs/>
                <w:sz w:val="22"/>
                <w:lang w:val="fr-FR"/>
              </w:rPr>
              <w:t>9</w:t>
            </w:r>
            <w:r w:rsidRPr="00A641BE">
              <w:rPr>
                <w:sz w:val="22"/>
                <w:lang w:val="fr-FR"/>
              </w:rPr>
              <w:t xml:space="preserve"> du RR.</w:t>
            </w:r>
          </w:p>
          <w:p w14:paraId="02E9BD3D" w14:textId="77777777" w:rsidR="007524A0" w:rsidRPr="00A641BE" w:rsidRDefault="007524A0" w:rsidP="00BF5AF8">
            <w:pPr>
              <w:pStyle w:val="Tabletext"/>
              <w:tabs>
                <w:tab w:val="clear" w:pos="1134"/>
                <w:tab w:val="clear" w:pos="2268"/>
              </w:tabs>
              <w:spacing w:before="120"/>
              <w:rPr>
                <w:sz w:val="22"/>
                <w:lang w:val="fr-FR"/>
              </w:rPr>
            </w:pPr>
            <w:r w:rsidRPr="00A641BE">
              <w:rPr>
                <w:sz w:val="22"/>
                <w:lang w:val="fr-FR"/>
              </w:rPr>
              <w:t xml:space="preserve">Les administrations notificatrices pourront en outre faire figurer dans ce rapport des informations sur les activités de coordination avec des systèmes à satellites ou réseaux à satellite notifiés ultérieurement dont elles ont connaissance, ce qui, selon le Bureau, est utile pour une administration demandant l'application du point 11 du </w:t>
            </w:r>
            <w:r w:rsidRPr="00A641BE">
              <w:rPr>
                <w:i/>
                <w:iCs/>
                <w:sz w:val="22"/>
                <w:lang w:val="fr-FR"/>
              </w:rPr>
              <w:t>décide.</w:t>
            </w:r>
            <w:r w:rsidRPr="00A641BE">
              <w:rPr>
                <w:sz w:val="22"/>
                <w:lang w:val="fr-FR"/>
              </w:rPr>
              <w:t xml:space="preserve"> Le Bureau note qu'il est matériellement impossible pour une telle administration d'inclure des renseignements relatifs aux cas où l'administration requérante n'a pas encore noué de contact en vue de commencer les discussions techniques et opérationnelles détaillées avant la soumission du rapport demandé dans le § 3.</w:t>
            </w:r>
          </w:p>
          <w:p w14:paraId="70596467" w14:textId="380F6925" w:rsidR="00762AEF" w:rsidRPr="00A641BE" w:rsidRDefault="007524A0" w:rsidP="00BF5AF8">
            <w:pPr>
              <w:pStyle w:val="Tabletext"/>
              <w:tabs>
                <w:tab w:val="clear" w:pos="1134"/>
                <w:tab w:val="clear" w:pos="2268"/>
              </w:tabs>
              <w:spacing w:before="120"/>
              <w:rPr>
                <w:sz w:val="22"/>
                <w:lang w:val="fr-FR"/>
              </w:rPr>
            </w:pPr>
            <w:r w:rsidRPr="00A641BE">
              <w:rPr>
                <w:sz w:val="22"/>
                <w:lang w:val="fr-FR"/>
              </w:rPr>
              <w:t xml:space="preserve">Enfin, le Bureau croit comprendre qu'en adoptant le point 11 du </w:t>
            </w:r>
            <w:r w:rsidRPr="00A641BE">
              <w:rPr>
                <w:i/>
                <w:iCs/>
                <w:sz w:val="22"/>
                <w:lang w:val="fr-FR"/>
              </w:rPr>
              <w:t>décide</w:t>
            </w:r>
            <w:r w:rsidRPr="00A641BE">
              <w:rPr>
                <w:sz w:val="22"/>
                <w:lang w:val="fr-FR"/>
              </w:rPr>
              <w:t xml:space="preserve"> et l'Annexe 2 de la Résolution </w:t>
            </w:r>
            <w:r w:rsidRPr="00A641BE">
              <w:rPr>
                <w:b/>
                <w:sz w:val="22"/>
                <w:lang w:val="fr-FR"/>
              </w:rPr>
              <w:t>[7(A)-NGSO-MILESTONES] (CMR-19)</w:t>
            </w:r>
            <w:r w:rsidRPr="00A641BE">
              <w:rPr>
                <w:sz w:val="22"/>
                <w:lang w:val="fr-FR"/>
              </w:rPr>
              <w:t>, la CMR-19 a décidé d'établir une procédure transparente qui pourra faire l'objet de commentaires: toute administration en désaccord avec le contenu d'un rapport fourni au titre du point 3 de l'Annexe 2 de cette Résolution aura la possibilité de soumettre son opinion au Comité du Règlement des radiocommunications et l'administration qui a soumis le rapport aura la possibilité de fournir des éclaircissements sur la question. Le RRB tiendra compte de ces renseignements lorsqu'il mettra en œuvre le point 11</w:t>
            </w:r>
            <w:r w:rsidRPr="00A641BE">
              <w:rPr>
                <w:i/>
                <w:iCs/>
                <w:sz w:val="22"/>
                <w:lang w:val="fr-FR"/>
              </w:rPr>
              <w:t>b)</w:t>
            </w:r>
            <w:r w:rsidRPr="00A641BE">
              <w:rPr>
                <w:sz w:val="22"/>
                <w:lang w:val="fr-FR"/>
              </w:rPr>
              <w:t xml:space="preserve"> du </w:t>
            </w:r>
            <w:r w:rsidRPr="00A641BE">
              <w:rPr>
                <w:i/>
                <w:iCs/>
                <w:sz w:val="22"/>
                <w:lang w:val="fr-FR"/>
              </w:rPr>
              <w:t xml:space="preserve">décide </w:t>
            </w:r>
            <w:r w:rsidRPr="00A641BE">
              <w:rPr>
                <w:sz w:val="22"/>
                <w:lang w:val="fr-FR"/>
              </w:rPr>
              <w:t>de cette Résolution.</w:t>
            </w:r>
          </w:p>
        </w:tc>
      </w:tr>
      <w:tr w:rsidR="00762AEF" w:rsidRPr="00AD36B1" w14:paraId="2E747245" w14:textId="77777777" w:rsidTr="00D235A4">
        <w:trPr>
          <w:cantSplit/>
        </w:trPr>
        <w:tc>
          <w:tcPr>
            <w:tcW w:w="1696" w:type="dxa"/>
            <w:vMerge/>
          </w:tcPr>
          <w:p w14:paraId="3C5AA685" w14:textId="77777777" w:rsidR="00762AEF" w:rsidRPr="00A641BE" w:rsidRDefault="00762AEF" w:rsidP="00437BD9">
            <w:pPr>
              <w:pStyle w:val="Tablehead"/>
              <w:keepNext w:val="0"/>
              <w:jc w:val="left"/>
              <w:rPr>
                <w:bCs/>
                <w:sz w:val="22"/>
                <w:lang w:val="fr-FR"/>
              </w:rPr>
            </w:pPr>
          </w:p>
        </w:tc>
        <w:tc>
          <w:tcPr>
            <w:tcW w:w="2127" w:type="dxa"/>
          </w:tcPr>
          <w:p w14:paraId="231DA5B3" w14:textId="62A857D7" w:rsidR="007524A0" w:rsidRPr="00A641BE" w:rsidRDefault="007524A0" w:rsidP="00437BD9">
            <w:pPr>
              <w:pStyle w:val="Tablehead"/>
              <w:keepNext w:val="0"/>
              <w:jc w:val="left"/>
              <w:rPr>
                <w:sz w:val="22"/>
                <w:lang w:val="fr-FR"/>
              </w:rPr>
            </w:pPr>
            <w:r w:rsidRPr="00A641BE">
              <w:rPr>
                <w:sz w:val="22"/>
                <w:lang w:val="fr-FR"/>
              </w:rPr>
              <w:t>Paragraphes 10.5 à</w:t>
            </w:r>
            <w:r w:rsidR="00BF5AF8">
              <w:rPr>
                <w:sz w:val="22"/>
                <w:lang w:val="fr-FR"/>
              </w:rPr>
              <w:t> </w:t>
            </w:r>
            <w:r w:rsidRPr="00A641BE">
              <w:rPr>
                <w:sz w:val="22"/>
                <w:lang w:val="fr-FR"/>
              </w:rPr>
              <w:t>10.7</w:t>
            </w:r>
          </w:p>
          <w:p w14:paraId="7CB30465" w14:textId="733D4204" w:rsidR="00762AEF" w:rsidRPr="00A641BE" w:rsidRDefault="007524A0" w:rsidP="00437BD9">
            <w:pPr>
              <w:pStyle w:val="Tablehead"/>
              <w:keepNext w:val="0"/>
              <w:jc w:val="left"/>
              <w:rPr>
                <w:sz w:val="22"/>
                <w:lang w:val="fr-FR"/>
              </w:rPr>
            </w:pPr>
            <w:r w:rsidRPr="00A641BE">
              <w:rPr>
                <w:sz w:val="22"/>
                <w:lang w:val="fr-FR"/>
              </w:rPr>
              <w:t xml:space="preserve">Approbation du Document </w:t>
            </w:r>
            <w:hyperlink r:id="rId39" w:history="1">
              <w:r w:rsidRPr="00EA3EF0">
                <w:rPr>
                  <w:rStyle w:val="Hyperlink"/>
                  <w:sz w:val="22"/>
                  <w:lang w:val="fr-FR"/>
                </w:rPr>
                <w:t>500</w:t>
              </w:r>
            </w:hyperlink>
          </w:p>
        </w:tc>
        <w:tc>
          <w:tcPr>
            <w:tcW w:w="11340" w:type="dxa"/>
          </w:tcPr>
          <w:p w14:paraId="48184F48" w14:textId="26F51A63" w:rsidR="007524A0" w:rsidRPr="00A641BE" w:rsidRDefault="007524A0" w:rsidP="00BF5AF8">
            <w:pPr>
              <w:pStyle w:val="Tabletext"/>
              <w:tabs>
                <w:tab w:val="clear" w:pos="1134"/>
                <w:tab w:val="clear" w:pos="2268"/>
              </w:tabs>
              <w:spacing w:before="80"/>
              <w:rPr>
                <w:sz w:val="22"/>
                <w:lang w:val="fr-FR"/>
              </w:rPr>
            </w:pPr>
            <w:r w:rsidRPr="00A641BE">
              <w:rPr>
                <w:sz w:val="22"/>
                <w:lang w:val="fr-FR"/>
              </w:rPr>
              <w:t>1</w:t>
            </w:r>
            <w:r w:rsidRPr="00A641BE">
              <w:rPr>
                <w:sz w:val="22"/>
                <w:lang w:val="fr-FR"/>
              </w:rPr>
              <w:tab/>
              <w:t>La CMR-19 a adopté une nouvelle méthode par étape pour le déploiement des systèmes à satellites non géostationnaires dans certaines bandes de fréquences et certains services. La CMR</w:t>
            </w:r>
            <w:r w:rsidRPr="00A641BE">
              <w:rPr>
                <w:sz w:val="22"/>
                <w:lang w:val="fr-FR"/>
              </w:rPr>
              <w:noBreakHyphen/>
              <w:t xml:space="preserve">19 fait savoir au Directeur du Bureau des radiocommunications qu'en adoptant cette méthode, elle n'encourage pas le recours systématique au numéro </w:t>
            </w:r>
            <w:r w:rsidRPr="00A641BE">
              <w:rPr>
                <w:b/>
                <w:bCs/>
                <w:sz w:val="22"/>
                <w:lang w:val="fr-FR"/>
              </w:rPr>
              <w:t>13.6</w:t>
            </w:r>
            <w:r w:rsidRPr="00A641BE">
              <w:rPr>
                <w:sz w:val="22"/>
                <w:lang w:val="fr-FR"/>
              </w:rPr>
              <w:t xml:space="preserve"> du Règlement des radiocommunications, en l'absence d'informations fiables, pour demander confirmation du déploiement du nombre de satellites dans les plans orbitaux notifiés pour les systèmes à satellites non géostationnaires dans les bandes de fréquences et les services qui ne sont pas énumérés au point 1 du </w:t>
            </w:r>
            <w:r w:rsidRPr="00A641BE">
              <w:rPr>
                <w:i/>
                <w:iCs/>
                <w:sz w:val="22"/>
                <w:lang w:val="fr-FR"/>
              </w:rPr>
              <w:t>décide</w:t>
            </w:r>
            <w:r w:rsidRPr="00A641BE">
              <w:rPr>
                <w:sz w:val="22"/>
                <w:lang w:val="fr-FR"/>
              </w:rPr>
              <w:t xml:space="preserve"> de la nouvelle Résolution.</w:t>
            </w:r>
          </w:p>
          <w:p w14:paraId="67A651D3" w14:textId="77777777" w:rsidR="007524A0" w:rsidRPr="00A641BE" w:rsidRDefault="007524A0" w:rsidP="00BF5AF8">
            <w:pPr>
              <w:pStyle w:val="Tabletext"/>
              <w:tabs>
                <w:tab w:val="clear" w:pos="1134"/>
                <w:tab w:val="clear" w:pos="2268"/>
              </w:tabs>
              <w:spacing w:before="80"/>
              <w:rPr>
                <w:sz w:val="22"/>
                <w:lang w:val="fr-FR"/>
              </w:rPr>
            </w:pPr>
            <w:r w:rsidRPr="00A641BE">
              <w:rPr>
                <w:sz w:val="22"/>
                <w:lang w:val="fr-FR"/>
              </w:rPr>
              <w:t>2</w:t>
            </w:r>
            <w:r w:rsidRPr="00A641BE">
              <w:rPr>
                <w:sz w:val="22"/>
                <w:lang w:val="fr-FR"/>
              </w:rPr>
              <w:tab/>
              <w:t>La CMR-19 invite l'UIT-R à étudier d'urgence les tolérances pour certaines caractéristiques orbitales des stations spatiales non OSG du service fixe par satellite, du service mobile par satellite ou du service de radiodiffusion par satellite afin de tenir compte des éventuelles différences entre les caractéristiques orbitales notifiées et celles associées aux stations spatiales déployées concernant l'inclinaison du plan orbital, l'altitude de l'apogée de la station spatiale, l'altitude du périgée de la station spatiale et l'argument du périgée du plan orbital.</w:t>
            </w:r>
          </w:p>
          <w:p w14:paraId="729DEF3B" w14:textId="77777777" w:rsidR="007524A0" w:rsidRPr="00A641BE" w:rsidRDefault="007524A0" w:rsidP="00BF5AF8">
            <w:pPr>
              <w:pStyle w:val="Tabletext"/>
              <w:tabs>
                <w:tab w:val="clear" w:pos="1134"/>
                <w:tab w:val="clear" w:pos="2268"/>
              </w:tabs>
              <w:spacing w:before="80"/>
              <w:rPr>
                <w:sz w:val="22"/>
                <w:lang w:val="fr-FR"/>
              </w:rPr>
            </w:pPr>
            <w:r w:rsidRPr="00A641BE">
              <w:rPr>
                <w:sz w:val="22"/>
                <w:lang w:val="fr-FR"/>
              </w:rPr>
              <w:t>3</w:t>
            </w:r>
            <w:r w:rsidRPr="00A641BE">
              <w:rPr>
                <w:sz w:val="22"/>
                <w:lang w:val="fr-FR"/>
              </w:rPr>
              <w:tab/>
              <w:t>La CMR-19 invite l'UIT-R à étudier d'urgence la possibilité de mettre en place une procédure postérieure aux étapes en tenant compte des dispositions du § 18 de la Résolution </w:t>
            </w:r>
            <w:r w:rsidRPr="00A641BE">
              <w:rPr>
                <w:b/>
                <w:sz w:val="22"/>
                <w:lang w:val="fr-FR"/>
              </w:rPr>
              <w:t>[7(A)- NGSO-MILESTONES]</w:t>
            </w:r>
            <w:r w:rsidRPr="00A641BE">
              <w:rPr>
                <w:sz w:val="22"/>
                <w:lang w:val="fr-FR"/>
              </w:rPr>
              <w:t>.</w:t>
            </w:r>
          </w:p>
          <w:p w14:paraId="7ABC8CDA" w14:textId="7046F7F1" w:rsidR="00762AEF" w:rsidRPr="00A641BE" w:rsidRDefault="007524A0" w:rsidP="00BF5AF8">
            <w:pPr>
              <w:pStyle w:val="Tabletext"/>
              <w:tabs>
                <w:tab w:val="clear" w:pos="1134"/>
                <w:tab w:val="clear" w:pos="2268"/>
              </w:tabs>
              <w:spacing w:before="80"/>
              <w:rPr>
                <w:sz w:val="22"/>
                <w:lang w:val="fr-FR"/>
              </w:rPr>
            </w:pPr>
            <w:r w:rsidRPr="00A641BE">
              <w:rPr>
                <w:sz w:val="22"/>
                <w:lang w:val="fr-FR"/>
              </w:rPr>
              <w:t>En outre, la CMR-19 charge le Bureau, lorsqu'il appliquera les dispositions pertinentes du RR (par exemple le numéro</w:t>
            </w:r>
            <w:r w:rsidR="00BF5AF8">
              <w:rPr>
                <w:sz w:val="22"/>
                <w:lang w:val="fr-FR"/>
              </w:rPr>
              <w:t> </w:t>
            </w:r>
            <w:r w:rsidRPr="00A641BE">
              <w:rPr>
                <w:sz w:val="22"/>
                <w:lang w:val="fr-FR"/>
              </w:rPr>
              <w:t>11.44C.2 ou le point 9</w:t>
            </w:r>
            <w:r w:rsidRPr="00A641BE">
              <w:rPr>
                <w:i/>
                <w:iCs/>
                <w:sz w:val="22"/>
                <w:lang w:val="fr-FR"/>
              </w:rPr>
              <w:t>d)</w:t>
            </w:r>
            <w:r w:rsidRPr="00A641BE">
              <w:rPr>
                <w:sz w:val="22"/>
                <w:lang w:val="fr-FR"/>
              </w:rPr>
              <w:t xml:space="preserve"> du </w:t>
            </w:r>
            <w:r w:rsidRPr="00A641BE">
              <w:rPr>
                <w:i/>
                <w:iCs/>
                <w:sz w:val="22"/>
                <w:lang w:val="fr-FR"/>
              </w:rPr>
              <w:t>décide</w:t>
            </w:r>
            <w:r w:rsidRPr="00A641BE">
              <w:rPr>
                <w:sz w:val="22"/>
                <w:lang w:val="fr-FR"/>
              </w:rPr>
              <w:t xml:space="preserve"> de la Résolution </w:t>
            </w:r>
            <w:r w:rsidRPr="00A641BE">
              <w:rPr>
                <w:b/>
                <w:sz w:val="22"/>
                <w:lang w:val="fr-FR"/>
              </w:rPr>
              <w:t>[7(A)</w:t>
            </w:r>
            <w:r w:rsidRPr="00A641BE">
              <w:rPr>
                <w:b/>
                <w:sz w:val="22"/>
                <w:lang w:val="fr-FR"/>
              </w:rPr>
              <w:noBreakHyphen/>
              <w:t>NGSO</w:t>
            </w:r>
            <w:r w:rsidRPr="00A641BE">
              <w:rPr>
                <w:b/>
                <w:sz w:val="22"/>
                <w:lang w:val="fr-FR"/>
              </w:rPr>
              <w:noBreakHyphen/>
              <w:t>MILESTONES]</w:t>
            </w:r>
            <w:r w:rsidRPr="00A641BE">
              <w:rPr>
                <w:sz w:val="22"/>
                <w:lang w:val="fr-FR"/>
              </w:rPr>
              <w:t>), de faire preuve de la plus grande prudence tant que l'UIT-R n'aura pas achevé ses études sur les tolérances.</w:t>
            </w:r>
          </w:p>
        </w:tc>
      </w:tr>
      <w:tr w:rsidR="00762AEF" w:rsidRPr="00AD36B1" w14:paraId="50A4DA65" w14:textId="77777777" w:rsidTr="00F75811">
        <w:tc>
          <w:tcPr>
            <w:tcW w:w="1696" w:type="dxa"/>
            <w:vMerge/>
          </w:tcPr>
          <w:p w14:paraId="55CFF51E" w14:textId="77777777" w:rsidR="00762AEF" w:rsidRPr="00A641BE" w:rsidRDefault="00762AEF" w:rsidP="00437BD9">
            <w:pPr>
              <w:pStyle w:val="Tablehead"/>
              <w:keepNext w:val="0"/>
              <w:jc w:val="left"/>
              <w:rPr>
                <w:bCs/>
                <w:sz w:val="22"/>
                <w:lang w:val="fr-FR"/>
              </w:rPr>
            </w:pPr>
          </w:p>
        </w:tc>
        <w:tc>
          <w:tcPr>
            <w:tcW w:w="2127" w:type="dxa"/>
          </w:tcPr>
          <w:p w14:paraId="407B127B" w14:textId="498C7623" w:rsidR="007524A0" w:rsidRPr="00A641BE" w:rsidRDefault="007524A0" w:rsidP="00437BD9">
            <w:pPr>
              <w:pStyle w:val="Tablehead"/>
              <w:keepNext w:val="0"/>
              <w:jc w:val="left"/>
              <w:rPr>
                <w:sz w:val="22"/>
                <w:lang w:val="fr-FR"/>
              </w:rPr>
            </w:pPr>
            <w:r w:rsidRPr="00A641BE">
              <w:rPr>
                <w:sz w:val="22"/>
                <w:lang w:val="fr-FR"/>
              </w:rPr>
              <w:t>Paragraphes 12.2 à</w:t>
            </w:r>
            <w:r w:rsidR="00BF5AF8">
              <w:rPr>
                <w:sz w:val="22"/>
                <w:lang w:val="fr-FR"/>
              </w:rPr>
              <w:t> </w:t>
            </w:r>
            <w:r w:rsidRPr="00A641BE">
              <w:rPr>
                <w:sz w:val="22"/>
                <w:lang w:val="fr-FR"/>
              </w:rPr>
              <w:t>12.4</w:t>
            </w:r>
          </w:p>
          <w:p w14:paraId="25FB5A57" w14:textId="52C414CE" w:rsidR="00762AEF" w:rsidRPr="00A641BE" w:rsidRDefault="007524A0" w:rsidP="00437BD9">
            <w:pPr>
              <w:pStyle w:val="Tablehead"/>
              <w:keepNext w:val="0"/>
              <w:jc w:val="left"/>
              <w:rPr>
                <w:sz w:val="22"/>
                <w:lang w:val="fr-FR"/>
              </w:rPr>
            </w:pPr>
            <w:r w:rsidRPr="00A641BE">
              <w:rPr>
                <w:sz w:val="22"/>
                <w:lang w:val="fr-FR"/>
              </w:rPr>
              <w:t xml:space="preserve">Approbation du Document </w:t>
            </w:r>
            <w:hyperlink r:id="rId40" w:history="1">
              <w:r w:rsidRPr="00EA3EF0">
                <w:rPr>
                  <w:rStyle w:val="Hyperlink"/>
                  <w:sz w:val="22"/>
                  <w:lang w:val="fr-FR"/>
                </w:rPr>
                <w:t>509</w:t>
              </w:r>
            </w:hyperlink>
          </w:p>
        </w:tc>
        <w:tc>
          <w:tcPr>
            <w:tcW w:w="11340" w:type="dxa"/>
          </w:tcPr>
          <w:p w14:paraId="7FD9E2D8" w14:textId="1619F5A3" w:rsidR="007524A0" w:rsidRPr="00A641BE" w:rsidRDefault="007524A0" w:rsidP="00437BD9">
            <w:pPr>
              <w:pStyle w:val="AnnexNoTitle"/>
              <w:keepNext w:val="0"/>
              <w:keepLines w:val="0"/>
              <w:spacing w:before="120" w:line="240" w:lineRule="auto"/>
              <w:rPr>
                <w:lang w:val="fr-FR"/>
              </w:rPr>
            </w:pPr>
            <w:r w:rsidRPr="00A641BE">
              <w:rPr>
                <w:lang w:val="fr-FR"/>
              </w:rPr>
              <w:t xml:space="preserve">Instructions données au Bureau des radiocommunications concernant l'application </w:t>
            </w:r>
            <w:r w:rsidR="00BF5AF8">
              <w:rPr>
                <w:lang w:val="fr-FR"/>
              </w:rPr>
              <w:br/>
            </w:r>
            <w:r w:rsidRPr="00A641BE">
              <w:rPr>
                <w:lang w:val="fr-FR"/>
              </w:rPr>
              <w:t>de la Résolution [A7(E)-AP30B] (CMR-19)</w:t>
            </w:r>
          </w:p>
          <w:p w14:paraId="64E066FC" w14:textId="77777777" w:rsidR="007524A0" w:rsidRPr="00A641BE" w:rsidRDefault="007524A0" w:rsidP="00BF5AF8">
            <w:pPr>
              <w:pStyle w:val="Heading1"/>
              <w:keepNext w:val="0"/>
              <w:keepLines w:val="0"/>
              <w:spacing w:before="240" w:line="240" w:lineRule="auto"/>
              <w:rPr>
                <w:lang w:val="fr-FR"/>
              </w:rPr>
            </w:pPr>
            <w:r w:rsidRPr="00A641BE">
              <w:rPr>
                <w:lang w:val="fr-FR"/>
              </w:rPr>
              <w:t>1</w:t>
            </w:r>
            <w:r w:rsidRPr="00A641BE">
              <w:rPr>
                <w:lang w:val="fr-FR"/>
              </w:rPr>
              <w:tab/>
              <w:t>Application du § 2 de la pièce jointe à la Résolution [A7(E)</w:t>
            </w:r>
            <w:r w:rsidRPr="00A641BE">
              <w:rPr>
                <w:lang w:val="fr-FR"/>
              </w:rPr>
              <w:noBreakHyphen/>
              <w:t>AP30B] (CMR-19) concernant la modification au titre du § 6.1 de l'Appendice 30B du RR d'une soumission envoyée précédemment au Bureau au titre du § 6.1 de l'Appendice 30B du RR</w:t>
            </w:r>
          </w:p>
          <w:p w14:paraId="0FDBCEC1" w14:textId="2B49F0E9" w:rsidR="007524A0" w:rsidRPr="00A641BE" w:rsidRDefault="007524A0" w:rsidP="00437BD9">
            <w:pPr>
              <w:pStyle w:val="Tabletext"/>
              <w:tabs>
                <w:tab w:val="clear" w:pos="1134"/>
                <w:tab w:val="clear" w:pos="2268"/>
              </w:tabs>
              <w:rPr>
                <w:bCs/>
                <w:sz w:val="22"/>
                <w:lang w:val="fr-FR"/>
              </w:rPr>
            </w:pPr>
            <w:r w:rsidRPr="00A641BE">
              <w:rPr>
                <w:sz w:val="22"/>
                <w:lang w:val="fr-FR"/>
              </w:rPr>
              <w:t>Lorsqu'</w:t>
            </w:r>
            <w:r w:rsidRPr="00A641BE">
              <w:rPr>
                <w:bCs/>
                <w:sz w:val="22"/>
                <w:lang w:val="fr-FR"/>
              </w:rPr>
              <w:t xml:space="preserve">en application du </w:t>
            </w:r>
            <w:r w:rsidRPr="00A641BE">
              <w:rPr>
                <w:sz w:val="22"/>
                <w:lang w:val="fr-FR"/>
              </w:rPr>
              <w:t xml:space="preserve">§ 2 de la pièce jointe à la Résolution </w:t>
            </w:r>
            <w:r w:rsidRPr="00A641BE">
              <w:rPr>
                <w:b/>
                <w:bCs/>
                <w:sz w:val="22"/>
                <w:lang w:val="fr-FR"/>
              </w:rPr>
              <w:t>[A7(E)-AP30B]</w:t>
            </w:r>
            <w:r w:rsidRPr="00A641BE">
              <w:rPr>
                <w:b/>
                <w:sz w:val="22"/>
                <w:lang w:val="fr-FR"/>
              </w:rPr>
              <w:t xml:space="preserve"> (CMR</w:t>
            </w:r>
            <w:r w:rsidRPr="00A641BE">
              <w:rPr>
                <w:b/>
                <w:sz w:val="22"/>
                <w:lang w:val="fr-FR"/>
              </w:rPr>
              <w:noBreakHyphen/>
              <w:t>19)</w:t>
            </w:r>
            <w:r w:rsidRPr="00A641BE">
              <w:rPr>
                <w:sz w:val="22"/>
                <w:lang w:val="fr-FR"/>
              </w:rPr>
              <w:t xml:space="preserve"> une administration a l'intention de modifier une soumission envoyée précédemment au Bureau au titre du § 6.1 de l'Appendice </w:t>
            </w:r>
            <w:r w:rsidRPr="00A641BE">
              <w:rPr>
                <w:b/>
                <w:sz w:val="22"/>
                <w:lang w:val="fr-FR"/>
              </w:rPr>
              <w:t>30B</w:t>
            </w:r>
            <w:r w:rsidRPr="00A641BE">
              <w:rPr>
                <w:sz w:val="22"/>
                <w:lang w:val="fr-FR"/>
              </w:rPr>
              <w:t xml:space="preserve"> du RR pour la soumettre à nouveau au titre du § 6.1 de l'Appendice </w:t>
            </w:r>
            <w:r w:rsidRPr="00A641BE">
              <w:rPr>
                <w:b/>
                <w:sz w:val="22"/>
                <w:lang w:val="fr-FR"/>
              </w:rPr>
              <w:t>30B</w:t>
            </w:r>
            <w:r w:rsidRPr="00A641BE">
              <w:rPr>
                <w:bCs/>
                <w:sz w:val="22"/>
                <w:lang w:val="fr-FR"/>
              </w:rPr>
              <w:t xml:space="preserve"> du RR en appliquant la procédure spéciale décrite dans la pièce jointe à la Résolution </w:t>
            </w:r>
            <w:r w:rsidRPr="00A641BE">
              <w:rPr>
                <w:b/>
                <w:bCs/>
                <w:sz w:val="22"/>
                <w:lang w:val="fr-FR"/>
              </w:rPr>
              <w:t>[A7(E)</w:t>
            </w:r>
            <w:r w:rsidRPr="00A641BE">
              <w:rPr>
                <w:b/>
                <w:bCs/>
                <w:sz w:val="22"/>
                <w:lang w:val="fr-FR"/>
              </w:rPr>
              <w:noBreakHyphen/>
              <w:t>AP30B]</w:t>
            </w:r>
            <w:r w:rsidRPr="00A641BE">
              <w:rPr>
                <w:sz w:val="22"/>
                <w:lang w:val="fr-FR"/>
              </w:rPr>
              <w:t xml:space="preserve"> </w:t>
            </w:r>
            <w:r w:rsidRPr="00A641BE">
              <w:rPr>
                <w:b/>
                <w:sz w:val="22"/>
                <w:lang w:val="fr-FR"/>
              </w:rPr>
              <w:t>(CMR-19)</w:t>
            </w:r>
            <w:r w:rsidRPr="00A641BE">
              <w:rPr>
                <w:sz w:val="22"/>
                <w:lang w:val="fr-FR"/>
              </w:rPr>
              <w:t xml:space="preserve">, le Bureau doit vérifier si l'ellipse minimale soumise dans le cadre de cette procédure reste dans les limites définies dans la soumission initiale au titre du § 6.1 de l'Appendice </w:t>
            </w:r>
            <w:r w:rsidRPr="00A641BE">
              <w:rPr>
                <w:b/>
                <w:sz w:val="22"/>
                <w:lang w:val="fr-FR"/>
              </w:rPr>
              <w:t xml:space="preserve">30B </w:t>
            </w:r>
            <w:r w:rsidRPr="00A641BE">
              <w:rPr>
                <w:bCs/>
                <w:sz w:val="22"/>
                <w:lang w:val="fr-FR"/>
              </w:rPr>
              <w:t>du RR</w:t>
            </w:r>
            <w:r w:rsidRPr="00A641BE">
              <w:rPr>
                <w:sz w:val="22"/>
                <w:lang w:val="fr-FR"/>
              </w:rPr>
              <w:t xml:space="preserve">. Si tel est le cas, le Bureau conservera la date initiale de réception de la première soumission au titre du § 6.1 de l'Appendice </w:t>
            </w:r>
            <w:r w:rsidRPr="00A641BE">
              <w:rPr>
                <w:b/>
                <w:sz w:val="22"/>
                <w:lang w:val="fr-FR"/>
              </w:rPr>
              <w:t xml:space="preserve">30B </w:t>
            </w:r>
            <w:r w:rsidRPr="00A641BE">
              <w:rPr>
                <w:bCs/>
                <w:sz w:val="22"/>
                <w:lang w:val="fr-FR"/>
              </w:rPr>
              <w:t>du RR</w:t>
            </w:r>
            <w:r w:rsidRPr="00A641BE">
              <w:rPr>
                <w:sz w:val="22"/>
                <w:lang w:val="fr-FR"/>
              </w:rPr>
              <w:t xml:space="preserve">, </w:t>
            </w:r>
            <w:r w:rsidRPr="00A641BE">
              <w:rPr>
                <w:sz w:val="22"/>
                <w:lang w:val="fr-FR"/>
              </w:rPr>
              <w:lastRenderedPageBreak/>
              <w:t>recommencer</w:t>
            </w:r>
            <w:r w:rsidR="0017049F">
              <w:rPr>
                <w:sz w:val="22"/>
                <w:lang w:val="fr-FR"/>
              </w:rPr>
              <w:t>a</w:t>
            </w:r>
            <w:r w:rsidRPr="00A641BE">
              <w:rPr>
                <w:sz w:val="22"/>
                <w:lang w:val="fr-FR"/>
              </w:rPr>
              <w:t xml:space="preserve"> le processus d'examen de la compatibilité avec les fiches de notification existantes et publiera une nouvelle section spéciale. Dans le cas contraire, le Bureau donnera une nouvelle date de réception, qui correspond à la date à laquelle la demande d'application de cette procédure a été reçue.</w:t>
            </w:r>
          </w:p>
          <w:p w14:paraId="7E978997" w14:textId="77777777" w:rsidR="007524A0" w:rsidRPr="00A641BE" w:rsidRDefault="007524A0" w:rsidP="00437BD9">
            <w:pPr>
              <w:pStyle w:val="Heading1"/>
              <w:keepNext w:val="0"/>
              <w:keepLines w:val="0"/>
              <w:spacing w:before="120" w:line="240" w:lineRule="auto"/>
              <w:rPr>
                <w:lang w:val="fr-FR"/>
              </w:rPr>
            </w:pPr>
            <w:r w:rsidRPr="00A641BE">
              <w:rPr>
                <w:lang w:val="fr-FR"/>
              </w:rPr>
              <w:t>2</w:t>
            </w:r>
            <w:r w:rsidRPr="00A641BE">
              <w:rPr>
                <w:lang w:val="fr-FR"/>
              </w:rPr>
              <w:tab/>
              <w:t>Application du § 2 de la pièce jointe à la Résolution [A7(E)</w:t>
            </w:r>
            <w:r w:rsidRPr="00A641BE">
              <w:rPr>
                <w:lang w:val="fr-FR"/>
              </w:rPr>
              <w:noBreakHyphen/>
              <w:t>AP30B] (CMR-19) concernant la présentation d'une soumission directement au titre du § 6.17 de l'Appendice 30B du RR, d'une soumission envoyée précédemment au Bureau au titre du § 6.1 de l'Appendice 30B du RR</w:t>
            </w:r>
          </w:p>
          <w:p w14:paraId="16867100" w14:textId="77777777" w:rsidR="007524A0" w:rsidRPr="00A641BE" w:rsidRDefault="007524A0" w:rsidP="00BF5AF8">
            <w:pPr>
              <w:pStyle w:val="Tabletext"/>
              <w:tabs>
                <w:tab w:val="clear" w:pos="284"/>
                <w:tab w:val="clear" w:pos="1134"/>
              </w:tabs>
              <w:spacing w:before="80"/>
              <w:rPr>
                <w:sz w:val="22"/>
                <w:lang w:val="fr-FR"/>
              </w:rPr>
            </w:pPr>
            <w:r w:rsidRPr="00A641BE">
              <w:rPr>
                <w:sz w:val="22"/>
                <w:lang w:val="fr-FR"/>
              </w:rPr>
              <w:t>a)</w:t>
            </w:r>
            <w:r w:rsidRPr="00A641BE">
              <w:rPr>
                <w:sz w:val="22"/>
                <w:lang w:val="fr-FR"/>
              </w:rPr>
              <w:tab/>
              <w:t>Soumission d'une ellipse au titre du § 6.17 de l'Appendice 30B du RR</w:t>
            </w:r>
          </w:p>
          <w:p w14:paraId="3EA9CC51" w14:textId="77777777" w:rsidR="007524A0" w:rsidRPr="00A641BE" w:rsidRDefault="007524A0" w:rsidP="00BF5AF8">
            <w:pPr>
              <w:pStyle w:val="Tabletext"/>
              <w:tabs>
                <w:tab w:val="clear" w:pos="284"/>
                <w:tab w:val="clear" w:pos="1134"/>
              </w:tabs>
              <w:spacing w:before="80"/>
              <w:ind w:left="567" w:hanging="567"/>
              <w:rPr>
                <w:bCs/>
                <w:sz w:val="22"/>
                <w:lang w:val="fr-FR"/>
              </w:rPr>
            </w:pPr>
            <w:r w:rsidRPr="00A641BE">
              <w:rPr>
                <w:sz w:val="22"/>
                <w:lang w:val="fr-FR"/>
              </w:rPr>
              <w:tab/>
              <w:t xml:space="preserve">Lorsqu'en application du § 2 de la pièce jointe à la Résolution </w:t>
            </w:r>
            <w:r w:rsidRPr="00A641BE">
              <w:rPr>
                <w:b/>
                <w:bCs/>
                <w:sz w:val="22"/>
                <w:lang w:val="fr-FR"/>
              </w:rPr>
              <w:t>[A7(E)</w:t>
            </w:r>
            <w:r w:rsidRPr="00A641BE">
              <w:rPr>
                <w:b/>
                <w:bCs/>
                <w:sz w:val="22"/>
                <w:lang w:val="fr-FR"/>
              </w:rPr>
              <w:noBreakHyphen/>
              <w:t>AP30B]</w:t>
            </w:r>
            <w:r w:rsidRPr="00A641BE">
              <w:rPr>
                <w:b/>
                <w:sz w:val="22"/>
                <w:lang w:val="fr-FR"/>
              </w:rPr>
              <w:t xml:space="preserve"> (CMR</w:t>
            </w:r>
            <w:r w:rsidRPr="00A641BE">
              <w:rPr>
                <w:b/>
                <w:sz w:val="22"/>
                <w:lang w:val="fr-FR"/>
              </w:rPr>
              <w:noBreakHyphen/>
              <w:t>19)</w:t>
            </w:r>
            <w:r w:rsidRPr="00A641BE">
              <w:rPr>
                <w:sz w:val="22"/>
                <w:lang w:val="fr-FR"/>
              </w:rPr>
              <w:t xml:space="preserve">, une administration a l'intention de présenter une soumission directement au titre du § 6.17 de l'Appendice </w:t>
            </w:r>
            <w:r w:rsidRPr="00A641BE">
              <w:rPr>
                <w:b/>
                <w:sz w:val="22"/>
                <w:lang w:val="fr-FR"/>
              </w:rPr>
              <w:t>30B</w:t>
            </w:r>
            <w:r w:rsidRPr="00A641BE">
              <w:rPr>
                <w:bCs/>
                <w:sz w:val="22"/>
                <w:lang w:val="fr-FR"/>
              </w:rPr>
              <w:t xml:space="preserve"> du RR et d'appliquer la procédure spéciale décrite dans la pièce jointe à la Résolution </w:t>
            </w:r>
            <w:r w:rsidRPr="00A641BE">
              <w:rPr>
                <w:b/>
                <w:bCs/>
                <w:sz w:val="22"/>
                <w:lang w:val="fr-FR"/>
              </w:rPr>
              <w:t>[A7(E)</w:t>
            </w:r>
            <w:r w:rsidRPr="00A641BE">
              <w:rPr>
                <w:b/>
                <w:bCs/>
                <w:sz w:val="22"/>
                <w:lang w:val="fr-FR"/>
              </w:rPr>
              <w:noBreakHyphen/>
              <w:t xml:space="preserve">AP30B] </w:t>
            </w:r>
            <w:r w:rsidRPr="00A641BE">
              <w:rPr>
                <w:b/>
                <w:sz w:val="22"/>
                <w:lang w:val="fr-FR"/>
              </w:rPr>
              <w:t>(CMR-19)</w:t>
            </w:r>
            <w:r w:rsidRPr="00A641BE">
              <w:rPr>
                <w:bCs/>
                <w:sz w:val="22"/>
                <w:lang w:val="fr-FR"/>
              </w:rPr>
              <w:t xml:space="preserve"> pour une soumission envoyée précédemment au Bureau au titre du </w:t>
            </w:r>
            <w:r w:rsidRPr="00A641BE">
              <w:rPr>
                <w:sz w:val="22"/>
                <w:lang w:val="fr-FR"/>
              </w:rPr>
              <w:t xml:space="preserve">§ 6.1 de l'Appendice </w:t>
            </w:r>
            <w:r w:rsidRPr="00A641BE">
              <w:rPr>
                <w:b/>
                <w:sz w:val="22"/>
                <w:lang w:val="fr-FR"/>
              </w:rPr>
              <w:t xml:space="preserve">30B </w:t>
            </w:r>
            <w:r w:rsidRPr="00A641BE">
              <w:rPr>
                <w:bCs/>
                <w:sz w:val="22"/>
                <w:lang w:val="fr-FR"/>
              </w:rPr>
              <w:t>du RR</w:t>
            </w:r>
            <w:r w:rsidRPr="00A641BE">
              <w:rPr>
                <w:sz w:val="22"/>
                <w:lang w:val="fr-FR"/>
              </w:rPr>
              <w:t xml:space="preserve">, le Bureau doit vérifier si l'ellipse minimale soumise dans le cadre de cette procédure reste dans les limites définies dans la soumission initiale au titre du § 6.1 de l'Appendice </w:t>
            </w:r>
            <w:r w:rsidRPr="00A641BE">
              <w:rPr>
                <w:b/>
                <w:sz w:val="22"/>
                <w:lang w:val="fr-FR"/>
              </w:rPr>
              <w:t xml:space="preserve">30B </w:t>
            </w:r>
            <w:r w:rsidRPr="00A641BE">
              <w:rPr>
                <w:bCs/>
                <w:sz w:val="22"/>
                <w:lang w:val="fr-FR"/>
              </w:rPr>
              <w:t>du RR</w:t>
            </w:r>
            <w:r w:rsidRPr="00A641BE">
              <w:rPr>
                <w:sz w:val="22"/>
                <w:lang w:val="fr-FR"/>
              </w:rPr>
              <w:t xml:space="preserve">. Si tel est le cas, le Bureau conservera la date initiale de réception de la première soumission au titre du § 6.1 de l'Appendice </w:t>
            </w:r>
            <w:r w:rsidRPr="00A641BE">
              <w:rPr>
                <w:b/>
                <w:sz w:val="22"/>
                <w:lang w:val="fr-FR"/>
              </w:rPr>
              <w:t>30B</w:t>
            </w:r>
            <w:r w:rsidRPr="00A641BE">
              <w:rPr>
                <w:sz w:val="22"/>
                <w:lang w:val="fr-FR"/>
              </w:rPr>
              <w:t xml:space="preserve"> du RR et effectuera l'analyse au titre du § 6.17 de l'Appendice </w:t>
            </w:r>
            <w:r w:rsidRPr="00A641BE">
              <w:rPr>
                <w:b/>
                <w:sz w:val="22"/>
                <w:lang w:val="fr-FR"/>
              </w:rPr>
              <w:t>30B</w:t>
            </w:r>
            <w:r w:rsidRPr="00A641BE">
              <w:rPr>
                <w:sz w:val="22"/>
                <w:lang w:val="fr-FR"/>
              </w:rPr>
              <w:t xml:space="preserve"> du RR sur la base de cette ellipse minimale. Dans le cas contraire, le Bureau retournera la fiche de notification à l'administration.</w:t>
            </w:r>
          </w:p>
          <w:p w14:paraId="13100590" w14:textId="77777777" w:rsidR="007524A0" w:rsidRPr="00A641BE" w:rsidRDefault="007524A0" w:rsidP="00BF5AF8">
            <w:pPr>
              <w:pStyle w:val="Tabletext"/>
              <w:tabs>
                <w:tab w:val="clear" w:pos="284"/>
                <w:tab w:val="clear" w:pos="1134"/>
              </w:tabs>
              <w:spacing w:before="80"/>
              <w:rPr>
                <w:sz w:val="22"/>
                <w:lang w:val="fr-FR"/>
              </w:rPr>
            </w:pPr>
            <w:r w:rsidRPr="00A641BE">
              <w:rPr>
                <w:sz w:val="22"/>
                <w:lang w:val="fr-FR"/>
              </w:rPr>
              <w:t>b)</w:t>
            </w:r>
            <w:r w:rsidRPr="00A641BE">
              <w:rPr>
                <w:sz w:val="22"/>
                <w:lang w:val="fr-FR"/>
              </w:rPr>
              <w:tab/>
              <w:t>Soumission d'un faisceau conformé au titre du § 6.17 de l'Appendice 30B du RR</w:t>
            </w:r>
          </w:p>
          <w:p w14:paraId="68B21963" w14:textId="7E348B07" w:rsidR="007524A0" w:rsidRDefault="007524A0" w:rsidP="00BF5AF8">
            <w:pPr>
              <w:pStyle w:val="Tabletext"/>
              <w:tabs>
                <w:tab w:val="clear" w:pos="284"/>
                <w:tab w:val="clear" w:pos="1134"/>
              </w:tabs>
              <w:spacing w:before="80"/>
              <w:ind w:left="567" w:hanging="567"/>
              <w:rPr>
                <w:sz w:val="22"/>
                <w:lang w:val="fr-FR"/>
              </w:rPr>
            </w:pPr>
            <w:r w:rsidRPr="00A641BE">
              <w:rPr>
                <w:sz w:val="22"/>
                <w:lang w:val="fr-FR"/>
              </w:rPr>
              <w:tab/>
              <w:t>Lorsque, en application du § 2 de la pièce jointe à la Résolution [</w:t>
            </w:r>
            <w:r w:rsidRPr="00A641BE">
              <w:rPr>
                <w:b/>
                <w:bCs/>
                <w:sz w:val="22"/>
                <w:lang w:val="fr-FR"/>
              </w:rPr>
              <w:t>A7(E)-AP30B] (CMR-19)</w:t>
            </w:r>
            <w:r w:rsidRPr="00A641BE">
              <w:rPr>
                <w:sz w:val="22"/>
                <w:lang w:val="fr-FR"/>
              </w:rPr>
              <w:t xml:space="preserve">, une administration a l'intention de présenter une soumission directement au titre du § 6.17 de l'Appendice </w:t>
            </w:r>
            <w:r w:rsidRPr="00A641BE">
              <w:rPr>
                <w:b/>
                <w:bCs/>
                <w:sz w:val="22"/>
                <w:lang w:val="fr-FR"/>
              </w:rPr>
              <w:t>30B</w:t>
            </w:r>
            <w:r w:rsidRPr="00A641BE">
              <w:rPr>
                <w:sz w:val="22"/>
                <w:lang w:val="fr-FR"/>
              </w:rPr>
              <w:t xml:space="preserve"> du RR et d'appliquer la procédure spéciale décrite dans la pièce jointe à la Résolution </w:t>
            </w:r>
            <w:r w:rsidRPr="00A641BE">
              <w:rPr>
                <w:b/>
                <w:bCs/>
                <w:sz w:val="22"/>
                <w:lang w:val="fr-FR"/>
              </w:rPr>
              <w:t>[A7(E)</w:t>
            </w:r>
            <w:r w:rsidRPr="00A641BE">
              <w:rPr>
                <w:b/>
                <w:bCs/>
                <w:sz w:val="22"/>
                <w:lang w:val="fr-FR"/>
              </w:rPr>
              <w:noBreakHyphen/>
              <w:t>AP30B] (CMR-19)</w:t>
            </w:r>
            <w:r w:rsidRPr="00A641BE">
              <w:rPr>
                <w:sz w:val="22"/>
                <w:lang w:val="fr-FR"/>
              </w:rPr>
              <w:t xml:space="preserve"> pour une soumission envoyée précédemment au Bureau au titre du § 6.1 de l'Appendice </w:t>
            </w:r>
            <w:r w:rsidRPr="00A641BE">
              <w:rPr>
                <w:b/>
                <w:bCs/>
                <w:sz w:val="22"/>
                <w:lang w:val="fr-FR"/>
              </w:rPr>
              <w:t xml:space="preserve">30B </w:t>
            </w:r>
            <w:r w:rsidRPr="00A641BE">
              <w:rPr>
                <w:sz w:val="22"/>
                <w:lang w:val="fr-FR"/>
              </w:rPr>
              <w:t xml:space="preserve">du RR, le Bureau doit vérifier si le faisceau conformé soumis dans le cadre de cette procédure reste dans les limites de l'ellipse minimale définies par le Bureau, compte tenu des points de mesure associés, et dans les limites définies dans la soumission initiale au titre du § 6.1 de l'Appendice </w:t>
            </w:r>
            <w:r w:rsidRPr="00A641BE">
              <w:rPr>
                <w:b/>
                <w:sz w:val="22"/>
                <w:lang w:val="fr-FR"/>
              </w:rPr>
              <w:t xml:space="preserve">30B </w:t>
            </w:r>
            <w:r w:rsidRPr="00A641BE">
              <w:rPr>
                <w:bCs/>
                <w:sz w:val="22"/>
                <w:lang w:val="fr-FR"/>
              </w:rPr>
              <w:t xml:space="preserve">du RR. Si tel est le cas, le Bureau conservera la date initiale de réception de la première soumission au titre du </w:t>
            </w:r>
            <w:r w:rsidRPr="00A641BE">
              <w:rPr>
                <w:sz w:val="22"/>
                <w:lang w:val="fr-FR"/>
              </w:rPr>
              <w:t xml:space="preserve">§ 6.1 de l'Appendice </w:t>
            </w:r>
            <w:r w:rsidRPr="00A641BE">
              <w:rPr>
                <w:b/>
                <w:sz w:val="22"/>
                <w:lang w:val="fr-FR"/>
              </w:rPr>
              <w:t>30B</w:t>
            </w:r>
            <w:r w:rsidRPr="00A641BE">
              <w:rPr>
                <w:bCs/>
                <w:sz w:val="22"/>
                <w:lang w:val="fr-FR"/>
              </w:rPr>
              <w:t xml:space="preserve"> du RR et effectuera l'analyse au titre du </w:t>
            </w:r>
            <w:r w:rsidRPr="00A641BE">
              <w:rPr>
                <w:sz w:val="22"/>
                <w:lang w:val="fr-FR"/>
              </w:rPr>
              <w:t>§ 6.17 de l'Appendice </w:t>
            </w:r>
            <w:r w:rsidRPr="00A641BE">
              <w:rPr>
                <w:b/>
                <w:bCs/>
                <w:sz w:val="22"/>
                <w:lang w:val="fr-FR"/>
              </w:rPr>
              <w:t>30B</w:t>
            </w:r>
            <w:r w:rsidRPr="00A641BE">
              <w:rPr>
                <w:sz w:val="22"/>
                <w:lang w:val="fr-FR"/>
              </w:rPr>
              <w:t xml:space="preserve"> du RR sur la base de cette ellipse minimale. Dans le cas contraire, le Bureau retournera la fiche de notification à l'administration.</w:t>
            </w:r>
          </w:p>
          <w:p w14:paraId="40C68108" w14:textId="77777777" w:rsidR="00BF5AF8" w:rsidRPr="00A641BE" w:rsidRDefault="00BF5AF8" w:rsidP="00BF5AF8">
            <w:pPr>
              <w:pStyle w:val="Tabletext"/>
              <w:tabs>
                <w:tab w:val="clear" w:pos="284"/>
                <w:tab w:val="clear" w:pos="1134"/>
              </w:tabs>
              <w:spacing w:before="80"/>
              <w:ind w:left="567" w:hanging="567"/>
              <w:rPr>
                <w:sz w:val="22"/>
                <w:lang w:val="fr-FR"/>
              </w:rPr>
            </w:pPr>
          </w:p>
          <w:p w14:paraId="1384CE06" w14:textId="77777777" w:rsidR="007524A0" w:rsidRPr="00A641BE" w:rsidRDefault="007524A0" w:rsidP="00BF5AF8">
            <w:pPr>
              <w:pStyle w:val="Heading1"/>
              <w:keepNext w:val="0"/>
              <w:keepLines w:val="0"/>
              <w:spacing w:before="240" w:line="240" w:lineRule="auto"/>
              <w:rPr>
                <w:lang w:val="fr-FR"/>
              </w:rPr>
            </w:pPr>
            <w:r w:rsidRPr="00A641BE">
              <w:rPr>
                <w:lang w:val="fr-FR"/>
              </w:rPr>
              <w:lastRenderedPageBreak/>
              <w:t>3</w:t>
            </w:r>
            <w:r w:rsidRPr="00A641BE">
              <w:rPr>
                <w:lang w:val="fr-FR"/>
              </w:rPr>
              <w:tab/>
              <w:t>Faisceau à créer en cas de soumission d'un système additionnel par une administration agissant au nom d'un groupe d'administrations nommément désignées</w:t>
            </w:r>
          </w:p>
          <w:p w14:paraId="68E07499" w14:textId="77777777" w:rsidR="007524A0" w:rsidRPr="00A641BE" w:rsidRDefault="007524A0" w:rsidP="00437BD9">
            <w:pPr>
              <w:pStyle w:val="Tabletext"/>
              <w:tabs>
                <w:tab w:val="clear" w:pos="1134"/>
                <w:tab w:val="clear" w:pos="2268"/>
              </w:tabs>
              <w:rPr>
                <w:sz w:val="22"/>
                <w:lang w:val="fr-FR"/>
              </w:rPr>
            </w:pPr>
            <w:r w:rsidRPr="00A641BE">
              <w:rPr>
                <w:sz w:val="22"/>
                <w:lang w:val="fr-FR"/>
              </w:rPr>
              <w:t>Pour une soumission d'un système additionnel par une administration agissant au nom d'un groupe d'administrations nommément désignées, le faisceau de la soumission est produit en combinant toutes les ellipses minimales individuelles associées à chacune des administrations du groupe:</w:t>
            </w:r>
          </w:p>
          <w:p w14:paraId="05E6092C" w14:textId="77777777" w:rsidR="007524A0" w:rsidRPr="00A641BE" w:rsidRDefault="007524A0" w:rsidP="00BF5AF8">
            <w:pPr>
              <w:pStyle w:val="Tabletext"/>
              <w:tabs>
                <w:tab w:val="clear" w:pos="284"/>
                <w:tab w:val="clear" w:pos="1134"/>
              </w:tabs>
              <w:ind w:left="567" w:hanging="567"/>
              <w:rPr>
                <w:sz w:val="22"/>
                <w:lang w:val="fr-FR"/>
              </w:rPr>
            </w:pPr>
            <w:r w:rsidRPr="00A641BE">
              <w:rPr>
                <w:sz w:val="22"/>
                <w:lang w:val="fr-FR"/>
              </w:rPr>
              <w:t>–</w:t>
            </w:r>
            <w:r w:rsidRPr="00A641BE">
              <w:rPr>
                <w:sz w:val="22"/>
                <w:lang w:val="fr-FR"/>
              </w:rPr>
              <w:tab/>
              <w:t>Si toutes les ellipses minimales individuelles se chevauchent, le faisceau ne contient qu'une zone de couverture formée par les contours liés à la combinaison de toutes les ellipses minimales individuelles.</w:t>
            </w:r>
          </w:p>
          <w:p w14:paraId="64FA8C90" w14:textId="77777777" w:rsidR="007524A0" w:rsidRPr="00A641BE" w:rsidRDefault="007524A0" w:rsidP="00BF5AF8">
            <w:pPr>
              <w:pStyle w:val="Tabletext"/>
              <w:tabs>
                <w:tab w:val="clear" w:pos="284"/>
                <w:tab w:val="clear" w:pos="1134"/>
              </w:tabs>
              <w:ind w:left="567" w:hanging="567"/>
              <w:rPr>
                <w:sz w:val="22"/>
                <w:lang w:val="fr-FR"/>
              </w:rPr>
            </w:pPr>
            <w:r w:rsidRPr="00A641BE">
              <w:rPr>
                <w:sz w:val="22"/>
                <w:lang w:val="fr-FR"/>
              </w:rPr>
              <w:t>–</w:t>
            </w:r>
            <w:r w:rsidRPr="00A641BE">
              <w:rPr>
                <w:sz w:val="22"/>
                <w:lang w:val="fr-FR"/>
              </w:rPr>
              <w:tab/>
              <w:t>Si toutes les ellipses minimales individuelles ne se chevauchent pas, le faisceau est constitué de plusieurs faisceaux ponctuels découlant des ellipses qui ne se chevauchent pas, et chaque faisceau ponctuel est formé par les contours liés à la combinaison des ellipses minimales individuelles qui se chevauchent.</w:t>
            </w:r>
          </w:p>
          <w:p w14:paraId="7AEF5743" w14:textId="77777777" w:rsidR="007524A0" w:rsidRPr="00A641BE" w:rsidRDefault="007524A0" w:rsidP="00BF5AF8">
            <w:pPr>
              <w:pStyle w:val="Heading1"/>
              <w:keepNext w:val="0"/>
              <w:keepLines w:val="0"/>
              <w:spacing w:before="240" w:line="240" w:lineRule="auto"/>
              <w:rPr>
                <w:lang w:val="fr-FR"/>
              </w:rPr>
            </w:pPr>
            <w:r w:rsidRPr="00A641BE">
              <w:rPr>
                <w:lang w:val="fr-FR"/>
              </w:rPr>
              <w:t>4</w:t>
            </w:r>
            <w:r w:rsidRPr="00A641BE">
              <w:rPr>
                <w:lang w:val="fr-FR"/>
              </w:rPr>
              <w:tab/>
              <w:t>Application du § 12 de la pièce jointe à la Résolution [A7(E)</w:t>
            </w:r>
            <w:r w:rsidRPr="00A641BE">
              <w:rPr>
                <w:lang w:val="fr-FR"/>
              </w:rPr>
              <w:noBreakHyphen/>
              <w:t>AP30B] (CMR-19) lorsque l'administration notificatrice du réseau existant ne collabore pas</w:t>
            </w:r>
          </w:p>
          <w:p w14:paraId="36C5784C" w14:textId="6FFED214" w:rsidR="00762AEF" w:rsidRPr="00A641BE" w:rsidRDefault="007524A0" w:rsidP="00437BD9">
            <w:pPr>
              <w:pStyle w:val="Tabletext"/>
              <w:tabs>
                <w:tab w:val="clear" w:pos="1134"/>
                <w:tab w:val="clear" w:pos="2268"/>
              </w:tabs>
              <w:rPr>
                <w:sz w:val="22"/>
                <w:lang w:val="fr-FR"/>
              </w:rPr>
            </w:pPr>
            <w:r w:rsidRPr="00A641BE">
              <w:rPr>
                <w:sz w:val="22"/>
                <w:lang w:val="fr-FR"/>
              </w:rPr>
              <w:t xml:space="preserve">Lorsqu'en application du § 12 de la pièce jointe à la Résolution </w:t>
            </w:r>
            <w:r w:rsidRPr="00A641BE">
              <w:rPr>
                <w:b/>
                <w:bCs/>
                <w:sz w:val="22"/>
                <w:lang w:val="fr-FR"/>
              </w:rPr>
              <w:t>[A7(E)</w:t>
            </w:r>
            <w:r w:rsidRPr="00A641BE">
              <w:rPr>
                <w:b/>
                <w:bCs/>
                <w:sz w:val="22"/>
                <w:lang w:val="fr-FR"/>
              </w:rPr>
              <w:noBreakHyphen/>
              <w:t>AP30B] (CMR</w:t>
            </w:r>
            <w:r w:rsidRPr="00A641BE">
              <w:rPr>
                <w:b/>
                <w:bCs/>
                <w:sz w:val="22"/>
                <w:lang w:val="fr-FR"/>
              </w:rPr>
              <w:noBreakHyphen/>
              <w:t>19)</w:t>
            </w:r>
            <w:r w:rsidRPr="00A641BE">
              <w:rPr>
                <w:sz w:val="22"/>
                <w:lang w:val="fr-FR"/>
              </w:rPr>
              <w:t>, le Bureau ne reçoit pas de confirmation de la part de l'administration notificatrice du réseau notifié que la collaboration entre les deux administrations a bien été entamée, l'administration notificatrice peut demander l'assistance du Bureau. Le Bureau doit envoyer immédiatement une télécopie à l'administration notificatrice du réseau existant en lui demandant de communiquer sous 30 jours les conditions d'exploitation en vue de vérifier qu'aucun brouillage préjudiciable n'a été causé ainsi que la date proposée pour la mise en œuvre de ces conditions, dans les 4 mois suivants, en vue d'appliquer le § 12 de la Résolution [</w:t>
            </w:r>
            <w:r w:rsidRPr="00A641BE">
              <w:rPr>
                <w:b/>
                <w:sz w:val="22"/>
                <w:lang w:val="fr-FR"/>
              </w:rPr>
              <w:t>A7(E)</w:t>
            </w:r>
            <w:r w:rsidRPr="00A641BE">
              <w:rPr>
                <w:b/>
                <w:sz w:val="22"/>
                <w:lang w:val="fr-FR"/>
              </w:rPr>
              <w:noBreakHyphen/>
              <w:t>AP30B]</w:t>
            </w:r>
            <w:r w:rsidRPr="00A641BE">
              <w:rPr>
                <w:sz w:val="22"/>
                <w:lang w:val="fr-FR"/>
              </w:rPr>
              <w:t>. Si le Bureau ne reçoit pas ces informations, il doit envoyer immédiatement un rappel en accordant un nouveau délai de 15 jours pour répondre. En l'absence d'accusé de réception dans un délai de 15 jours, l'administration notificatrice du réseau existant qui n'a pas entamé de collaboration est réputée s'être engagée à ne formuler aucune plainte concernant les brouillages préjudiciables affectant ses propres assignations et qui pourraient être causés par l'assignation de l'administration notificatrice du réseau notifié pour lequel une demande de coordination a été formulée.</w:t>
            </w:r>
          </w:p>
        </w:tc>
      </w:tr>
    </w:tbl>
    <w:p w14:paraId="09C56EE5" w14:textId="691694DE" w:rsidR="00BF5AF8" w:rsidRPr="00AD36B1" w:rsidRDefault="00BF5AF8">
      <w:pPr>
        <w:rPr>
          <w:b/>
          <w:lang w:val="fr-CH"/>
        </w:rPr>
      </w:pPr>
      <w:r w:rsidRPr="00AD36B1">
        <w:rPr>
          <w:b/>
          <w:lang w:val="fr-CH"/>
        </w:rPr>
        <w:lastRenderedPageBreak/>
        <w:br w:type="page"/>
      </w:r>
    </w:p>
    <w:tbl>
      <w:tblPr>
        <w:tblStyle w:val="TableGrid"/>
        <w:tblW w:w="15163" w:type="dxa"/>
        <w:tblLayout w:type="fixed"/>
        <w:tblLook w:val="04A0" w:firstRow="1" w:lastRow="0" w:firstColumn="1" w:lastColumn="0" w:noHBand="0" w:noVBand="1"/>
      </w:tblPr>
      <w:tblGrid>
        <w:gridCol w:w="1696"/>
        <w:gridCol w:w="2127"/>
        <w:gridCol w:w="11340"/>
      </w:tblGrid>
      <w:tr w:rsidR="00BF5AF8" w:rsidRPr="00AD36B1" w14:paraId="258BD3C8" w14:textId="77777777" w:rsidTr="00BF5AF8">
        <w:trPr>
          <w:trHeight w:val="1139"/>
          <w:tblHeader/>
        </w:trPr>
        <w:tc>
          <w:tcPr>
            <w:tcW w:w="1696" w:type="dxa"/>
          </w:tcPr>
          <w:p w14:paraId="6E6C5A68" w14:textId="77777777" w:rsidR="00BF5AF8" w:rsidRPr="00A641BE" w:rsidRDefault="00BF5AF8" w:rsidP="00EA3EF0">
            <w:pPr>
              <w:pStyle w:val="Tablehead"/>
              <w:keepNext w:val="0"/>
              <w:rPr>
                <w:sz w:val="22"/>
                <w:lang w:val="fr-FR"/>
              </w:rPr>
            </w:pPr>
            <w:r w:rsidRPr="00A641BE">
              <w:rPr>
                <w:sz w:val="22"/>
                <w:lang w:val="fr-FR"/>
              </w:rPr>
              <w:lastRenderedPageBreak/>
              <w:t>Document source (procès</w:t>
            </w:r>
            <w:r w:rsidRPr="00A641BE">
              <w:rPr>
                <w:sz w:val="22"/>
                <w:lang w:val="fr-FR"/>
              </w:rPr>
              <w:noBreakHyphen/>
              <w:t>verbal de la plénière)</w:t>
            </w:r>
          </w:p>
        </w:tc>
        <w:tc>
          <w:tcPr>
            <w:tcW w:w="2127" w:type="dxa"/>
          </w:tcPr>
          <w:p w14:paraId="4DD5334E" w14:textId="77777777" w:rsidR="00BF5AF8" w:rsidRPr="00A641BE" w:rsidRDefault="00BF5AF8" w:rsidP="00EA3EF0">
            <w:pPr>
              <w:pStyle w:val="Tablehead"/>
              <w:keepNext w:val="0"/>
              <w:rPr>
                <w:sz w:val="22"/>
                <w:lang w:val="fr-FR"/>
              </w:rPr>
            </w:pPr>
            <w:r w:rsidRPr="00A641BE">
              <w:rPr>
                <w:sz w:val="22"/>
                <w:lang w:val="fr-FR"/>
              </w:rPr>
              <w:t>Contexte de la décision de la plénière</w:t>
            </w:r>
          </w:p>
        </w:tc>
        <w:tc>
          <w:tcPr>
            <w:tcW w:w="11340" w:type="dxa"/>
          </w:tcPr>
          <w:p w14:paraId="071E03FE" w14:textId="77777777" w:rsidR="00BF5AF8" w:rsidRPr="00A641BE" w:rsidRDefault="00BF5AF8" w:rsidP="00EA3EF0">
            <w:pPr>
              <w:pStyle w:val="Tablehead"/>
              <w:keepNext w:val="0"/>
              <w:rPr>
                <w:sz w:val="22"/>
                <w:lang w:val="fr-FR"/>
              </w:rPr>
            </w:pPr>
            <w:r w:rsidRPr="00A641BE">
              <w:rPr>
                <w:sz w:val="22"/>
                <w:lang w:val="fr-FR"/>
              </w:rPr>
              <w:t>Décision de la plénière et texte associé</w:t>
            </w:r>
          </w:p>
        </w:tc>
      </w:tr>
      <w:tr w:rsidR="00762AEF" w:rsidRPr="00AD36B1" w14:paraId="53DEC1C3" w14:textId="77777777" w:rsidTr="00F75811">
        <w:tc>
          <w:tcPr>
            <w:tcW w:w="1696" w:type="dxa"/>
          </w:tcPr>
          <w:p w14:paraId="2E1F5CF1" w14:textId="7B8A755D" w:rsidR="00762AEF" w:rsidRPr="00BF5AF8" w:rsidRDefault="00762AEF" w:rsidP="00437BD9">
            <w:pPr>
              <w:pStyle w:val="Tablehead"/>
              <w:keepNext w:val="0"/>
              <w:jc w:val="left"/>
              <w:rPr>
                <w:bCs/>
                <w:sz w:val="22"/>
                <w:lang w:val="fr-CH"/>
              </w:rPr>
            </w:pPr>
          </w:p>
        </w:tc>
        <w:tc>
          <w:tcPr>
            <w:tcW w:w="2127" w:type="dxa"/>
          </w:tcPr>
          <w:p w14:paraId="11D1C536" w14:textId="5E659ED0" w:rsidR="005C7701" w:rsidRPr="00A641BE" w:rsidRDefault="005C7701" w:rsidP="00437BD9">
            <w:pPr>
              <w:pStyle w:val="Tablehead"/>
              <w:keepNext w:val="0"/>
              <w:jc w:val="left"/>
              <w:rPr>
                <w:sz w:val="22"/>
                <w:lang w:val="fr-FR"/>
              </w:rPr>
            </w:pPr>
            <w:r w:rsidRPr="00A641BE">
              <w:rPr>
                <w:sz w:val="22"/>
                <w:lang w:val="fr-FR"/>
              </w:rPr>
              <w:t>Paragraphes 13.7 à</w:t>
            </w:r>
            <w:r w:rsidR="00BF5AF8">
              <w:rPr>
                <w:sz w:val="22"/>
                <w:lang w:val="fr-FR"/>
              </w:rPr>
              <w:t> </w:t>
            </w:r>
            <w:r w:rsidRPr="00A641BE">
              <w:rPr>
                <w:sz w:val="22"/>
                <w:lang w:val="fr-FR"/>
              </w:rPr>
              <w:t>13.9</w:t>
            </w:r>
          </w:p>
          <w:p w14:paraId="043D444C" w14:textId="2987E79D" w:rsidR="00762AEF" w:rsidRPr="00A641BE" w:rsidRDefault="005C7701" w:rsidP="00437BD9">
            <w:pPr>
              <w:pStyle w:val="Tablehead"/>
              <w:keepNext w:val="0"/>
              <w:jc w:val="left"/>
              <w:rPr>
                <w:sz w:val="22"/>
                <w:lang w:val="fr-FR"/>
              </w:rPr>
            </w:pPr>
            <w:r w:rsidRPr="00A641BE">
              <w:rPr>
                <w:sz w:val="22"/>
                <w:lang w:val="fr-FR"/>
              </w:rPr>
              <w:t xml:space="preserve">Approbation du Document </w:t>
            </w:r>
            <w:hyperlink r:id="rId41" w:history="1">
              <w:r w:rsidRPr="00EA3EF0">
                <w:rPr>
                  <w:rStyle w:val="Hyperlink"/>
                  <w:sz w:val="22"/>
                  <w:lang w:val="fr-FR"/>
                </w:rPr>
                <w:t>510</w:t>
              </w:r>
            </w:hyperlink>
          </w:p>
        </w:tc>
        <w:tc>
          <w:tcPr>
            <w:tcW w:w="11340" w:type="dxa"/>
          </w:tcPr>
          <w:p w14:paraId="7378E6AA" w14:textId="5517013D" w:rsidR="005C7701" w:rsidRPr="00A641BE" w:rsidRDefault="005C7701" w:rsidP="00437BD9">
            <w:pPr>
              <w:pStyle w:val="AnnexNoTitle"/>
              <w:keepNext w:val="0"/>
              <w:keepLines w:val="0"/>
              <w:spacing w:before="120" w:line="240" w:lineRule="auto"/>
              <w:rPr>
                <w:lang w:val="fr-FR"/>
              </w:rPr>
            </w:pPr>
            <w:r w:rsidRPr="00A641BE">
              <w:rPr>
                <w:lang w:val="fr-FR"/>
              </w:rPr>
              <w:t xml:space="preserve">Instructions données au Bureau des radiocommunications concernant l'application des Annexes 3 et 4 de l'Appendice 30B du RR, ainsi que des critères auxquels il est fait référence dans la Résolution </w:t>
            </w:r>
            <w:r w:rsidRPr="00A641BE">
              <w:rPr>
                <w:lang w:val="fr-FR"/>
              </w:rPr>
              <w:br/>
              <w:t xml:space="preserve">[A7(E)-AP30B] (CMR-19), pour ce qui est du traitement, après le 22 novembre 2019, </w:t>
            </w:r>
            <w:r w:rsidRPr="00A641BE">
              <w:rPr>
                <w:lang w:val="fr-FR"/>
              </w:rPr>
              <w:br/>
              <w:t>des soumissions reçues au titre de cet Appendice</w:t>
            </w:r>
          </w:p>
          <w:p w14:paraId="0035F5D5" w14:textId="4EABE486" w:rsidR="005C7701" w:rsidRPr="00A641BE" w:rsidRDefault="005C7701" w:rsidP="00437BD9">
            <w:pPr>
              <w:pStyle w:val="Tabletext"/>
              <w:tabs>
                <w:tab w:val="clear" w:pos="1134"/>
                <w:tab w:val="clear" w:pos="2268"/>
              </w:tabs>
              <w:rPr>
                <w:sz w:val="22"/>
                <w:lang w:val="fr-FR"/>
              </w:rPr>
            </w:pPr>
            <w:r w:rsidRPr="00A641BE">
              <w:rPr>
                <w:sz w:val="22"/>
                <w:lang w:val="fr-FR"/>
              </w:rPr>
              <w:t xml:space="preserve">Le Bureau des radiocommunications doit continuer à calculer et à mettre à jour les valeurs sur la liaison montante et sur la liaison descendante pour une source unique de brouillage ayant déjà été acceptées pour tous les réseaux à satellite de l'Appendice </w:t>
            </w:r>
            <w:r w:rsidRPr="00A641BE">
              <w:rPr>
                <w:b/>
                <w:sz w:val="22"/>
                <w:lang w:val="fr-FR"/>
              </w:rPr>
              <w:t>30B</w:t>
            </w:r>
            <w:r w:rsidRPr="00A641BE">
              <w:rPr>
                <w:sz w:val="22"/>
                <w:lang w:val="fr-FR"/>
              </w:rPr>
              <w:t xml:space="preserve"> du RR, conformément aux notes X2 et X3 relatives au point 2.1 de l'Annexe 4 de l'Appendice </w:t>
            </w:r>
            <w:r w:rsidRPr="00A641BE">
              <w:rPr>
                <w:b/>
                <w:sz w:val="22"/>
                <w:lang w:val="fr-FR"/>
              </w:rPr>
              <w:t>30B (Rév.CMR-19)</w:t>
            </w:r>
            <w:r w:rsidRPr="00A641BE">
              <w:rPr>
                <w:sz w:val="22"/>
                <w:lang w:val="fr-FR"/>
              </w:rPr>
              <w:t xml:space="preserve"> du RR, de façon que ces informations puissent être utilisées par les administrations lors de la coordination de leurs réseaux respectifs. Le Bureau des radiocommunications doit appliquer:</w:t>
            </w:r>
          </w:p>
          <w:p w14:paraId="31249969" w14:textId="77777777" w:rsidR="005C7701" w:rsidRPr="00A641BE" w:rsidRDefault="005C7701" w:rsidP="00BF5AF8">
            <w:pPr>
              <w:pStyle w:val="Tabletext"/>
              <w:tabs>
                <w:tab w:val="clear" w:pos="284"/>
                <w:tab w:val="clear" w:pos="567"/>
                <w:tab w:val="clear" w:pos="1134"/>
              </w:tabs>
              <w:rPr>
                <w:sz w:val="22"/>
                <w:lang w:val="fr-FR"/>
              </w:rPr>
            </w:pPr>
            <w:r w:rsidRPr="00A641BE">
              <w:rPr>
                <w:sz w:val="22"/>
                <w:lang w:val="fr-FR"/>
              </w:rPr>
              <w:t>1</w:t>
            </w:r>
            <w:r w:rsidRPr="00A641BE">
              <w:rPr>
                <w:sz w:val="22"/>
                <w:lang w:val="fr-FR"/>
              </w:rPr>
              <w:tab/>
              <w:t>Pour les soumissions complètes au titre du § 6.1 reçues par le Bureau avant le 23 novembre 2019:</w:t>
            </w:r>
          </w:p>
          <w:p w14:paraId="641E315A" w14:textId="77777777" w:rsidR="005C7701" w:rsidRPr="00A641BE" w:rsidRDefault="005C7701" w:rsidP="00BF5AF8">
            <w:pPr>
              <w:pStyle w:val="enumlev2"/>
              <w:tabs>
                <w:tab w:val="clear" w:pos="794"/>
                <w:tab w:val="left" w:pos="870"/>
              </w:tabs>
              <w:spacing w:line="240" w:lineRule="auto"/>
              <w:ind w:hanging="335"/>
              <w:rPr>
                <w:sz w:val="22"/>
                <w:lang w:val="fr-FR"/>
              </w:rPr>
            </w:pPr>
            <w:r w:rsidRPr="00A641BE">
              <w:rPr>
                <w:i/>
                <w:iCs/>
                <w:sz w:val="22"/>
                <w:lang w:val="fr-FR"/>
              </w:rPr>
              <w:t>a)</w:t>
            </w:r>
            <w:r w:rsidRPr="00A641BE">
              <w:rPr>
                <w:sz w:val="22"/>
                <w:lang w:val="fr-FR"/>
              </w:rPr>
              <w:tab/>
              <w:t>l'Annexe 3 (CMR-07) pour l'examen au titre du § 6.3 b);</w:t>
            </w:r>
          </w:p>
          <w:p w14:paraId="75583A9C" w14:textId="77777777" w:rsidR="005C7701" w:rsidRPr="00A641BE" w:rsidRDefault="005C7701" w:rsidP="00BF5AF8">
            <w:pPr>
              <w:pStyle w:val="enumlev2"/>
              <w:spacing w:line="240" w:lineRule="auto"/>
              <w:ind w:hanging="335"/>
              <w:rPr>
                <w:sz w:val="22"/>
                <w:lang w:val="fr-FR"/>
              </w:rPr>
            </w:pPr>
            <w:r w:rsidRPr="00A641BE">
              <w:rPr>
                <w:i/>
                <w:iCs/>
                <w:sz w:val="22"/>
                <w:lang w:val="fr-FR"/>
              </w:rPr>
              <w:t>b)</w:t>
            </w:r>
            <w:r w:rsidRPr="00A641BE">
              <w:rPr>
                <w:sz w:val="22"/>
                <w:lang w:val="fr-FR"/>
              </w:rPr>
              <w:tab/>
              <w:t>l'Annexe 4 (Rév.CMR-07) pour l'examen au titre du § 6.5.</w:t>
            </w:r>
          </w:p>
          <w:p w14:paraId="54CD689C" w14:textId="77777777" w:rsidR="005C7701" w:rsidRPr="00A641BE" w:rsidRDefault="005C7701" w:rsidP="00BF5AF8">
            <w:pPr>
              <w:pStyle w:val="enumlev2"/>
              <w:spacing w:line="240" w:lineRule="auto"/>
              <w:ind w:hanging="335"/>
              <w:rPr>
                <w:sz w:val="22"/>
                <w:lang w:val="fr-FR"/>
              </w:rPr>
            </w:pPr>
            <w:r w:rsidRPr="00A641BE">
              <w:rPr>
                <w:sz w:val="22"/>
                <w:lang w:val="fr-FR"/>
              </w:rPr>
              <w:t>Note: Y compris la protection des soumissions au titre de la Question E examinées avant la Partie A.</w:t>
            </w:r>
          </w:p>
          <w:p w14:paraId="6732FEEA" w14:textId="77777777" w:rsidR="005C7701" w:rsidRPr="00A641BE" w:rsidRDefault="005C7701" w:rsidP="00602FB1">
            <w:pPr>
              <w:pStyle w:val="Tabletext"/>
              <w:tabs>
                <w:tab w:val="clear" w:pos="284"/>
                <w:tab w:val="clear" w:pos="567"/>
                <w:tab w:val="clear" w:pos="1134"/>
              </w:tabs>
              <w:rPr>
                <w:sz w:val="22"/>
                <w:lang w:val="fr-FR"/>
              </w:rPr>
            </w:pPr>
            <w:r w:rsidRPr="00A641BE">
              <w:rPr>
                <w:sz w:val="22"/>
                <w:lang w:val="fr-FR"/>
              </w:rPr>
              <w:t>2</w:t>
            </w:r>
            <w:r w:rsidRPr="00A641BE">
              <w:rPr>
                <w:sz w:val="22"/>
                <w:lang w:val="fr-FR"/>
              </w:rPr>
              <w:tab/>
              <w:t>Pour les soumissions complètes au titre du § 6.17 reçues par le Bureau avant le 23 novembre 2019:</w:t>
            </w:r>
          </w:p>
          <w:p w14:paraId="2A6A3379" w14:textId="77777777" w:rsidR="005C7701" w:rsidRPr="00A641BE" w:rsidRDefault="005C7701" w:rsidP="00BF5AF8">
            <w:pPr>
              <w:pStyle w:val="enumlev2"/>
              <w:spacing w:line="240" w:lineRule="auto"/>
              <w:ind w:hanging="335"/>
              <w:rPr>
                <w:sz w:val="22"/>
                <w:lang w:val="fr-FR"/>
              </w:rPr>
            </w:pPr>
            <w:r w:rsidRPr="00A641BE">
              <w:rPr>
                <w:i/>
                <w:iCs/>
                <w:sz w:val="22"/>
                <w:lang w:val="fr-FR"/>
              </w:rPr>
              <w:t>a)</w:t>
            </w:r>
            <w:r w:rsidRPr="00A641BE">
              <w:rPr>
                <w:sz w:val="22"/>
                <w:lang w:val="fr-FR"/>
              </w:rPr>
              <w:tab/>
              <w:t>l'Annexe 3 (CMR-07) pour l'examen au titre du § 6.19 c);</w:t>
            </w:r>
          </w:p>
          <w:p w14:paraId="474561FA" w14:textId="77777777" w:rsidR="005C7701" w:rsidRPr="00A641BE" w:rsidRDefault="005C7701" w:rsidP="00BF5AF8">
            <w:pPr>
              <w:pStyle w:val="enumlev2"/>
              <w:spacing w:line="240" w:lineRule="auto"/>
              <w:ind w:hanging="335"/>
              <w:rPr>
                <w:sz w:val="22"/>
                <w:lang w:val="fr-FR"/>
              </w:rPr>
            </w:pPr>
            <w:r w:rsidRPr="00A641BE">
              <w:rPr>
                <w:i/>
                <w:iCs/>
                <w:sz w:val="22"/>
                <w:lang w:val="fr-FR"/>
              </w:rPr>
              <w:t>b)</w:t>
            </w:r>
            <w:r w:rsidRPr="00A641BE">
              <w:rPr>
                <w:sz w:val="22"/>
                <w:lang w:val="fr-FR"/>
              </w:rPr>
              <w:tab/>
              <w:t>l'Annexe 4 (Rév.CMR-07) pour l'examen au titre du § 6.21;</w:t>
            </w:r>
          </w:p>
          <w:p w14:paraId="4BCC966D" w14:textId="77777777" w:rsidR="005C7701" w:rsidRPr="00A641BE" w:rsidRDefault="005C7701" w:rsidP="00BF5AF8">
            <w:pPr>
              <w:pStyle w:val="enumlev2"/>
              <w:spacing w:line="240" w:lineRule="auto"/>
              <w:ind w:hanging="335"/>
              <w:rPr>
                <w:sz w:val="22"/>
                <w:lang w:val="fr-FR"/>
              </w:rPr>
            </w:pPr>
            <w:r w:rsidRPr="00A641BE">
              <w:rPr>
                <w:i/>
                <w:iCs/>
                <w:sz w:val="22"/>
                <w:lang w:val="fr-FR"/>
              </w:rPr>
              <w:t>c)</w:t>
            </w:r>
            <w:r w:rsidRPr="00A641BE">
              <w:rPr>
                <w:sz w:val="22"/>
                <w:lang w:val="fr-FR"/>
              </w:rPr>
              <w:tab/>
              <w:t>l'Annexe 4 (Rév.CMR-07) pour l'examen complémentaire au titre de la nouvelle note relative au § 6.21 c);</w:t>
            </w:r>
          </w:p>
          <w:p w14:paraId="02B3AEF0" w14:textId="77777777" w:rsidR="005C7701" w:rsidRPr="00A641BE" w:rsidRDefault="005C7701" w:rsidP="00BF5AF8">
            <w:pPr>
              <w:pStyle w:val="enumlev2"/>
              <w:spacing w:line="240" w:lineRule="auto"/>
              <w:ind w:hanging="335"/>
              <w:rPr>
                <w:sz w:val="22"/>
                <w:lang w:val="fr-FR"/>
              </w:rPr>
            </w:pPr>
            <w:r w:rsidRPr="00A641BE">
              <w:rPr>
                <w:i/>
                <w:iCs/>
                <w:sz w:val="22"/>
                <w:lang w:val="fr-FR"/>
              </w:rPr>
              <w:t>d)</w:t>
            </w:r>
            <w:r w:rsidRPr="00A641BE">
              <w:rPr>
                <w:sz w:val="22"/>
                <w:lang w:val="fr-FR"/>
              </w:rPr>
              <w:tab/>
              <w:t>l'Annexe 4 (Rév.CMR-07) pour l'examen au titre du § 6.22.</w:t>
            </w:r>
          </w:p>
          <w:p w14:paraId="424AF0C6" w14:textId="4FF81FF6" w:rsidR="005C7701" w:rsidRPr="00A641BE" w:rsidRDefault="00602FB1" w:rsidP="00602FB1">
            <w:pPr>
              <w:pStyle w:val="enumlev2"/>
              <w:tabs>
                <w:tab w:val="clear" w:pos="794"/>
                <w:tab w:val="left" w:pos="856"/>
              </w:tabs>
              <w:spacing w:line="240" w:lineRule="auto"/>
              <w:ind w:left="856" w:hanging="854"/>
              <w:rPr>
                <w:sz w:val="22"/>
                <w:lang w:val="fr-FR"/>
              </w:rPr>
            </w:pPr>
            <w:r>
              <w:rPr>
                <w:sz w:val="22"/>
                <w:lang w:val="fr-FR"/>
              </w:rPr>
              <w:tab/>
            </w:r>
            <w:r w:rsidR="005C7701" w:rsidRPr="00A641BE">
              <w:rPr>
                <w:sz w:val="22"/>
                <w:lang w:val="fr-FR"/>
              </w:rPr>
              <w:t>Note: Y compris la protection des soumissions au titre de la Question E examinées avant la Partie B.</w:t>
            </w:r>
          </w:p>
          <w:p w14:paraId="5003AFA0" w14:textId="77777777" w:rsidR="005C7701" w:rsidRPr="00A641BE" w:rsidRDefault="005C7701" w:rsidP="00602FB1">
            <w:pPr>
              <w:pStyle w:val="Tabletext"/>
              <w:tabs>
                <w:tab w:val="clear" w:pos="284"/>
                <w:tab w:val="clear" w:pos="567"/>
                <w:tab w:val="clear" w:pos="1134"/>
              </w:tabs>
              <w:ind w:left="851" w:hanging="849"/>
              <w:rPr>
                <w:sz w:val="22"/>
                <w:lang w:val="fr-FR"/>
              </w:rPr>
            </w:pPr>
            <w:r w:rsidRPr="00A641BE">
              <w:rPr>
                <w:sz w:val="22"/>
                <w:lang w:val="fr-FR"/>
              </w:rPr>
              <w:t>3</w:t>
            </w:r>
            <w:r w:rsidRPr="00A641BE">
              <w:rPr>
                <w:sz w:val="22"/>
                <w:lang w:val="fr-FR"/>
              </w:rPr>
              <w:tab/>
              <w:t>Pour les soumissions complètes au titre du § 6.17 reçues par le Bureau après le 22 novembre 2019, concernant des soumissions complètes au titre du § 6.1 reçues par le Bureau avant le 23 novembre 2019:</w:t>
            </w:r>
          </w:p>
          <w:p w14:paraId="387579D9" w14:textId="77777777" w:rsidR="005C7701" w:rsidRPr="00A641BE" w:rsidRDefault="005C7701" w:rsidP="00BF5AF8">
            <w:pPr>
              <w:pStyle w:val="enumlev2"/>
              <w:spacing w:line="240" w:lineRule="auto"/>
              <w:ind w:hanging="335"/>
              <w:rPr>
                <w:sz w:val="22"/>
                <w:lang w:val="fr-FR"/>
              </w:rPr>
            </w:pPr>
            <w:r w:rsidRPr="00A641BE">
              <w:rPr>
                <w:i/>
                <w:iCs/>
                <w:sz w:val="22"/>
                <w:lang w:val="fr-FR"/>
              </w:rPr>
              <w:t>a)</w:t>
            </w:r>
            <w:r w:rsidRPr="00A641BE">
              <w:rPr>
                <w:sz w:val="22"/>
                <w:lang w:val="fr-FR"/>
              </w:rPr>
              <w:tab/>
              <w:t>l'Annexe 3 (CMR-07) pour l'examen au titre du § 6.19 c);</w:t>
            </w:r>
          </w:p>
          <w:p w14:paraId="0DD042D1" w14:textId="77777777" w:rsidR="005C7701" w:rsidRPr="00A641BE" w:rsidRDefault="005C7701" w:rsidP="00BF5AF8">
            <w:pPr>
              <w:pStyle w:val="enumlev2"/>
              <w:spacing w:line="240" w:lineRule="auto"/>
              <w:ind w:hanging="335"/>
              <w:rPr>
                <w:sz w:val="22"/>
                <w:lang w:val="fr-FR"/>
              </w:rPr>
            </w:pPr>
            <w:r w:rsidRPr="00A641BE">
              <w:rPr>
                <w:i/>
                <w:iCs/>
                <w:sz w:val="22"/>
                <w:lang w:val="fr-FR"/>
              </w:rPr>
              <w:t>b)</w:t>
            </w:r>
            <w:r w:rsidRPr="00A641BE">
              <w:rPr>
                <w:sz w:val="22"/>
                <w:lang w:val="fr-FR"/>
              </w:rPr>
              <w:tab/>
              <w:t>l'Annexe 4 (Rév.CMR-07) pour l'examen au titre du § 6.21;</w:t>
            </w:r>
          </w:p>
          <w:p w14:paraId="099FFC42" w14:textId="77777777" w:rsidR="005C7701" w:rsidRPr="00A641BE" w:rsidRDefault="005C7701" w:rsidP="00BF5AF8">
            <w:pPr>
              <w:pStyle w:val="enumlev2"/>
              <w:spacing w:line="240" w:lineRule="auto"/>
              <w:ind w:hanging="335"/>
              <w:rPr>
                <w:sz w:val="22"/>
                <w:lang w:val="fr-FR"/>
              </w:rPr>
            </w:pPr>
            <w:r w:rsidRPr="00A641BE">
              <w:rPr>
                <w:i/>
                <w:iCs/>
                <w:sz w:val="22"/>
                <w:lang w:val="fr-FR"/>
              </w:rPr>
              <w:t>c)</w:t>
            </w:r>
            <w:r w:rsidRPr="00A641BE">
              <w:rPr>
                <w:sz w:val="22"/>
                <w:lang w:val="fr-FR"/>
              </w:rPr>
              <w:tab/>
              <w:t>l'Annexe 4 (Rév.CMR-07) pour l'examen complémentaire au titre de la note YY relative au § 6.21 c) si les assignations affectées restantes sont inscrites dans la Liste avant le 23 novembre 2019;</w:t>
            </w:r>
          </w:p>
          <w:p w14:paraId="599D2985" w14:textId="77777777" w:rsidR="005C7701" w:rsidRPr="00A641BE" w:rsidRDefault="005C7701" w:rsidP="00BF5AF8">
            <w:pPr>
              <w:pStyle w:val="enumlev2"/>
              <w:spacing w:line="240" w:lineRule="auto"/>
              <w:ind w:hanging="335"/>
              <w:rPr>
                <w:sz w:val="22"/>
                <w:lang w:val="fr-FR"/>
              </w:rPr>
            </w:pPr>
            <w:r w:rsidRPr="00A641BE">
              <w:rPr>
                <w:i/>
                <w:iCs/>
                <w:sz w:val="22"/>
                <w:lang w:val="fr-FR"/>
              </w:rPr>
              <w:lastRenderedPageBreak/>
              <w:t>d)</w:t>
            </w:r>
            <w:r w:rsidRPr="00A641BE">
              <w:rPr>
                <w:sz w:val="22"/>
                <w:lang w:val="fr-FR"/>
              </w:rPr>
              <w:tab/>
              <w:t>l'Annexe 4 (Rév.CMR-19) pour l'examen complémentaire au titre de la note YY relative au § 6.21 c) si les assignations affectées restantes sont inscrites dans la Liste après le 22 novembre 2019;</w:t>
            </w:r>
          </w:p>
          <w:p w14:paraId="7D4EC055" w14:textId="77777777" w:rsidR="005C7701" w:rsidRPr="00A641BE" w:rsidRDefault="005C7701" w:rsidP="00BF5AF8">
            <w:pPr>
              <w:pStyle w:val="enumlev2"/>
              <w:spacing w:line="240" w:lineRule="auto"/>
              <w:ind w:hanging="335"/>
              <w:rPr>
                <w:sz w:val="22"/>
                <w:lang w:val="fr-FR"/>
              </w:rPr>
            </w:pPr>
            <w:r w:rsidRPr="00A641BE">
              <w:rPr>
                <w:i/>
                <w:iCs/>
                <w:sz w:val="22"/>
                <w:lang w:val="fr-FR"/>
              </w:rPr>
              <w:t>e)</w:t>
            </w:r>
            <w:r w:rsidRPr="00A641BE">
              <w:rPr>
                <w:sz w:val="22"/>
                <w:lang w:val="fr-FR"/>
              </w:rPr>
              <w:tab/>
              <w:t>l'Annexe 4 (Rév.CMR-19) pour l'examen au titre du § 6.22.</w:t>
            </w:r>
          </w:p>
          <w:p w14:paraId="51358818" w14:textId="77777777" w:rsidR="005C7701" w:rsidRPr="00A641BE" w:rsidRDefault="005C7701" w:rsidP="00602FB1">
            <w:pPr>
              <w:pStyle w:val="enumlev2"/>
              <w:spacing w:line="240" w:lineRule="auto"/>
              <w:ind w:hanging="321"/>
              <w:rPr>
                <w:sz w:val="22"/>
                <w:lang w:val="fr-FR"/>
              </w:rPr>
            </w:pPr>
            <w:r w:rsidRPr="00A641BE">
              <w:rPr>
                <w:sz w:val="22"/>
                <w:lang w:val="fr-FR"/>
              </w:rPr>
              <w:t>Note: Y compris la protection des soumissions au titre de la Question E examinées avant les Parties A et/ou B.</w:t>
            </w:r>
          </w:p>
          <w:p w14:paraId="0DB2ED71" w14:textId="77777777" w:rsidR="005C7701" w:rsidRPr="00A641BE" w:rsidRDefault="005C7701" w:rsidP="00602FB1">
            <w:pPr>
              <w:pStyle w:val="Tabletext"/>
              <w:tabs>
                <w:tab w:val="clear" w:pos="284"/>
                <w:tab w:val="clear" w:pos="567"/>
                <w:tab w:val="clear" w:pos="1134"/>
              </w:tabs>
              <w:rPr>
                <w:sz w:val="22"/>
                <w:lang w:val="fr-FR"/>
              </w:rPr>
            </w:pPr>
            <w:r w:rsidRPr="00A641BE">
              <w:rPr>
                <w:sz w:val="22"/>
                <w:lang w:val="fr-FR"/>
              </w:rPr>
              <w:t>4</w:t>
            </w:r>
            <w:r w:rsidRPr="00A641BE">
              <w:rPr>
                <w:sz w:val="22"/>
                <w:lang w:val="fr-FR"/>
              </w:rPr>
              <w:tab/>
              <w:t>Pour les soumissions complètes au titre du § 6.1 reçues par le Bureau après le 22 novembre 2019:</w:t>
            </w:r>
          </w:p>
          <w:p w14:paraId="244BD108" w14:textId="77777777" w:rsidR="005C7701" w:rsidRPr="00A641BE" w:rsidRDefault="005C7701" w:rsidP="00BF5AF8">
            <w:pPr>
              <w:pStyle w:val="enumlev2"/>
              <w:spacing w:line="240" w:lineRule="auto"/>
              <w:ind w:hanging="335"/>
              <w:rPr>
                <w:sz w:val="22"/>
                <w:lang w:val="fr-FR"/>
              </w:rPr>
            </w:pPr>
            <w:r w:rsidRPr="00A641BE">
              <w:rPr>
                <w:i/>
                <w:iCs/>
                <w:sz w:val="22"/>
                <w:lang w:val="fr-FR"/>
              </w:rPr>
              <w:t>a)</w:t>
            </w:r>
            <w:r w:rsidRPr="00A641BE">
              <w:rPr>
                <w:sz w:val="22"/>
                <w:lang w:val="fr-FR"/>
              </w:rPr>
              <w:tab/>
              <w:t>l'Annexe 3 (Rév.CMR-19) pour l'examen au titre du § 6.3 b);</w:t>
            </w:r>
          </w:p>
          <w:p w14:paraId="0B9EF69A" w14:textId="77777777" w:rsidR="005C7701" w:rsidRPr="00A641BE" w:rsidRDefault="005C7701" w:rsidP="00BF5AF8">
            <w:pPr>
              <w:pStyle w:val="enumlev2"/>
              <w:spacing w:line="240" w:lineRule="auto"/>
              <w:ind w:hanging="335"/>
              <w:rPr>
                <w:sz w:val="22"/>
                <w:lang w:val="fr-FR"/>
              </w:rPr>
            </w:pPr>
            <w:r w:rsidRPr="00A641BE">
              <w:rPr>
                <w:i/>
                <w:iCs/>
                <w:sz w:val="22"/>
                <w:lang w:val="fr-FR"/>
              </w:rPr>
              <w:t>b)</w:t>
            </w:r>
            <w:r w:rsidRPr="00A641BE">
              <w:rPr>
                <w:sz w:val="22"/>
                <w:lang w:val="fr-FR"/>
              </w:rPr>
              <w:tab/>
              <w:t>l'Annexe 4 (Rév.CMR-19) pour l'examen au titre du § 6.5.</w:t>
            </w:r>
          </w:p>
          <w:p w14:paraId="6C672B7D" w14:textId="0BE40953" w:rsidR="005C7701" w:rsidRPr="00A641BE" w:rsidRDefault="005C7701" w:rsidP="00602FB1">
            <w:pPr>
              <w:pStyle w:val="Tabletext"/>
              <w:tabs>
                <w:tab w:val="clear" w:pos="284"/>
                <w:tab w:val="clear" w:pos="1134"/>
              </w:tabs>
              <w:ind w:left="856" w:hanging="856"/>
              <w:rPr>
                <w:sz w:val="22"/>
                <w:lang w:val="fr-FR"/>
              </w:rPr>
            </w:pPr>
            <w:r w:rsidRPr="00A641BE">
              <w:rPr>
                <w:sz w:val="22"/>
                <w:lang w:val="fr-FR"/>
              </w:rPr>
              <w:t>5</w:t>
            </w:r>
            <w:r w:rsidRPr="00A641BE">
              <w:rPr>
                <w:sz w:val="22"/>
                <w:lang w:val="fr-FR"/>
              </w:rPr>
              <w:tab/>
            </w:r>
            <w:r w:rsidR="00602FB1">
              <w:rPr>
                <w:sz w:val="22"/>
                <w:lang w:val="fr-FR"/>
              </w:rPr>
              <w:tab/>
            </w:r>
            <w:r w:rsidRPr="00A641BE">
              <w:rPr>
                <w:sz w:val="22"/>
                <w:lang w:val="fr-FR"/>
              </w:rPr>
              <w:t>Pour les soumissions complètes au titre du § 6.17 reçues par le Bureau après le 22 novembre 2019, concernant des soumissions complètes au titre du § 6.1 reçues par le Bureau après le 22 novembre 2019:</w:t>
            </w:r>
          </w:p>
          <w:p w14:paraId="4CFC476E" w14:textId="77777777" w:rsidR="005C7701" w:rsidRPr="00A641BE" w:rsidRDefault="005C7701" w:rsidP="00BF5AF8">
            <w:pPr>
              <w:pStyle w:val="enumlev2"/>
              <w:spacing w:line="240" w:lineRule="auto"/>
              <w:ind w:hanging="335"/>
              <w:rPr>
                <w:sz w:val="22"/>
                <w:lang w:val="fr-FR"/>
              </w:rPr>
            </w:pPr>
            <w:r w:rsidRPr="00A641BE">
              <w:rPr>
                <w:i/>
                <w:iCs/>
                <w:sz w:val="22"/>
                <w:lang w:val="fr-FR"/>
              </w:rPr>
              <w:t>a)</w:t>
            </w:r>
            <w:r w:rsidRPr="00A641BE">
              <w:rPr>
                <w:sz w:val="22"/>
                <w:lang w:val="fr-FR"/>
              </w:rPr>
              <w:tab/>
              <w:t>l'Annexe 3 (Rév.CMR-19) pour l'examen au titre du § 6.19 c);</w:t>
            </w:r>
          </w:p>
          <w:p w14:paraId="054D2BE5" w14:textId="77777777" w:rsidR="005C7701" w:rsidRPr="00A641BE" w:rsidRDefault="005C7701" w:rsidP="00BF5AF8">
            <w:pPr>
              <w:pStyle w:val="enumlev2"/>
              <w:spacing w:line="240" w:lineRule="auto"/>
              <w:ind w:hanging="335"/>
              <w:rPr>
                <w:sz w:val="22"/>
                <w:lang w:val="fr-FR"/>
              </w:rPr>
            </w:pPr>
            <w:r w:rsidRPr="00A641BE">
              <w:rPr>
                <w:i/>
                <w:iCs/>
                <w:sz w:val="22"/>
                <w:lang w:val="fr-FR"/>
              </w:rPr>
              <w:t>b)</w:t>
            </w:r>
            <w:r w:rsidRPr="00A641BE">
              <w:rPr>
                <w:sz w:val="22"/>
                <w:lang w:val="fr-FR"/>
              </w:rPr>
              <w:tab/>
              <w:t>l'Annexe 4 (Rév.CMR-19) pour l'examen au titre du § 6.21;</w:t>
            </w:r>
          </w:p>
          <w:p w14:paraId="7C999700" w14:textId="77777777" w:rsidR="005C7701" w:rsidRPr="00A641BE" w:rsidRDefault="005C7701" w:rsidP="00BF5AF8">
            <w:pPr>
              <w:pStyle w:val="enumlev2"/>
              <w:spacing w:line="240" w:lineRule="auto"/>
              <w:ind w:hanging="335"/>
              <w:rPr>
                <w:sz w:val="22"/>
                <w:lang w:val="fr-FR"/>
              </w:rPr>
            </w:pPr>
            <w:r w:rsidRPr="00A641BE">
              <w:rPr>
                <w:i/>
                <w:iCs/>
                <w:sz w:val="22"/>
                <w:lang w:val="fr-FR"/>
              </w:rPr>
              <w:t>c)</w:t>
            </w:r>
            <w:r w:rsidRPr="00A641BE">
              <w:rPr>
                <w:sz w:val="22"/>
                <w:lang w:val="fr-FR"/>
              </w:rPr>
              <w:tab/>
              <w:t>l'Annexe 4 (Rév.CMR-19) pour l'examen au titre du § 6.22.</w:t>
            </w:r>
          </w:p>
          <w:p w14:paraId="2B42DEA7" w14:textId="77777777" w:rsidR="005C7701" w:rsidRPr="00A641BE" w:rsidRDefault="005C7701" w:rsidP="00437BD9">
            <w:pPr>
              <w:pStyle w:val="Tabletext"/>
              <w:tabs>
                <w:tab w:val="clear" w:pos="1134"/>
              </w:tabs>
              <w:rPr>
                <w:sz w:val="22"/>
                <w:lang w:val="fr-FR"/>
              </w:rPr>
            </w:pPr>
            <w:r w:rsidRPr="00A641BE">
              <w:rPr>
                <w:sz w:val="22"/>
                <w:lang w:val="fr-FR"/>
              </w:rPr>
              <w:t>6</w:t>
            </w:r>
            <w:r w:rsidRPr="00A641BE">
              <w:rPr>
                <w:sz w:val="22"/>
                <w:lang w:val="fr-FR"/>
              </w:rPr>
              <w:tab/>
              <w:t>Pour les soumissions complètes au titre du § 6.1, en application de la Résolution </w:t>
            </w:r>
            <w:r w:rsidRPr="00A641BE">
              <w:rPr>
                <w:b/>
                <w:sz w:val="22"/>
                <w:lang w:val="fr-FR"/>
              </w:rPr>
              <w:t>[A7(E)-AP30B] (CMR-19)</w:t>
            </w:r>
            <w:r w:rsidRPr="00A641BE">
              <w:rPr>
                <w:sz w:val="22"/>
                <w:lang w:val="fr-FR"/>
              </w:rPr>
              <w:t>:</w:t>
            </w:r>
          </w:p>
          <w:p w14:paraId="3F6465B0" w14:textId="77777777" w:rsidR="005C7701" w:rsidRPr="00A641BE" w:rsidRDefault="005C7701" w:rsidP="00BF5AF8">
            <w:pPr>
              <w:pStyle w:val="enumlev2"/>
              <w:spacing w:line="240" w:lineRule="auto"/>
              <w:ind w:hanging="335"/>
              <w:rPr>
                <w:sz w:val="22"/>
                <w:lang w:val="fr-FR"/>
              </w:rPr>
            </w:pPr>
            <w:r w:rsidRPr="00A641BE">
              <w:rPr>
                <w:i/>
                <w:iCs/>
                <w:sz w:val="22"/>
                <w:lang w:val="fr-FR"/>
              </w:rPr>
              <w:t>a)</w:t>
            </w:r>
            <w:r w:rsidRPr="00A641BE">
              <w:rPr>
                <w:sz w:val="22"/>
                <w:lang w:val="fr-FR"/>
              </w:rPr>
              <w:tab/>
              <w:t>l'Annexe 3 (Rév.CMR-19) pour l'examen au titre du § 6.3 b);</w:t>
            </w:r>
          </w:p>
          <w:p w14:paraId="099DF38C" w14:textId="77777777" w:rsidR="005C7701" w:rsidRPr="00A641BE" w:rsidRDefault="005C7701" w:rsidP="00BF5AF8">
            <w:pPr>
              <w:pStyle w:val="enumlev2"/>
              <w:spacing w:line="240" w:lineRule="auto"/>
              <w:ind w:hanging="335"/>
              <w:rPr>
                <w:sz w:val="22"/>
                <w:lang w:val="fr-FR"/>
              </w:rPr>
            </w:pPr>
            <w:r w:rsidRPr="00A641BE">
              <w:rPr>
                <w:i/>
                <w:iCs/>
                <w:sz w:val="22"/>
                <w:lang w:val="fr-FR"/>
              </w:rPr>
              <w:t>b)</w:t>
            </w:r>
            <w:r w:rsidRPr="00A641BE">
              <w:rPr>
                <w:sz w:val="22"/>
                <w:lang w:val="fr-FR"/>
              </w:rPr>
              <w:tab/>
              <w:t xml:space="preserve">l'Annexe 4 (Rév.CMR-19) et les nouveaux critères auxquels il est fait référence dans la Résolution </w:t>
            </w:r>
            <w:r w:rsidRPr="00A641BE">
              <w:rPr>
                <w:b/>
                <w:sz w:val="22"/>
                <w:lang w:val="fr-FR"/>
              </w:rPr>
              <w:t>[A7(E)-AP30B] (CMR-19)</w:t>
            </w:r>
            <w:r w:rsidRPr="00A641BE">
              <w:rPr>
                <w:sz w:val="22"/>
                <w:lang w:val="fr-FR"/>
              </w:rPr>
              <w:t xml:space="preserve"> pour l'examen au titre du § 6.5, selon qu'il convient.</w:t>
            </w:r>
          </w:p>
          <w:p w14:paraId="0B94F6D6" w14:textId="77777777" w:rsidR="005C7701" w:rsidRPr="00A641BE" w:rsidRDefault="005C7701" w:rsidP="00602FB1">
            <w:pPr>
              <w:pStyle w:val="enumlev2"/>
              <w:tabs>
                <w:tab w:val="clear" w:pos="794"/>
              </w:tabs>
              <w:spacing w:line="240" w:lineRule="auto"/>
              <w:ind w:left="856" w:firstLine="0"/>
              <w:rPr>
                <w:lang w:val="fr-FR"/>
              </w:rPr>
            </w:pPr>
            <w:r w:rsidRPr="00A641BE">
              <w:rPr>
                <w:sz w:val="22"/>
                <w:lang w:val="fr-FR"/>
              </w:rPr>
              <w:t>Note: Y compris l'examen des soumissions, au titre de la Question E avant l'examen de la dernière Partie A et/ou Partie B normale(s), reçues avant le 23 novembre 2019.</w:t>
            </w:r>
          </w:p>
          <w:p w14:paraId="6CCE3353" w14:textId="77777777" w:rsidR="005C7701" w:rsidRPr="00A641BE" w:rsidRDefault="005C7701" w:rsidP="00437BD9">
            <w:pPr>
              <w:pStyle w:val="Tabletext"/>
              <w:tabs>
                <w:tab w:val="clear" w:pos="1134"/>
              </w:tabs>
              <w:rPr>
                <w:sz w:val="22"/>
                <w:lang w:val="fr-FR"/>
              </w:rPr>
            </w:pPr>
            <w:r w:rsidRPr="00A641BE">
              <w:rPr>
                <w:sz w:val="22"/>
                <w:lang w:val="fr-FR"/>
              </w:rPr>
              <w:t>7</w:t>
            </w:r>
            <w:r w:rsidRPr="00A641BE">
              <w:rPr>
                <w:sz w:val="22"/>
                <w:lang w:val="fr-FR"/>
              </w:rPr>
              <w:tab/>
              <w:t>Pour les soumissions complètes au titre du § 6.17, en application de la Résolution </w:t>
            </w:r>
            <w:r w:rsidRPr="00A641BE">
              <w:rPr>
                <w:b/>
                <w:sz w:val="22"/>
                <w:lang w:val="fr-FR"/>
              </w:rPr>
              <w:t>[A7(E)-AP30B] (CMR-19)</w:t>
            </w:r>
            <w:r w:rsidRPr="00A641BE">
              <w:rPr>
                <w:sz w:val="22"/>
                <w:lang w:val="fr-FR"/>
              </w:rPr>
              <w:t>:</w:t>
            </w:r>
          </w:p>
          <w:p w14:paraId="3D93F136" w14:textId="77777777" w:rsidR="005C7701" w:rsidRPr="00A641BE" w:rsidRDefault="005C7701" w:rsidP="00BF5AF8">
            <w:pPr>
              <w:pStyle w:val="enumlev2"/>
              <w:spacing w:line="240" w:lineRule="auto"/>
              <w:ind w:hanging="335"/>
              <w:rPr>
                <w:sz w:val="22"/>
                <w:lang w:val="fr-FR"/>
              </w:rPr>
            </w:pPr>
            <w:r w:rsidRPr="00A641BE">
              <w:rPr>
                <w:i/>
                <w:iCs/>
                <w:sz w:val="22"/>
                <w:lang w:val="fr-FR"/>
              </w:rPr>
              <w:t>a)</w:t>
            </w:r>
            <w:r w:rsidRPr="00A641BE">
              <w:rPr>
                <w:sz w:val="22"/>
                <w:lang w:val="fr-FR"/>
              </w:rPr>
              <w:tab/>
              <w:t>l'Annexe 3 (Rév.CMR-19) pour l'examen au titre du § 6.19 c);</w:t>
            </w:r>
          </w:p>
          <w:p w14:paraId="6F997A68" w14:textId="77777777" w:rsidR="005C7701" w:rsidRPr="00A641BE" w:rsidRDefault="005C7701" w:rsidP="00BF5AF8">
            <w:pPr>
              <w:pStyle w:val="enumlev2"/>
              <w:spacing w:line="240" w:lineRule="auto"/>
              <w:ind w:hanging="335"/>
              <w:rPr>
                <w:sz w:val="22"/>
                <w:lang w:val="fr-FR"/>
              </w:rPr>
            </w:pPr>
            <w:r w:rsidRPr="00A641BE">
              <w:rPr>
                <w:i/>
                <w:iCs/>
                <w:sz w:val="22"/>
                <w:lang w:val="fr-FR"/>
              </w:rPr>
              <w:t>b)</w:t>
            </w:r>
            <w:r w:rsidRPr="00A641BE">
              <w:rPr>
                <w:sz w:val="22"/>
                <w:lang w:val="fr-FR"/>
              </w:rPr>
              <w:tab/>
              <w:t xml:space="preserve">l'Annexe 4 (Rév.CMR-19) et les nouveaux critères auxquels il est fait référence dans la Résolution </w:t>
            </w:r>
            <w:r w:rsidRPr="00A641BE">
              <w:rPr>
                <w:b/>
                <w:sz w:val="22"/>
                <w:lang w:val="fr-FR"/>
              </w:rPr>
              <w:t>[A7(E)-AP30B] (CMR-19)</w:t>
            </w:r>
            <w:r w:rsidRPr="00A641BE">
              <w:rPr>
                <w:sz w:val="22"/>
                <w:lang w:val="fr-FR"/>
              </w:rPr>
              <w:t xml:space="preserve"> pour l'examen au titre du § 6.21, selon qu'il convient;</w:t>
            </w:r>
          </w:p>
          <w:p w14:paraId="6DF9E728" w14:textId="77777777" w:rsidR="005C7701" w:rsidRPr="00A641BE" w:rsidRDefault="005C7701" w:rsidP="00BF5AF8">
            <w:pPr>
              <w:pStyle w:val="enumlev2"/>
              <w:spacing w:line="240" w:lineRule="auto"/>
              <w:ind w:hanging="335"/>
              <w:rPr>
                <w:sz w:val="22"/>
                <w:lang w:val="fr-FR"/>
              </w:rPr>
            </w:pPr>
            <w:r w:rsidRPr="00A641BE">
              <w:rPr>
                <w:i/>
                <w:iCs/>
                <w:sz w:val="22"/>
                <w:lang w:val="fr-FR"/>
              </w:rPr>
              <w:t>c)</w:t>
            </w:r>
            <w:r w:rsidRPr="00A641BE">
              <w:rPr>
                <w:sz w:val="22"/>
                <w:lang w:val="fr-FR"/>
              </w:rPr>
              <w:tab/>
              <w:t xml:space="preserve">l'Annexe 4 (Rév.CMR-19) et les nouveaux critères auxquels il est fait référence dans la Résolution </w:t>
            </w:r>
            <w:r w:rsidRPr="00A641BE">
              <w:rPr>
                <w:b/>
                <w:sz w:val="22"/>
                <w:lang w:val="fr-FR"/>
              </w:rPr>
              <w:t>[A7(E)-AP30B] (CMR-19)</w:t>
            </w:r>
            <w:r w:rsidRPr="00A641BE">
              <w:rPr>
                <w:sz w:val="22"/>
                <w:lang w:val="fr-FR"/>
              </w:rPr>
              <w:t xml:space="preserve"> pour l'examen complémentaire au titre de la note YY relative au § 6.21 c), selon qu'il convient;</w:t>
            </w:r>
          </w:p>
          <w:p w14:paraId="2725E1A5" w14:textId="77777777" w:rsidR="005C7701" w:rsidRPr="00A641BE" w:rsidRDefault="005C7701" w:rsidP="00BF5AF8">
            <w:pPr>
              <w:pStyle w:val="enumlev2"/>
              <w:spacing w:line="240" w:lineRule="auto"/>
              <w:ind w:hanging="335"/>
              <w:rPr>
                <w:sz w:val="22"/>
                <w:lang w:val="fr-FR"/>
              </w:rPr>
            </w:pPr>
            <w:r w:rsidRPr="00A641BE">
              <w:rPr>
                <w:i/>
                <w:iCs/>
                <w:sz w:val="22"/>
                <w:lang w:val="fr-FR"/>
              </w:rPr>
              <w:t>d)</w:t>
            </w:r>
            <w:r w:rsidRPr="00A641BE">
              <w:rPr>
                <w:sz w:val="22"/>
                <w:lang w:val="fr-FR"/>
              </w:rPr>
              <w:tab/>
              <w:t xml:space="preserve">l'Annexe 4 (Rév.CMR-19) et les nouveaux critères auxquels il est fait référence dans la Résolution </w:t>
            </w:r>
            <w:r w:rsidRPr="00A641BE">
              <w:rPr>
                <w:b/>
                <w:sz w:val="22"/>
                <w:lang w:val="fr-FR"/>
              </w:rPr>
              <w:t>[A7(E)-AP30B] (CMR-19)</w:t>
            </w:r>
            <w:r w:rsidRPr="00A641BE">
              <w:rPr>
                <w:sz w:val="22"/>
                <w:lang w:val="fr-FR"/>
              </w:rPr>
              <w:t xml:space="preserve"> pour l'examen au titre du § 6.22, selon qu'il convient.</w:t>
            </w:r>
          </w:p>
          <w:p w14:paraId="734E3102" w14:textId="77777777" w:rsidR="005C7701" w:rsidRPr="00A641BE" w:rsidRDefault="005C7701" w:rsidP="00602FB1">
            <w:pPr>
              <w:pStyle w:val="Tabletext"/>
              <w:tabs>
                <w:tab w:val="clear" w:pos="1134"/>
                <w:tab w:val="clear" w:pos="2268"/>
              </w:tabs>
              <w:spacing w:before="80"/>
              <w:rPr>
                <w:sz w:val="22"/>
                <w:lang w:val="fr-FR"/>
              </w:rPr>
            </w:pPr>
            <w:r w:rsidRPr="00A641BE">
              <w:rPr>
                <w:sz w:val="22"/>
                <w:lang w:val="fr-FR"/>
              </w:rPr>
              <w:lastRenderedPageBreak/>
              <w:t>Application du § 6.16:</w:t>
            </w:r>
          </w:p>
          <w:p w14:paraId="19BB112A" w14:textId="77777777" w:rsidR="005C7701" w:rsidRPr="00A641BE" w:rsidRDefault="005C7701" w:rsidP="00602FB1">
            <w:pPr>
              <w:pStyle w:val="Tabletext"/>
              <w:tabs>
                <w:tab w:val="clear" w:pos="284"/>
                <w:tab w:val="clear" w:pos="1134"/>
              </w:tabs>
              <w:spacing w:before="80"/>
              <w:ind w:left="567" w:hanging="567"/>
              <w:rPr>
                <w:sz w:val="22"/>
                <w:lang w:val="fr-FR"/>
              </w:rPr>
            </w:pPr>
            <w:r w:rsidRPr="00A641BE">
              <w:rPr>
                <w:sz w:val="22"/>
                <w:lang w:val="fr-FR"/>
              </w:rPr>
              <w:t>–</w:t>
            </w:r>
            <w:r w:rsidRPr="00A641BE">
              <w:rPr>
                <w:sz w:val="22"/>
                <w:lang w:val="fr-FR"/>
              </w:rPr>
              <w:tab/>
              <w:t>Pour l'exclusion des territoires de l'administration concernée, le Bureau doit appliquer l'Annexe 4 (Rév.CMR-07) jusqu'à ce que les dernières soumissions complètes au titre du § 6.1 ou du § 6.17 reçues par le Bureau avant le 23 novembre 2019 aient été examinées et, par la suite, l'Annexe 4 (Rév.CMR-19).</w:t>
            </w:r>
          </w:p>
          <w:p w14:paraId="388E406A" w14:textId="77777777" w:rsidR="005C7701" w:rsidRPr="00A641BE" w:rsidRDefault="005C7701" w:rsidP="00602FB1">
            <w:pPr>
              <w:pStyle w:val="Tabletext"/>
              <w:tabs>
                <w:tab w:val="clear" w:pos="284"/>
                <w:tab w:val="clear" w:pos="1134"/>
              </w:tabs>
              <w:spacing w:before="80"/>
              <w:ind w:left="567" w:hanging="567"/>
              <w:rPr>
                <w:sz w:val="22"/>
                <w:lang w:val="fr-FR"/>
              </w:rPr>
            </w:pPr>
            <w:r w:rsidRPr="00A641BE">
              <w:rPr>
                <w:sz w:val="22"/>
                <w:lang w:val="fr-FR"/>
              </w:rPr>
              <w:t>–</w:t>
            </w:r>
            <w:r w:rsidRPr="00A641BE">
              <w:rPr>
                <w:sz w:val="22"/>
                <w:lang w:val="fr-FR"/>
              </w:rPr>
              <w:tab/>
              <w:t>Si une demande au titre du § 6.16 est soumise en vue d'être prise en compte pour l'examen de soumissions complètes au titre du § 6.17, lors de l'examen de ces soumissions, le Bureau doit appliquer l'Annexe 4 appropriée, à savoir celle qui a été utilisée pour l'examen au titre du § 6.21 et du § 6.22, comme indiqué ci-avant.</w:t>
            </w:r>
          </w:p>
          <w:p w14:paraId="7A4DE5C9" w14:textId="77777777" w:rsidR="00602FB1" w:rsidRDefault="005C7701" w:rsidP="00602FB1">
            <w:pPr>
              <w:pStyle w:val="Tabletext"/>
              <w:tabs>
                <w:tab w:val="clear" w:pos="1134"/>
                <w:tab w:val="clear" w:pos="2268"/>
              </w:tabs>
              <w:spacing w:before="80"/>
              <w:rPr>
                <w:sz w:val="22"/>
                <w:lang w:val="fr-FR"/>
              </w:rPr>
            </w:pPr>
            <w:r w:rsidRPr="00A641BE">
              <w:rPr>
                <w:sz w:val="22"/>
                <w:lang w:val="fr-FR"/>
              </w:rPr>
              <w:t xml:space="preserve">Application du § 6.27 pour la mise à jour des critères: </w:t>
            </w:r>
          </w:p>
          <w:p w14:paraId="4449F946" w14:textId="5102FA6C" w:rsidR="005C7701" w:rsidRPr="00A641BE" w:rsidRDefault="005C7701" w:rsidP="00602FB1">
            <w:pPr>
              <w:pStyle w:val="Tabletext"/>
              <w:tabs>
                <w:tab w:val="clear" w:pos="1134"/>
                <w:tab w:val="clear" w:pos="2268"/>
              </w:tabs>
              <w:spacing w:before="80"/>
              <w:rPr>
                <w:sz w:val="22"/>
                <w:lang w:val="fr-FR"/>
              </w:rPr>
            </w:pPr>
            <w:r w:rsidRPr="00A641BE">
              <w:rPr>
                <w:sz w:val="22"/>
                <w:lang w:val="fr-FR"/>
              </w:rPr>
              <w:t>Le Bureau doit appliquer l'Annexe 4 (Rév.CMR</w:t>
            </w:r>
            <w:r w:rsidRPr="00A641BE">
              <w:rPr>
                <w:sz w:val="22"/>
                <w:lang w:val="fr-FR"/>
              </w:rPr>
              <w:noBreakHyphen/>
              <w:t>07) jusqu'à ce que les dernières soumissions complètes au titre du § 6.1 ou du § 6.17 reçues par le Bureau avant le 23 novembre 2019 aient été examinées et, par la suite, l'Annexe 4 (Rév.CMR-19).</w:t>
            </w:r>
          </w:p>
          <w:p w14:paraId="64ECD94E" w14:textId="77777777" w:rsidR="005C7701" w:rsidRPr="00A641BE" w:rsidRDefault="005C7701" w:rsidP="00602FB1">
            <w:pPr>
              <w:pStyle w:val="Tabletext"/>
              <w:tabs>
                <w:tab w:val="clear" w:pos="1134"/>
                <w:tab w:val="clear" w:pos="2268"/>
              </w:tabs>
              <w:spacing w:before="80"/>
              <w:rPr>
                <w:sz w:val="22"/>
                <w:lang w:val="fr-FR"/>
              </w:rPr>
            </w:pPr>
            <w:r w:rsidRPr="00A641BE">
              <w:rPr>
                <w:sz w:val="22"/>
                <w:lang w:val="fr-FR"/>
              </w:rPr>
              <w:t>Application du § 7.5:</w:t>
            </w:r>
          </w:p>
          <w:p w14:paraId="6D596E3C" w14:textId="2DEBFAD8" w:rsidR="005C7701" w:rsidRPr="00A641BE" w:rsidRDefault="005C7701" w:rsidP="00602FB1">
            <w:pPr>
              <w:pStyle w:val="Tabletext"/>
              <w:tabs>
                <w:tab w:val="clear" w:pos="284"/>
                <w:tab w:val="clear" w:pos="1134"/>
              </w:tabs>
              <w:spacing w:before="80"/>
              <w:ind w:left="567" w:hanging="567"/>
              <w:rPr>
                <w:sz w:val="22"/>
                <w:lang w:val="fr-FR"/>
              </w:rPr>
            </w:pPr>
            <w:r w:rsidRPr="00A641BE">
              <w:rPr>
                <w:sz w:val="22"/>
                <w:lang w:val="fr-FR"/>
              </w:rPr>
              <w:t>–</w:t>
            </w:r>
            <w:r w:rsidRPr="00A641BE">
              <w:rPr>
                <w:sz w:val="22"/>
                <w:lang w:val="fr-FR"/>
              </w:rPr>
              <w:tab/>
              <w:t xml:space="preserve">Pour une demande au titre de l'Article </w:t>
            </w:r>
            <w:r w:rsidRPr="00A641BE">
              <w:rPr>
                <w:b/>
                <w:sz w:val="22"/>
                <w:lang w:val="fr-FR"/>
              </w:rPr>
              <w:t>7</w:t>
            </w:r>
            <w:r w:rsidRPr="00A641BE">
              <w:rPr>
                <w:sz w:val="22"/>
                <w:lang w:val="fr-FR"/>
              </w:rPr>
              <w:t xml:space="preserve"> reçue avant le 23 novembre 2019, le Bureau doit appliquer l'Annexe 3 (CMR</w:t>
            </w:r>
            <w:r w:rsidR="00602FB1">
              <w:rPr>
                <w:sz w:val="22"/>
                <w:lang w:val="fr-FR"/>
              </w:rPr>
              <w:noBreakHyphen/>
            </w:r>
            <w:r w:rsidRPr="00A641BE">
              <w:rPr>
                <w:sz w:val="22"/>
                <w:lang w:val="fr-FR"/>
              </w:rPr>
              <w:t>07) et l'Annexe 4 (Rév.CMR-07).</w:t>
            </w:r>
          </w:p>
          <w:p w14:paraId="1AE6D907" w14:textId="77777777" w:rsidR="005C7701" w:rsidRPr="00A641BE" w:rsidRDefault="005C7701" w:rsidP="00602FB1">
            <w:pPr>
              <w:pStyle w:val="Tabletext"/>
              <w:tabs>
                <w:tab w:val="clear" w:pos="284"/>
                <w:tab w:val="clear" w:pos="1134"/>
              </w:tabs>
              <w:spacing w:before="80"/>
              <w:ind w:left="567" w:hanging="567"/>
              <w:rPr>
                <w:sz w:val="22"/>
                <w:lang w:val="fr-FR"/>
              </w:rPr>
            </w:pPr>
            <w:r w:rsidRPr="00A641BE">
              <w:rPr>
                <w:sz w:val="22"/>
                <w:lang w:val="fr-FR"/>
              </w:rPr>
              <w:t>–</w:t>
            </w:r>
            <w:r w:rsidRPr="00A641BE">
              <w:rPr>
                <w:sz w:val="22"/>
                <w:lang w:val="fr-FR"/>
              </w:rPr>
              <w:tab/>
              <w:t xml:space="preserve">Pour une demande au titre de l'Article </w:t>
            </w:r>
            <w:r w:rsidRPr="00A641BE">
              <w:rPr>
                <w:b/>
                <w:sz w:val="22"/>
                <w:lang w:val="fr-FR"/>
              </w:rPr>
              <w:t>7</w:t>
            </w:r>
            <w:r w:rsidRPr="00A641BE">
              <w:rPr>
                <w:sz w:val="22"/>
                <w:lang w:val="fr-FR"/>
              </w:rPr>
              <w:t xml:space="preserve"> reçue après le 22 novembre 2019, le Bureau doit appliquer l'Annexe 3 (Rév.CMR-19) et l'Annexe 4 (Rév.CMR-19).</w:t>
            </w:r>
          </w:p>
          <w:p w14:paraId="3D71DAAC" w14:textId="181E1F49" w:rsidR="00762AEF" w:rsidRPr="00A641BE" w:rsidRDefault="005C7701" w:rsidP="00602FB1">
            <w:pPr>
              <w:pStyle w:val="Tabletext"/>
              <w:tabs>
                <w:tab w:val="clear" w:pos="1134"/>
                <w:tab w:val="clear" w:pos="2268"/>
              </w:tabs>
              <w:spacing w:before="80"/>
              <w:rPr>
                <w:sz w:val="22"/>
                <w:lang w:val="fr-FR"/>
              </w:rPr>
            </w:pPr>
            <w:r w:rsidRPr="00A641BE">
              <w:rPr>
                <w:sz w:val="22"/>
                <w:lang w:val="fr-FR"/>
              </w:rPr>
              <w:t xml:space="preserve">Pour l'examen au titre du § 6.21 c), le Bureau doit aussi tenir compte des soumissions complètes au titre du § 6.1 en application de la Résolution </w:t>
            </w:r>
            <w:r w:rsidRPr="00A641BE">
              <w:rPr>
                <w:b/>
                <w:sz w:val="22"/>
                <w:lang w:val="fr-FR"/>
              </w:rPr>
              <w:t>[A7(E)-AP30B] (CMR-19)</w:t>
            </w:r>
            <w:r w:rsidRPr="00A641BE">
              <w:rPr>
                <w:sz w:val="22"/>
                <w:lang w:val="fr-FR"/>
              </w:rPr>
              <w:t xml:space="preserve"> et de la demande soumise au titre de l'Article </w:t>
            </w:r>
            <w:r w:rsidRPr="00A641BE">
              <w:rPr>
                <w:b/>
                <w:sz w:val="22"/>
                <w:lang w:val="fr-FR"/>
              </w:rPr>
              <w:t>7</w:t>
            </w:r>
            <w:r w:rsidRPr="00A641BE">
              <w:rPr>
                <w:sz w:val="22"/>
                <w:lang w:val="fr-FR"/>
              </w:rPr>
              <w:t xml:space="preserve"> transférée au titre de l'Article </w:t>
            </w:r>
            <w:r w:rsidRPr="00A641BE">
              <w:rPr>
                <w:bCs/>
                <w:sz w:val="22"/>
                <w:lang w:val="fr-FR"/>
              </w:rPr>
              <w:t>6</w:t>
            </w:r>
            <w:r w:rsidRPr="00A641BE">
              <w:rPr>
                <w:sz w:val="22"/>
                <w:lang w:val="fr-FR"/>
              </w:rPr>
              <w:t xml:space="preserve"> en vertu du § 7.7 et ayant été examinée avant la date de réception de la fiche de notification examinée, soumise au titre du § 6.1.</w:t>
            </w:r>
          </w:p>
        </w:tc>
      </w:tr>
      <w:tr w:rsidR="00762AEF" w:rsidRPr="00AD36B1" w14:paraId="02A396FE" w14:textId="77777777" w:rsidTr="00D235A4">
        <w:trPr>
          <w:cantSplit/>
        </w:trPr>
        <w:tc>
          <w:tcPr>
            <w:tcW w:w="1696" w:type="dxa"/>
          </w:tcPr>
          <w:p w14:paraId="42E37CE9" w14:textId="263D9947" w:rsidR="00762AEF" w:rsidRPr="00A641BE" w:rsidRDefault="005C7701" w:rsidP="00437BD9">
            <w:pPr>
              <w:pStyle w:val="Tablehead"/>
              <w:keepNext w:val="0"/>
              <w:jc w:val="left"/>
              <w:rPr>
                <w:bCs/>
                <w:sz w:val="22"/>
                <w:lang w:val="fr-FR"/>
              </w:rPr>
            </w:pPr>
            <w:r w:rsidRPr="00A641BE">
              <w:rPr>
                <w:sz w:val="22"/>
                <w:lang w:val="fr-FR"/>
              </w:rPr>
              <w:lastRenderedPageBreak/>
              <w:t xml:space="preserve">Document </w:t>
            </w:r>
            <w:hyperlink r:id="rId42" w:history="1">
              <w:r w:rsidRPr="00EA3EF0">
                <w:rPr>
                  <w:rStyle w:val="Hyperlink"/>
                  <w:sz w:val="22"/>
                  <w:lang w:val="fr-FR"/>
                </w:rPr>
                <w:t>CMR19/572</w:t>
              </w:r>
            </w:hyperlink>
            <w:r w:rsidRPr="00A641BE">
              <w:rPr>
                <w:sz w:val="22"/>
                <w:lang w:val="fr-FR"/>
              </w:rPr>
              <w:t xml:space="preserve"> – Procès-verbal de la onzième séance plénière</w:t>
            </w:r>
          </w:p>
        </w:tc>
        <w:tc>
          <w:tcPr>
            <w:tcW w:w="2127" w:type="dxa"/>
          </w:tcPr>
          <w:p w14:paraId="2BA9B878" w14:textId="1B840A8F" w:rsidR="005C7701" w:rsidRPr="00A641BE" w:rsidRDefault="005C7701" w:rsidP="00437BD9">
            <w:pPr>
              <w:pStyle w:val="Tablehead"/>
              <w:keepNext w:val="0"/>
              <w:jc w:val="left"/>
              <w:rPr>
                <w:sz w:val="22"/>
                <w:lang w:val="fr-FR"/>
              </w:rPr>
            </w:pPr>
            <w:r w:rsidRPr="00A641BE">
              <w:rPr>
                <w:sz w:val="22"/>
                <w:lang w:val="fr-FR"/>
              </w:rPr>
              <w:t>Paragraphes 1.7 à</w:t>
            </w:r>
            <w:r w:rsidR="00602FB1">
              <w:rPr>
                <w:sz w:val="22"/>
                <w:lang w:val="fr-FR"/>
              </w:rPr>
              <w:t> </w:t>
            </w:r>
            <w:r w:rsidRPr="00A641BE">
              <w:rPr>
                <w:sz w:val="22"/>
                <w:lang w:val="fr-FR"/>
              </w:rPr>
              <w:t>1.10</w:t>
            </w:r>
          </w:p>
          <w:p w14:paraId="2C3BDDAC" w14:textId="49867C87" w:rsidR="00762AEF" w:rsidRPr="00A641BE" w:rsidRDefault="005C7701" w:rsidP="00437BD9">
            <w:pPr>
              <w:pStyle w:val="Tablehead"/>
              <w:keepNext w:val="0"/>
              <w:jc w:val="left"/>
              <w:rPr>
                <w:sz w:val="22"/>
                <w:lang w:val="fr-FR"/>
              </w:rPr>
            </w:pPr>
            <w:r w:rsidRPr="00A641BE">
              <w:rPr>
                <w:sz w:val="22"/>
                <w:lang w:val="fr-FR"/>
              </w:rPr>
              <w:t xml:space="preserve">Approbation du Document </w:t>
            </w:r>
            <w:hyperlink r:id="rId43" w:history="1">
              <w:r w:rsidR="006779BF" w:rsidRPr="00EA3EF0">
                <w:rPr>
                  <w:rStyle w:val="Hyperlink"/>
                  <w:sz w:val="22"/>
                  <w:lang w:val="fr-FR"/>
                </w:rPr>
                <w:t>402</w:t>
              </w:r>
            </w:hyperlink>
          </w:p>
        </w:tc>
        <w:tc>
          <w:tcPr>
            <w:tcW w:w="11340" w:type="dxa"/>
          </w:tcPr>
          <w:p w14:paraId="0FB3DFF6" w14:textId="2D8EC6AB" w:rsidR="00762AEF" w:rsidRPr="00A641BE" w:rsidRDefault="006779BF" w:rsidP="00602FB1">
            <w:pPr>
              <w:pStyle w:val="Tabletext"/>
              <w:tabs>
                <w:tab w:val="clear" w:pos="1134"/>
                <w:tab w:val="clear" w:pos="2268"/>
              </w:tabs>
              <w:spacing w:before="80"/>
              <w:rPr>
                <w:sz w:val="22"/>
                <w:lang w:val="fr-FR"/>
              </w:rPr>
            </w:pPr>
            <w:r w:rsidRPr="00A641BE">
              <w:rPr>
                <w:sz w:val="22"/>
                <w:lang w:val="fr-FR"/>
              </w:rPr>
              <w:t xml:space="preserve">En ce qui concerne les radars météorologiques, la révision du point 8 du </w:t>
            </w:r>
            <w:r w:rsidRPr="00A641BE">
              <w:rPr>
                <w:i/>
                <w:sz w:val="22"/>
                <w:lang w:val="fr-FR"/>
              </w:rPr>
              <w:t>décide</w:t>
            </w:r>
            <w:r w:rsidRPr="00A641BE">
              <w:rPr>
                <w:b/>
                <w:i/>
                <w:sz w:val="22"/>
                <w:lang w:val="fr-FR"/>
              </w:rPr>
              <w:t xml:space="preserve"> </w:t>
            </w:r>
            <w:r w:rsidRPr="00A641BE">
              <w:rPr>
                <w:sz w:val="22"/>
                <w:lang w:val="fr-FR"/>
              </w:rPr>
              <w:t xml:space="preserve">de la Résolution </w:t>
            </w:r>
            <w:r w:rsidRPr="00A641BE">
              <w:rPr>
                <w:b/>
                <w:sz w:val="22"/>
                <w:lang w:val="fr-FR"/>
              </w:rPr>
              <w:t>229 (Rév.CMR-19)</w:t>
            </w:r>
            <w:r w:rsidRPr="00A641BE">
              <w:rPr>
                <w:sz w:val="22"/>
                <w:lang w:val="fr-FR"/>
              </w:rPr>
              <w:t xml:space="preserve"> telle qu'approuvée au titre du point 9.1 (Question 9.1.5) de l'ordre du jour (CMR-19) est strictement limitée à la spécification de paramètres de sélection dynamique de fréquences vis-à-vis des modifications apportées aux renvois 5.447F et 5.450A.</w:t>
            </w:r>
          </w:p>
        </w:tc>
      </w:tr>
      <w:tr w:rsidR="006779BF" w:rsidRPr="00AD36B1" w14:paraId="453C84BE" w14:textId="77777777" w:rsidTr="00D235A4">
        <w:trPr>
          <w:cantSplit/>
        </w:trPr>
        <w:tc>
          <w:tcPr>
            <w:tcW w:w="1696" w:type="dxa"/>
            <w:vMerge w:val="restart"/>
          </w:tcPr>
          <w:p w14:paraId="55953D99" w14:textId="7EFA18C4" w:rsidR="006779BF" w:rsidRPr="00A641BE" w:rsidRDefault="006779BF" w:rsidP="00437BD9">
            <w:pPr>
              <w:pStyle w:val="Tablehead"/>
              <w:keepNext w:val="0"/>
              <w:jc w:val="left"/>
              <w:rPr>
                <w:bCs/>
                <w:sz w:val="22"/>
                <w:lang w:val="fr-FR"/>
              </w:rPr>
            </w:pPr>
            <w:r w:rsidRPr="00A641BE">
              <w:rPr>
                <w:sz w:val="22"/>
                <w:lang w:val="fr-FR"/>
              </w:rPr>
              <w:lastRenderedPageBreak/>
              <w:t xml:space="preserve">Document </w:t>
            </w:r>
            <w:hyperlink r:id="rId44" w:history="1">
              <w:r w:rsidRPr="00EA3EF0">
                <w:rPr>
                  <w:rStyle w:val="Hyperlink"/>
                  <w:sz w:val="22"/>
                  <w:lang w:val="fr-FR"/>
                </w:rPr>
                <w:t>CMR19/573</w:t>
              </w:r>
            </w:hyperlink>
            <w:r w:rsidRPr="00A641BE">
              <w:rPr>
                <w:sz w:val="22"/>
                <w:lang w:val="fr-FR"/>
              </w:rPr>
              <w:t xml:space="preserve"> – Procès-verbal de la douzième séance plénière</w:t>
            </w:r>
          </w:p>
        </w:tc>
        <w:tc>
          <w:tcPr>
            <w:tcW w:w="2127" w:type="dxa"/>
          </w:tcPr>
          <w:p w14:paraId="7F87E0ED" w14:textId="2776CCB4" w:rsidR="006779BF" w:rsidRPr="00A641BE" w:rsidRDefault="006779BF" w:rsidP="00437BD9">
            <w:pPr>
              <w:pStyle w:val="Tablehead"/>
              <w:keepNext w:val="0"/>
              <w:jc w:val="left"/>
              <w:rPr>
                <w:sz w:val="22"/>
                <w:lang w:val="fr-FR"/>
              </w:rPr>
            </w:pPr>
            <w:r w:rsidRPr="00A641BE">
              <w:rPr>
                <w:sz w:val="22"/>
                <w:lang w:val="fr-FR"/>
              </w:rPr>
              <w:t>Paragraphes 3.13 à</w:t>
            </w:r>
            <w:r w:rsidR="00602FB1">
              <w:rPr>
                <w:sz w:val="22"/>
                <w:lang w:val="fr-FR"/>
              </w:rPr>
              <w:t> </w:t>
            </w:r>
            <w:r w:rsidRPr="00A641BE">
              <w:rPr>
                <w:sz w:val="22"/>
                <w:lang w:val="fr-FR"/>
              </w:rPr>
              <w:t>3.16</w:t>
            </w:r>
          </w:p>
          <w:p w14:paraId="59690314" w14:textId="559A1309" w:rsidR="006779BF" w:rsidRPr="00A641BE" w:rsidRDefault="006779BF" w:rsidP="00437BD9">
            <w:pPr>
              <w:pStyle w:val="Tablehead"/>
              <w:keepNext w:val="0"/>
              <w:jc w:val="left"/>
              <w:rPr>
                <w:sz w:val="22"/>
                <w:lang w:val="fr-FR"/>
              </w:rPr>
            </w:pPr>
            <w:r w:rsidRPr="00A641BE">
              <w:rPr>
                <w:sz w:val="22"/>
                <w:lang w:val="fr-FR"/>
              </w:rPr>
              <w:t xml:space="preserve">Approbation du Document </w:t>
            </w:r>
            <w:hyperlink r:id="rId45" w:history="1">
              <w:r w:rsidRPr="00EA3EF0">
                <w:rPr>
                  <w:rStyle w:val="Hyperlink"/>
                  <w:sz w:val="22"/>
                  <w:lang w:val="fr-FR"/>
                </w:rPr>
                <w:t>518(Corr.1)</w:t>
              </w:r>
            </w:hyperlink>
          </w:p>
        </w:tc>
        <w:tc>
          <w:tcPr>
            <w:tcW w:w="11340" w:type="dxa"/>
          </w:tcPr>
          <w:p w14:paraId="0694A52C" w14:textId="7A8E6491" w:rsidR="006779BF" w:rsidRPr="00A641BE" w:rsidRDefault="006779BF" w:rsidP="00602FB1">
            <w:pPr>
              <w:pStyle w:val="Tabletext"/>
              <w:tabs>
                <w:tab w:val="clear" w:pos="1134"/>
                <w:tab w:val="clear" w:pos="2268"/>
              </w:tabs>
              <w:spacing w:before="80"/>
              <w:rPr>
                <w:b/>
                <w:bCs/>
                <w:iCs/>
                <w:sz w:val="22"/>
                <w:lang w:val="fr-FR"/>
              </w:rPr>
            </w:pPr>
            <w:r w:rsidRPr="00A641BE">
              <w:rPr>
                <w:b/>
                <w:bCs/>
                <w:iCs/>
                <w:sz w:val="22"/>
                <w:lang w:val="fr-FR"/>
              </w:rPr>
              <w:t>Demande relative aux réseaux à satellite MNG00000 et SANSAR-1 (113,6° E)</w:t>
            </w:r>
          </w:p>
          <w:p w14:paraId="2CA807B5" w14:textId="70A119A1" w:rsidR="006779BF" w:rsidRPr="00A641BE" w:rsidRDefault="006779BF" w:rsidP="00602FB1">
            <w:pPr>
              <w:pStyle w:val="Tabletext"/>
              <w:tabs>
                <w:tab w:val="clear" w:pos="1134"/>
                <w:tab w:val="clear" w:pos="2268"/>
              </w:tabs>
              <w:spacing w:before="80"/>
              <w:rPr>
                <w:sz w:val="22"/>
                <w:lang w:val="fr-FR"/>
              </w:rPr>
            </w:pPr>
            <w:r w:rsidRPr="00A641BE">
              <w:rPr>
                <w:sz w:val="22"/>
                <w:lang w:val="fr-FR"/>
              </w:rPr>
              <w:t xml:space="preserve">La CMR-19 a examiné la demande spécifique présentée par la Mongolie dans le Document </w:t>
            </w:r>
            <w:r w:rsidRPr="0017049F">
              <w:rPr>
                <w:sz w:val="22"/>
                <w:lang w:val="fr-FR"/>
              </w:rPr>
              <w:t>164</w:t>
            </w:r>
            <w:r w:rsidRPr="00A641BE">
              <w:rPr>
                <w:sz w:val="22"/>
                <w:lang w:val="fr-FR"/>
              </w:rPr>
              <w:t xml:space="preserve"> concernant la situation de référence du système à satellites de la Mongolie (113,6° E) dans le Plan du SFS. La CMR-19 charge le Bureau des radiocommunications d'appliquer les critères énoncés au § 2.1 de l'Annexe </w:t>
            </w:r>
            <w:r w:rsidRPr="00A641BE">
              <w:rPr>
                <w:b/>
                <w:bCs/>
                <w:sz w:val="22"/>
                <w:lang w:val="fr-FR"/>
              </w:rPr>
              <w:t>4</w:t>
            </w:r>
            <w:r w:rsidRPr="00A641BE">
              <w:rPr>
                <w:sz w:val="22"/>
                <w:lang w:val="fr-FR"/>
              </w:rPr>
              <w:t xml:space="preserve"> de l'Appendice </w:t>
            </w:r>
            <w:r w:rsidRPr="00A641BE">
              <w:rPr>
                <w:b/>
                <w:bCs/>
                <w:sz w:val="22"/>
                <w:lang w:val="fr-FR"/>
              </w:rPr>
              <w:t>30B</w:t>
            </w:r>
            <w:r w:rsidRPr="00A641BE">
              <w:rPr>
                <w:sz w:val="22"/>
                <w:lang w:val="fr-FR"/>
              </w:rPr>
              <w:t xml:space="preserve"> du RR (tel que révisé par la</w:t>
            </w:r>
            <w:r w:rsidR="00602FB1">
              <w:rPr>
                <w:sz w:val="22"/>
                <w:lang w:val="fr-FR"/>
              </w:rPr>
              <w:t> </w:t>
            </w:r>
            <w:r w:rsidRPr="00A641BE">
              <w:rPr>
                <w:sz w:val="22"/>
                <w:lang w:val="fr-FR"/>
              </w:rPr>
              <w:t xml:space="preserve">CMR-19) aux réseaux MNG00000 et SANSAR-1 de la Mongolie, lorsqu'il procèdera à l'examen des assignations soumises en vertu du § 6.17 de l'Appendice </w:t>
            </w:r>
            <w:r w:rsidRPr="00A641BE">
              <w:rPr>
                <w:b/>
                <w:bCs/>
                <w:sz w:val="22"/>
                <w:lang w:val="fr-FR"/>
              </w:rPr>
              <w:t>30B</w:t>
            </w:r>
            <w:r w:rsidRPr="00A641BE">
              <w:rPr>
                <w:sz w:val="22"/>
                <w:lang w:val="fr-FR"/>
              </w:rPr>
              <w:t xml:space="preserve"> du RR après le 22 novembre 2019 et concernant les assignations soumises en vertu du § 6.1 de l'Appendice </w:t>
            </w:r>
            <w:r w:rsidRPr="00A641BE">
              <w:rPr>
                <w:b/>
                <w:bCs/>
                <w:sz w:val="22"/>
                <w:lang w:val="fr-FR"/>
              </w:rPr>
              <w:t>30B</w:t>
            </w:r>
            <w:r w:rsidRPr="00A641BE">
              <w:rPr>
                <w:sz w:val="22"/>
                <w:lang w:val="fr-FR"/>
              </w:rPr>
              <w:t xml:space="preserve"> du RR avant le 23 novembre 2019.</w:t>
            </w:r>
          </w:p>
        </w:tc>
      </w:tr>
      <w:tr w:rsidR="006779BF" w:rsidRPr="00AD36B1" w14:paraId="6EF14FB8" w14:textId="77777777" w:rsidTr="00D235A4">
        <w:trPr>
          <w:cantSplit/>
        </w:trPr>
        <w:tc>
          <w:tcPr>
            <w:tcW w:w="1696" w:type="dxa"/>
            <w:vMerge/>
          </w:tcPr>
          <w:p w14:paraId="2C576588" w14:textId="77777777" w:rsidR="006779BF" w:rsidRPr="00A641BE" w:rsidRDefault="006779BF" w:rsidP="00437BD9">
            <w:pPr>
              <w:pStyle w:val="Tablehead"/>
              <w:keepNext w:val="0"/>
              <w:jc w:val="left"/>
              <w:rPr>
                <w:bCs/>
                <w:sz w:val="22"/>
                <w:lang w:val="fr-FR"/>
              </w:rPr>
            </w:pPr>
          </w:p>
        </w:tc>
        <w:tc>
          <w:tcPr>
            <w:tcW w:w="2127" w:type="dxa"/>
          </w:tcPr>
          <w:p w14:paraId="25E389D0" w14:textId="44A5146B" w:rsidR="006779BF" w:rsidRPr="00A641BE" w:rsidRDefault="006779BF" w:rsidP="00437BD9">
            <w:pPr>
              <w:pStyle w:val="Tablehead"/>
              <w:keepNext w:val="0"/>
              <w:jc w:val="left"/>
              <w:rPr>
                <w:sz w:val="22"/>
                <w:lang w:val="fr-FR"/>
              </w:rPr>
            </w:pPr>
            <w:r w:rsidRPr="00A641BE">
              <w:rPr>
                <w:sz w:val="22"/>
                <w:lang w:val="fr-FR"/>
              </w:rPr>
              <w:t>Paragraphes 3.17 à</w:t>
            </w:r>
            <w:r w:rsidR="00602FB1">
              <w:rPr>
                <w:sz w:val="22"/>
                <w:lang w:val="fr-FR"/>
              </w:rPr>
              <w:t> </w:t>
            </w:r>
            <w:r w:rsidRPr="00A641BE">
              <w:rPr>
                <w:sz w:val="22"/>
                <w:lang w:val="fr-FR"/>
              </w:rPr>
              <w:t>3.20</w:t>
            </w:r>
          </w:p>
          <w:p w14:paraId="2FDEDB8A" w14:textId="196AE967" w:rsidR="006779BF" w:rsidRPr="00A641BE" w:rsidRDefault="006779BF" w:rsidP="00437BD9">
            <w:pPr>
              <w:pStyle w:val="Tablehead"/>
              <w:keepNext w:val="0"/>
              <w:jc w:val="left"/>
              <w:rPr>
                <w:sz w:val="22"/>
                <w:lang w:val="fr-FR"/>
              </w:rPr>
            </w:pPr>
            <w:r w:rsidRPr="00A641BE">
              <w:rPr>
                <w:sz w:val="22"/>
                <w:lang w:val="fr-FR"/>
              </w:rPr>
              <w:t xml:space="preserve">Approbation du Document </w:t>
            </w:r>
            <w:hyperlink r:id="rId46" w:history="1">
              <w:r w:rsidRPr="00EA3EF0">
                <w:rPr>
                  <w:rStyle w:val="Hyperlink"/>
                  <w:sz w:val="22"/>
                  <w:lang w:val="fr-FR"/>
                </w:rPr>
                <w:t>518(Corr.2)</w:t>
              </w:r>
            </w:hyperlink>
          </w:p>
        </w:tc>
        <w:tc>
          <w:tcPr>
            <w:tcW w:w="11340" w:type="dxa"/>
          </w:tcPr>
          <w:p w14:paraId="7476FE1F" w14:textId="6A5C5FA1" w:rsidR="006779BF" w:rsidRPr="00A641BE" w:rsidRDefault="006779BF" w:rsidP="00602FB1">
            <w:pPr>
              <w:pStyle w:val="Tabletext"/>
              <w:tabs>
                <w:tab w:val="clear" w:pos="1134"/>
                <w:tab w:val="clear" w:pos="2268"/>
              </w:tabs>
              <w:spacing w:before="80"/>
              <w:rPr>
                <w:b/>
                <w:bCs/>
                <w:iCs/>
                <w:sz w:val="22"/>
                <w:lang w:val="fr-FR"/>
              </w:rPr>
            </w:pPr>
            <w:r w:rsidRPr="00A641BE">
              <w:rPr>
                <w:b/>
                <w:bCs/>
                <w:iCs/>
                <w:sz w:val="22"/>
                <w:lang w:val="fr-FR"/>
              </w:rPr>
              <w:t>Demande relative au réseau à satellite PSN-146E (146° E)</w:t>
            </w:r>
          </w:p>
          <w:p w14:paraId="13FFE7CC" w14:textId="0FF58AF1" w:rsidR="006779BF" w:rsidRPr="00A641BE" w:rsidRDefault="006779BF" w:rsidP="00437BD9">
            <w:pPr>
              <w:pStyle w:val="Tabletext"/>
              <w:tabs>
                <w:tab w:val="clear" w:pos="1134"/>
                <w:tab w:val="clear" w:pos="2268"/>
              </w:tabs>
              <w:rPr>
                <w:sz w:val="22"/>
                <w:lang w:val="fr-FR"/>
              </w:rPr>
            </w:pPr>
            <w:r w:rsidRPr="00A641BE">
              <w:rPr>
                <w:sz w:val="22"/>
                <w:lang w:val="fr-FR"/>
              </w:rPr>
              <w:t>La CMR-19 a examiné la demande spécifique présentée par l'Indonésie dans le Document </w:t>
            </w:r>
            <w:r w:rsidRPr="0017049F">
              <w:rPr>
                <w:sz w:val="22"/>
                <w:lang w:val="fr-FR"/>
              </w:rPr>
              <w:t>35(Add.25)</w:t>
            </w:r>
            <w:r w:rsidRPr="00A641BE">
              <w:rPr>
                <w:sz w:val="22"/>
                <w:lang w:val="fr-FR"/>
              </w:rPr>
              <w:t xml:space="preserve"> concernant la prorogation du délai réglementaire applicable à la mise en service des assignations de fréquence du réseau à satellite PSN</w:t>
            </w:r>
            <w:r w:rsidR="00602FB1">
              <w:rPr>
                <w:sz w:val="22"/>
                <w:lang w:val="fr-FR"/>
              </w:rPr>
              <w:noBreakHyphen/>
            </w:r>
            <w:r w:rsidRPr="00A641BE">
              <w:rPr>
                <w:sz w:val="22"/>
                <w:lang w:val="fr-FR"/>
              </w:rPr>
              <w:t>146E (146</w:t>
            </w:r>
            <w:r w:rsidR="0017049F">
              <w:rPr>
                <w:sz w:val="22"/>
                <w:lang w:val="fr-FR"/>
              </w:rPr>
              <w:t>°</w:t>
            </w:r>
            <w:r w:rsidRPr="00A641BE">
              <w:rPr>
                <w:sz w:val="22"/>
                <w:lang w:val="fr-FR"/>
              </w:rPr>
              <w:t xml:space="preserve"> E) dans les bandes de fréquences 17,7-21,2 GHz et 27,0-31,0 GHz, du 25 octobre 2019 au 31 mars 2023. La</w:t>
            </w:r>
            <w:r w:rsidR="00602FB1">
              <w:rPr>
                <w:sz w:val="22"/>
                <w:lang w:val="fr-FR"/>
              </w:rPr>
              <w:t> </w:t>
            </w:r>
            <w:r w:rsidRPr="00A641BE">
              <w:rPr>
                <w:sz w:val="22"/>
                <w:lang w:val="fr-FR"/>
              </w:rPr>
              <w:t>CMR-19 a décidé d'accéder à cette demande de prorogation limitée du délai, après avoir confirmé que toutes les activités de coordination des fréquences concernant ce réseau à satellite demandées par d'autres administrations pendant la</w:t>
            </w:r>
            <w:r w:rsidR="00602FB1">
              <w:rPr>
                <w:sz w:val="22"/>
                <w:lang w:val="fr-FR"/>
              </w:rPr>
              <w:t> </w:t>
            </w:r>
            <w:r w:rsidRPr="00A641BE">
              <w:rPr>
                <w:sz w:val="22"/>
                <w:lang w:val="fr-FR"/>
              </w:rPr>
              <w:t>CMR</w:t>
            </w:r>
            <w:r w:rsidR="00602FB1">
              <w:rPr>
                <w:sz w:val="22"/>
                <w:lang w:val="fr-FR"/>
              </w:rPr>
              <w:noBreakHyphen/>
            </w:r>
            <w:r w:rsidRPr="00A641BE">
              <w:rPr>
                <w:sz w:val="22"/>
                <w:lang w:val="fr-FR"/>
              </w:rPr>
              <w:t>19 avaient été menées à bien.</w:t>
            </w:r>
          </w:p>
          <w:p w14:paraId="5B6C37C7" w14:textId="77777777" w:rsidR="006779BF" w:rsidRPr="00A641BE" w:rsidRDefault="006779BF" w:rsidP="00602FB1">
            <w:pPr>
              <w:pStyle w:val="Tabletext"/>
              <w:tabs>
                <w:tab w:val="clear" w:pos="1134"/>
                <w:tab w:val="clear" w:pos="2268"/>
              </w:tabs>
              <w:spacing w:before="80"/>
              <w:rPr>
                <w:b/>
                <w:bCs/>
                <w:iCs/>
                <w:sz w:val="22"/>
                <w:lang w:val="fr-FR"/>
              </w:rPr>
            </w:pPr>
            <w:r w:rsidRPr="00A641BE">
              <w:rPr>
                <w:b/>
                <w:bCs/>
                <w:iCs/>
                <w:sz w:val="22"/>
                <w:lang w:val="fr-FR"/>
              </w:rPr>
              <w:t>Demande relative au réseau à satellite GARUDA-2 (123° E)</w:t>
            </w:r>
          </w:p>
          <w:p w14:paraId="1398FB67" w14:textId="04757ED5" w:rsidR="006779BF" w:rsidRPr="00A641BE" w:rsidRDefault="006779BF" w:rsidP="00437BD9">
            <w:pPr>
              <w:pStyle w:val="Tabletext"/>
              <w:tabs>
                <w:tab w:val="clear" w:pos="1134"/>
                <w:tab w:val="clear" w:pos="2268"/>
              </w:tabs>
              <w:rPr>
                <w:sz w:val="22"/>
                <w:lang w:val="fr-FR"/>
              </w:rPr>
            </w:pPr>
            <w:r w:rsidRPr="00A641BE">
              <w:rPr>
                <w:sz w:val="22"/>
                <w:lang w:val="fr-FR"/>
              </w:rPr>
              <w:t>La CMR-19 a examiné la demande spécifique présentée par l'Indonésie dans le Document </w:t>
            </w:r>
            <w:r w:rsidRPr="0017049F">
              <w:rPr>
                <w:sz w:val="22"/>
                <w:lang w:val="fr-FR"/>
              </w:rPr>
              <w:t>35(Add.25)</w:t>
            </w:r>
            <w:r w:rsidRPr="00A641BE">
              <w:rPr>
                <w:sz w:val="22"/>
                <w:lang w:val="fr-FR"/>
              </w:rPr>
              <w:t xml:space="preserve"> concernant la prorogation du délai réglementaire applicable à la remise en service des assignations de fréquence du réseau à satellite GARUDA-2 (123° E) dans les bandes de fréquences 1 530-1 559 MHz et 1 626,5-1 660,5 MHz, du 1er novembre 2020 au 1er novembre 2024. La CMR-19 a décidé d'accéder à cette demande de prorogation du délai et de maintenir l'inscription des assignations de fréquence du réseau GARUDA-2 dans le Fichier de référence international des fréquences, les deux étant subordonnés au respect par l'Indonésie de l'accord de coordination conclu avec les Émirat arabes unis. En outre, la CMR-19 a confirmé que toutes les activités de coordination des fréquences concernant ce réseau à satellite demandées par d'autres administrations pendant la CMR-19 avaient été menées à bien.</w:t>
            </w:r>
          </w:p>
        </w:tc>
      </w:tr>
      <w:tr w:rsidR="006779BF" w:rsidRPr="00AD36B1" w14:paraId="3712F9D6" w14:textId="77777777" w:rsidTr="00D235A4">
        <w:trPr>
          <w:cantSplit/>
        </w:trPr>
        <w:tc>
          <w:tcPr>
            <w:tcW w:w="1696" w:type="dxa"/>
            <w:vMerge/>
          </w:tcPr>
          <w:p w14:paraId="28323FC4" w14:textId="77777777" w:rsidR="006779BF" w:rsidRPr="00A641BE" w:rsidRDefault="006779BF" w:rsidP="00437BD9">
            <w:pPr>
              <w:pStyle w:val="Tablehead"/>
              <w:keepNext w:val="0"/>
              <w:jc w:val="left"/>
              <w:rPr>
                <w:bCs/>
                <w:sz w:val="22"/>
                <w:lang w:val="fr-FR"/>
              </w:rPr>
            </w:pPr>
          </w:p>
        </w:tc>
        <w:tc>
          <w:tcPr>
            <w:tcW w:w="2127" w:type="dxa"/>
          </w:tcPr>
          <w:p w14:paraId="587329EB" w14:textId="600C458E" w:rsidR="006779BF" w:rsidRPr="00A641BE" w:rsidRDefault="006779BF" w:rsidP="00437BD9">
            <w:pPr>
              <w:pStyle w:val="Tablehead"/>
              <w:keepNext w:val="0"/>
              <w:jc w:val="left"/>
              <w:rPr>
                <w:sz w:val="22"/>
                <w:lang w:val="fr-FR"/>
              </w:rPr>
            </w:pPr>
            <w:r w:rsidRPr="00A641BE">
              <w:rPr>
                <w:sz w:val="22"/>
                <w:lang w:val="fr-FR"/>
              </w:rPr>
              <w:t>Paragraphes 3.25 à</w:t>
            </w:r>
            <w:r w:rsidR="00602FB1">
              <w:rPr>
                <w:sz w:val="22"/>
                <w:lang w:val="fr-FR"/>
              </w:rPr>
              <w:t> </w:t>
            </w:r>
            <w:r w:rsidRPr="00A641BE">
              <w:rPr>
                <w:sz w:val="22"/>
                <w:lang w:val="fr-FR"/>
              </w:rPr>
              <w:t>3.27</w:t>
            </w:r>
          </w:p>
          <w:p w14:paraId="2AC51706" w14:textId="4AB0E809" w:rsidR="006779BF" w:rsidRPr="00A641BE" w:rsidRDefault="006779BF" w:rsidP="00437BD9">
            <w:pPr>
              <w:pStyle w:val="Tablehead"/>
              <w:keepNext w:val="0"/>
              <w:jc w:val="left"/>
              <w:rPr>
                <w:sz w:val="22"/>
                <w:lang w:val="fr-FR"/>
              </w:rPr>
            </w:pPr>
            <w:r w:rsidRPr="00A641BE">
              <w:rPr>
                <w:sz w:val="22"/>
                <w:lang w:val="fr-FR"/>
              </w:rPr>
              <w:t xml:space="preserve">Approbation du Document </w:t>
            </w:r>
            <w:hyperlink r:id="rId47" w:history="1">
              <w:r w:rsidRPr="00EA3EF0">
                <w:rPr>
                  <w:rStyle w:val="Hyperlink"/>
                  <w:sz w:val="22"/>
                  <w:lang w:val="fr-FR"/>
                </w:rPr>
                <w:t>550</w:t>
              </w:r>
            </w:hyperlink>
          </w:p>
        </w:tc>
        <w:tc>
          <w:tcPr>
            <w:tcW w:w="11340" w:type="dxa"/>
          </w:tcPr>
          <w:p w14:paraId="4EFEB276" w14:textId="7B0281A8" w:rsidR="006779BF" w:rsidRPr="00A641BE" w:rsidRDefault="006779BF" w:rsidP="00437BD9">
            <w:pPr>
              <w:pStyle w:val="AnnexNoTitle"/>
              <w:keepNext w:val="0"/>
              <w:keepLines w:val="0"/>
              <w:spacing w:before="120" w:line="240" w:lineRule="auto"/>
              <w:rPr>
                <w:lang w:val="fr-FR"/>
              </w:rPr>
            </w:pPr>
            <w:r w:rsidRPr="00A641BE">
              <w:rPr>
                <w:lang w:val="fr-FR"/>
              </w:rPr>
              <w:t>Vérification du respect du numéro 21.5 concernant la notification des stations IMT fonctionnant dans la bande de fréquences 24,45-27,5 GHz et qui utilisent une antenne composée d'un réseau d'éléments actifs</w:t>
            </w:r>
          </w:p>
          <w:p w14:paraId="1C11419F" w14:textId="77777777" w:rsidR="006779BF" w:rsidRPr="00A641BE" w:rsidRDefault="006779BF" w:rsidP="00437BD9">
            <w:pPr>
              <w:pStyle w:val="Tabletext"/>
              <w:tabs>
                <w:tab w:val="clear" w:pos="1134"/>
                <w:tab w:val="clear" w:pos="2268"/>
              </w:tabs>
              <w:rPr>
                <w:sz w:val="22"/>
                <w:lang w:val="fr-FR"/>
              </w:rPr>
            </w:pPr>
            <w:r w:rsidRPr="00A641BE">
              <w:rPr>
                <w:sz w:val="22"/>
                <w:lang w:val="fr-FR"/>
              </w:rPr>
              <w:t xml:space="preserve">L'UIT-R est invité à étudier d'urgence la possibilité d'appliquer la limite indiquée au numéro </w:t>
            </w:r>
            <w:r w:rsidRPr="00A641BE">
              <w:rPr>
                <w:b/>
                <w:sz w:val="22"/>
                <w:lang w:val="fr-FR"/>
              </w:rPr>
              <w:t>21.5</w:t>
            </w:r>
            <w:r w:rsidRPr="00A641BE">
              <w:rPr>
                <w:sz w:val="22"/>
                <w:lang w:val="fr-FR"/>
              </w:rPr>
              <w:t xml:space="preserve"> du Règlement des radiocommunications aux stations IMT qui utilisent une antenne composée d'un réseau d'éléments actifs, en vue de recommander des solutions pour remplacer ou réviser éventuellement cette limite pour lesdites stations, ainsi que les éventuelles mises à jour nécessaires du Tableau </w:t>
            </w:r>
            <w:r w:rsidRPr="00A641BE">
              <w:rPr>
                <w:b/>
                <w:sz w:val="22"/>
                <w:lang w:val="fr-FR"/>
              </w:rPr>
              <w:t>21-2</w:t>
            </w:r>
            <w:r w:rsidRPr="00A641BE">
              <w:rPr>
                <w:sz w:val="22"/>
                <w:lang w:val="fr-FR"/>
              </w:rPr>
              <w:t xml:space="preserve"> concernant les services de Terre et les services spatiaux utilisant en partage des bandes de fréquences.</w:t>
            </w:r>
          </w:p>
          <w:p w14:paraId="66110C55" w14:textId="6BA7BF6A" w:rsidR="006779BF" w:rsidRPr="00A641BE" w:rsidRDefault="006779BF" w:rsidP="00602FB1">
            <w:pPr>
              <w:pStyle w:val="Tabletext"/>
              <w:tabs>
                <w:tab w:val="clear" w:pos="1134"/>
                <w:tab w:val="clear" w:pos="2268"/>
              </w:tabs>
              <w:spacing w:before="80"/>
              <w:rPr>
                <w:sz w:val="22"/>
                <w:lang w:val="fr-FR"/>
              </w:rPr>
            </w:pPr>
            <w:r w:rsidRPr="00A641BE">
              <w:rPr>
                <w:sz w:val="22"/>
                <w:lang w:val="fr-FR"/>
              </w:rPr>
              <w:t>De plus, l'UIT-R est invité à étudier d'urgence la vérification du respect du numéro </w:t>
            </w:r>
            <w:r w:rsidRPr="00A641BE">
              <w:rPr>
                <w:b/>
                <w:bCs/>
                <w:sz w:val="22"/>
                <w:lang w:val="fr-FR"/>
              </w:rPr>
              <w:t>21.5</w:t>
            </w:r>
            <w:r w:rsidRPr="00A641BE">
              <w:rPr>
                <w:sz w:val="22"/>
                <w:lang w:val="fr-FR"/>
              </w:rPr>
              <w:t xml:space="preserve"> concernant la notification des stations IMT qui utilisent une antenne composée d'un réseau d'éléments actifs, selon qu'il conviendra.</w:t>
            </w:r>
          </w:p>
        </w:tc>
      </w:tr>
      <w:tr w:rsidR="006779BF" w:rsidRPr="00AD36B1" w14:paraId="66360A31" w14:textId="77777777" w:rsidTr="00D235A4">
        <w:trPr>
          <w:cantSplit/>
        </w:trPr>
        <w:tc>
          <w:tcPr>
            <w:tcW w:w="1696" w:type="dxa"/>
            <w:vMerge/>
          </w:tcPr>
          <w:p w14:paraId="1F246AF9" w14:textId="77777777" w:rsidR="006779BF" w:rsidRPr="00A641BE" w:rsidRDefault="006779BF" w:rsidP="00437BD9">
            <w:pPr>
              <w:pStyle w:val="Tablehead"/>
              <w:keepNext w:val="0"/>
              <w:jc w:val="left"/>
              <w:rPr>
                <w:bCs/>
                <w:sz w:val="22"/>
                <w:lang w:val="fr-FR"/>
              </w:rPr>
            </w:pPr>
          </w:p>
        </w:tc>
        <w:tc>
          <w:tcPr>
            <w:tcW w:w="2127" w:type="dxa"/>
          </w:tcPr>
          <w:p w14:paraId="6C8AA0F8" w14:textId="7AE2726E" w:rsidR="006779BF" w:rsidRPr="00A641BE" w:rsidRDefault="006779BF" w:rsidP="00437BD9">
            <w:pPr>
              <w:pStyle w:val="Tablehead"/>
              <w:keepNext w:val="0"/>
              <w:jc w:val="left"/>
              <w:rPr>
                <w:sz w:val="22"/>
                <w:lang w:val="fr-FR"/>
              </w:rPr>
            </w:pPr>
            <w:r w:rsidRPr="00A641BE">
              <w:rPr>
                <w:sz w:val="22"/>
                <w:lang w:val="fr-FR"/>
              </w:rPr>
              <w:t>Paragraphes 5.3 à</w:t>
            </w:r>
            <w:r w:rsidR="00602FB1">
              <w:rPr>
                <w:sz w:val="22"/>
                <w:lang w:val="fr-FR"/>
              </w:rPr>
              <w:t> </w:t>
            </w:r>
            <w:r w:rsidRPr="00A641BE">
              <w:rPr>
                <w:sz w:val="22"/>
                <w:lang w:val="fr-FR"/>
              </w:rPr>
              <w:t>5.5</w:t>
            </w:r>
          </w:p>
          <w:p w14:paraId="53289D76" w14:textId="497B91C5" w:rsidR="006779BF" w:rsidRPr="00A641BE" w:rsidRDefault="006779BF" w:rsidP="00437BD9">
            <w:pPr>
              <w:pStyle w:val="Tablehead"/>
              <w:keepNext w:val="0"/>
              <w:jc w:val="left"/>
              <w:rPr>
                <w:sz w:val="22"/>
                <w:lang w:val="fr-FR"/>
              </w:rPr>
            </w:pPr>
            <w:r w:rsidRPr="00A641BE">
              <w:rPr>
                <w:sz w:val="22"/>
                <w:lang w:val="fr-FR"/>
              </w:rPr>
              <w:t xml:space="preserve">Approbation du Document </w:t>
            </w:r>
            <w:hyperlink r:id="rId48" w:history="1">
              <w:r w:rsidRPr="00EA3EF0">
                <w:rPr>
                  <w:rStyle w:val="Hyperlink"/>
                  <w:sz w:val="22"/>
                  <w:lang w:val="fr-FR"/>
                </w:rPr>
                <w:t>283</w:t>
              </w:r>
            </w:hyperlink>
          </w:p>
        </w:tc>
        <w:tc>
          <w:tcPr>
            <w:tcW w:w="11340" w:type="dxa"/>
          </w:tcPr>
          <w:p w14:paraId="582D8AE3" w14:textId="2F3A9CA8" w:rsidR="006779BF" w:rsidRPr="00A641BE" w:rsidRDefault="006779BF" w:rsidP="00602FB1">
            <w:pPr>
              <w:pStyle w:val="Tabletext"/>
              <w:tabs>
                <w:tab w:val="clear" w:pos="1134"/>
                <w:tab w:val="clear" w:pos="2268"/>
              </w:tabs>
              <w:spacing w:before="80"/>
              <w:rPr>
                <w:sz w:val="22"/>
                <w:lang w:val="fr-FR"/>
              </w:rPr>
            </w:pPr>
            <w:r w:rsidRPr="00A641BE">
              <w:rPr>
                <w:sz w:val="22"/>
                <w:lang w:val="fr-FR"/>
              </w:rPr>
              <w:t xml:space="preserve">Les administrations de la Région 1 souhaitant attribuer la bande de fréquences 50-54 MHz, ou des parties de cette bande, au service d'amateur exclusivement à titre primaire lors de CMR futures sont invitées à ajouter le nom de leur pays dans le renvoi </w:t>
            </w:r>
            <w:r w:rsidRPr="00A641BE">
              <w:rPr>
                <w:b/>
                <w:bCs/>
                <w:sz w:val="22"/>
                <w:lang w:val="fr-FR"/>
              </w:rPr>
              <w:t>5.169</w:t>
            </w:r>
            <w:r w:rsidRPr="00A641BE">
              <w:rPr>
                <w:b/>
                <w:bCs/>
                <w:i/>
                <w:iCs/>
                <w:sz w:val="22"/>
                <w:lang w:val="fr-FR"/>
              </w:rPr>
              <w:t xml:space="preserve">bis </w:t>
            </w:r>
            <w:r w:rsidRPr="00A641BE">
              <w:rPr>
                <w:sz w:val="22"/>
                <w:lang w:val="fr-FR"/>
              </w:rPr>
              <w:t xml:space="preserve">du RR, et non dans le renvoi </w:t>
            </w:r>
            <w:r w:rsidRPr="00A641BE">
              <w:rPr>
                <w:b/>
                <w:bCs/>
                <w:sz w:val="22"/>
                <w:lang w:val="fr-FR"/>
              </w:rPr>
              <w:t>5.169</w:t>
            </w:r>
            <w:r w:rsidRPr="00A641BE">
              <w:rPr>
                <w:sz w:val="22"/>
                <w:lang w:val="fr-FR"/>
              </w:rPr>
              <w:t xml:space="preserve"> du RR, en raison de son statut historique particulier. Le BR doit prendre toutes les mesures nécessaires pour faire en sorte que ces administrations proposent l'adjonction du nom de leur pays uniquement dans le renvoi </w:t>
            </w:r>
            <w:r w:rsidRPr="00A641BE">
              <w:rPr>
                <w:b/>
                <w:bCs/>
                <w:sz w:val="22"/>
                <w:lang w:val="fr-FR"/>
              </w:rPr>
              <w:t>5.169</w:t>
            </w:r>
            <w:r w:rsidRPr="00A641BE">
              <w:rPr>
                <w:b/>
                <w:bCs/>
                <w:i/>
                <w:iCs/>
                <w:sz w:val="22"/>
                <w:lang w:val="fr-FR"/>
              </w:rPr>
              <w:t>bis</w:t>
            </w:r>
            <w:r w:rsidRPr="00A641BE">
              <w:rPr>
                <w:sz w:val="22"/>
                <w:lang w:val="fr-FR"/>
              </w:rPr>
              <w:t xml:space="preserve"> du RR.</w:t>
            </w:r>
          </w:p>
        </w:tc>
      </w:tr>
      <w:tr w:rsidR="006779BF" w:rsidRPr="00AD36B1" w14:paraId="3F8B6FBB" w14:textId="77777777" w:rsidTr="00D235A4">
        <w:trPr>
          <w:cantSplit/>
        </w:trPr>
        <w:tc>
          <w:tcPr>
            <w:tcW w:w="1696" w:type="dxa"/>
            <w:vMerge/>
          </w:tcPr>
          <w:p w14:paraId="3838FD16" w14:textId="77777777" w:rsidR="006779BF" w:rsidRPr="00A641BE" w:rsidRDefault="006779BF" w:rsidP="00437BD9">
            <w:pPr>
              <w:pStyle w:val="Tablehead"/>
              <w:keepNext w:val="0"/>
              <w:jc w:val="left"/>
              <w:rPr>
                <w:bCs/>
                <w:sz w:val="22"/>
                <w:lang w:val="fr-FR"/>
              </w:rPr>
            </w:pPr>
          </w:p>
        </w:tc>
        <w:tc>
          <w:tcPr>
            <w:tcW w:w="2127" w:type="dxa"/>
          </w:tcPr>
          <w:p w14:paraId="6E29B991" w14:textId="0CE48DE8" w:rsidR="006779BF" w:rsidRPr="00A641BE" w:rsidRDefault="006779BF" w:rsidP="00437BD9">
            <w:pPr>
              <w:pStyle w:val="Tablehead"/>
              <w:keepNext w:val="0"/>
              <w:jc w:val="left"/>
              <w:rPr>
                <w:sz w:val="22"/>
                <w:lang w:val="fr-FR"/>
              </w:rPr>
            </w:pPr>
            <w:r w:rsidRPr="00A641BE">
              <w:rPr>
                <w:sz w:val="22"/>
                <w:lang w:val="fr-FR"/>
              </w:rPr>
              <w:t>Paragraphes 27.1 à</w:t>
            </w:r>
            <w:r w:rsidR="00602FB1">
              <w:rPr>
                <w:sz w:val="22"/>
                <w:lang w:val="fr-FR"/>
              </w:rPr>
              <w:t> </w:t>
            </w:r>
            <w:r w:rsidRPr="00A641BE">
              <w:rPr>
                <w:sz w:val="22"/>
                <w:lang w:val="fr-FR"/>
              </w:rPr>
              <w:t>27.5</w:t>
            </w:r>
          </w:p>
          <w:p w14:paraId="7D5204DD" w14:textId="6C6D57E2" w:rsidR="006779BF" w:rsidRPr="00A641BE" w:rsidRDefault="006779BF" w:rsidP="00437BD9">
            <w:pPr>
              <w:pStyle w:val="Tablehead"/>
              <w:keepNext w:val="0"/>
              <w:jc w:val="left"/>
              <w:rPr>
                <w:sz w:val="22"/>
                <w:lang w:val="fr-FR"/>
              </w:rPr>
            </w:pPr>
            <w:r w:rsidRPr="00A641BE">
              <w:rPr>
                <w:sz w:val="22"/>
                <w:lang w:val="fr-FR"/>
              </w:rPr>
              <w:t xml:space="preserve">Approbation du Document </w:t>
            </w:r>
            <w:hyperlink r:id="rId49" w:history="1">
              <w:r w:rsidRPr="00EA3EF0">
                <w:rPr>
                  <w:rStyle w:val="Hyperlink"/>
                  <w:sz w:val="22"/>
                  <w:lang w:val="fr-FR"/>
                </w:rPr>
                <w:t>563</w:t>
              </w:r>
            </w:hyperlink>
          </w:p>
        </w:tc>
        <w:tc>
          <w:tcPr>
            <w:tcW w:w="11340" w:type="dxa"/>
          </w:tcPr>
          <w:p w14:paraId="15C616C6" w14:textId="6434FFE1" w:rsidR="00127D85" w:rsidRPr="00A641BE" w:rsidRDefault="00A641BE" w:rsidP="00602FB1">
            <w:pPr>
              <w:pStyle w:val="Tabletext"/>
              <w:tabs>
                <w:tab w:val="clear" w:pos="1134"/>
                <w:tab w:val="clear" w:pos="2268"/>
              </w:tabs>
              <w:spacing w:before="80"/>
              <w:rPr>
                <w:sz w:val="22"/>
                <w:lang w:val="fr-FR"/>
              </w:rPr>
            </w:pPr>
            <w:r>
              <w:rPr>
                <w:sz w:val="22"/>
                <w:lang w:val="fr-FR"/>
              </w:rPr>
              <w:t xml:space="preserve">(...) </w:t>
            </w:r>
            <w:r w:rsidR="00127D85" w:rsidRPr="00A641BE">
              <w:rPr>
                <w:sz w:val="22"/>
                <w:lang w:val="fr-FR"/>
              </w:rPr>
              <w:t xml:space="preserve">Il est proposé d'approuver et de consigner au procès-verbal de la séance plénière le texte ci-après, qui figure dans le document, en vue de l'examiner en tant que future question éventuelle dans le cadre des études relatives au point 7 de l'ordre du jour de la </w:t>
            </w:r>
            <w:bookmarkStart w:id="73" w:name="lt_pId559"/>
            <w:r w:rsidR="00127D85" w:rsidRPr="00A641BE">
              <w:rPr>
                <w:sz w:val="22"/>
                <w:lang w:val="fr-FR"/>
              </w:rPr>
              <w:t>CMR-23</w:t>
            </w:r>
            <w:bookmarkEnd w:id="73"/>
            <w:r w:rsidR="00127D85" w:rsidRPr="00A641BE">
              <w:rPr>
                <w:sz w:val="22"/>
                <w:lang w:val="fr-FR"/>
              </w:rPr>
              <w:t>.</w:t>
            </w:r>
          </w:p>
          <w:p w14:paraId="6B645F6D" w14:textId="3A9CC4C1" w:rsidR="00127D85" w:rsidRPr="00A641BE" w:rsidRDefault="00127D85" w:rsidP="00057214">
            <w:pPr>
              <w:pStyle w:val="Tabletext"/>
              <w:tabs>
                <w:tab w:val="clear" w:pos="2268"/>
              </w:tabs>
              <w:ind w:left="284" w:hanging="284"/>
              <w:rPr>
                <w:sz w:val="22"/>
                <w:lang w:val="fr-FR"/>
              </w:rPr>
            </w:pPr>
            <w:r w:rsidRPr="00A641BE">
              <w:rPr>
                <w:sz w:val="22"/>
                <w:lang w:val="fr-FR"/>
              </w:rPr>
              <w:tab/>
              <w:t>«envisager d'assurer la protection des réseaux à satellite géostationnaire du SMS fonctionnant dans les bandes des</w:t>
            </w:r>
            <w:r w:rsidR="00602FB1">
              <w:rPr>
                <w:sz w:val="22"/>
                <w:lang w:val="fr-FR"/>
              </w:rPr>
              <w:t> </w:t>
            </w:r>
            <w:r w:rsidRPr="00A641BE">
              <w:rPr>
                <w:sz w:val="22"/>
                <w:lang w:val="fr-FR"/>
              </w:rPr>
              <w:t>7/8</w:t>
            </w:r>
            <w:r w:rsidR="00057214">
              <w:rPr>
                <w:sz w:val="22"/>
                <w:lang w:val="fr-FR"/>
              </w:rPr>
              <w:t> </w:t>
            </w:r>
            <w:r w:rsidRPr="00A641BE">
              <w:rPr>
                <w:sz w:val="22"/>
                <w:lang w:val="fr-FR"/>
              </w:rPr>
              <w:t>GHz et des 20/30 GHz contre les rayonnements des systèmes à satellites non géostationnaires fonctionnant dans les mêmes bandes de fréquences et dans les mêmes sens de transmission</w:t>
            </w:r>
            <w:r w:rsidR="00602FB1">
              <w:rPr>
                <w:sz w:val="22"/>
                <w:lang w:val="fr-FR"/>
              </w:rPr>
              <w:t>.</w:t>
            </w:r>
            <w:r w:rsidRPr="00A641BE">
              <w:rPr>
                <w:sz w:val="22"/>
                <w:lang w:val="fr-FR"/>
              </w:rPr>
              <w:t>»</w:t>
            </w:r>
          </w:p>
          <w:p w14:paraId="1D5DC318" w14:textId="59684A23" w:rsidR="00127D85" w:rsidRDefault="00127D85" w:rsidP="00437BD9">
            <w:pPr>
              <w:pStyle w:val="Tabletext"/>
              <w:tabs>
                <w:tab w:val="clear" w:pos="2268"/>
              </w:tabs>
              <w:rPr>
                <w:sz w:val="22"/>
                <w:lang w:val="fr-FR"/>
              </w:rPr>
            </w:pPr>
            <w:r w:rsidRPr="00A641BE">
              <w:rPr>
                <w:sz w:val="22"/>
                <w:lang w:val="fr-FR"/>
              </w:rPr>
              <w:t>27.2</w:t>
            </w:r>
            <w:r w:rsidRPr="00A641BE">
              <w:rPr>
                <w:sz w:val="22"/>
                <w:lang w:val="fr-FR"/>
              </w:rPr>
              <w:tab/>
            </w:r>
            <w:bookmarkStart w:id="74" w:name="lt_pId562"/>
            <w:r w:rsidRPr="00A641BE">
              <w:rPr>
                <w:sz w:val="22"/>
                <w:lang w:val="fr-FR"/>
              </w:rPr>
              <w:t xml:space="preserve">Il en est ainsi </w:t>
            </w:r>
            <w:r w:rsidRPr="00A641BE">
              <w:rPr>
                <w:b/>
                <w:bCs/>
                <w:sz w:val="22"/>
                <w:lang w:val="fr-FR"/>
              </w:rPr>
              <w:t>décidé</w:t>
            </w:r>
            <w:r w:rsidRPr="00A641BE">
              <w:rPr>
                <w:sz w:val="22"/>
                <w:lang w:val="fr-FR"/>
              </w:rPr>
              <w:t>.</w:t>
            </w:r>
            <w:bookmarkEnd w:id="74"/>
          </w:p>
          <w:p w14:paraId="10F10D84" w14:textId="6C0851CB" w:rsidR="00A641BE" w:rsidRPr="00A641BE" w:rsidRDefault="00A641BE" w:rsidP="00602FB1">
            <w:pPr>
              <w:pStyle w:val="Tabletext"/>
              <w:tabs>
                <w:tab w:val="clear" w:pos="2268"/>
              </w:tabs>
              <w:spacing w:before="80"/>
              <w:rPr>
                <w:sz w:val="22"/>
                <w:lang w:val="fr-FR"/>
              </w:rPr>
            </w:pPr>
            <w:r>
              <w:rPr>
                <w:sz w:val="22"/>
                <w:lang w:val="fr-FR"/>
              </w:rPr>
              <w:t>(...)</w:t>
            </w:r>
          </w:p>
          <w:p w14:paraId="4E918440" w14:textId="6BCAA4D9" w:rsidR="006779BF" w:rsidRPr="00A641BE" w:rsidRDefault="00602FB1" w:rsidP="00602FB1">
            <w:pPr>
              <w:pStyle w:val="Tabletext"/>
              <w:tabs>
                <w:tab w:val="clear" w:pos="284"/>
                <w:tab w:val="clear" w:pos="567"/>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rPr>
                <w:sz w:val="22"/>
                <w:lang w:val="fr-FR"/>
              </w:rPr>
            </w:pPr>
            <w:r>
              <w:rPr>
                <w:sz w:val="22"/>
                <w:lang w:val="fr-FR"/>
              </w:rPr>
              <w:t>L</w:t>
            </w:r>
            <w:r w:rsidR="00127D85" w:rsidRPr="00A641BE">
              <w:rPr>
                <w:sz w:val="22"/>
                <w:lang w:val="fr-FR"/>
              </w:rPr>
              <w:t>a CMR-19 charge le Bureau des radiocommunications de transmettre la présente déclaration aux Commissions d'études compétentes de l'UIT-R, pour qu'elles lui donnent la suite voulue, selon qu'il conviendra</w:t>
            </w:r>
            <w:r>
              <w:rPr>
                <w:sz w:val="22"/>
                <w:lang w:val="fr-FR"/>
              </w:rPr>
              <w:t>.</w:t>
            </w:r>
          </w:p>
        </w:tc>
      </w:tr>
      <w:tr w:rsidR="006779BF" w:rsidRPr="00AD36B1" w14:paraId="71C37C5F" w14:textId="77777777" w:rsidTr="00D235A4">
        <w:trPr>
          <w:cantSplit/>
        </w:trPr>
        <w:tc>
          <w:tcPr>
            <w:tcW w:w="1696" w:type="dxa"/>
            <w:vMerge/>
          </w:tcPr>
          <w:p w14:paraId="1A658DE0" w14:textId="77777777" w:rsidR="006779BF" w:rsidRPr="00A641BE" w:rsidRDefault="006779BF" w:rsidP="00437BD9">
            <w:pPr>
              <w:pStyle w:val="Tablehead"/>
              <w:keepNext w:val="0"/>
              <w:jc w:val="left"/>
              <w:rPr>
                <w:bCs/>
                <w:sz w:val="22"/>
                <w:lang w:val="fr-FR"/>
              </w:rPr>
            </w:pPr>
          </w:p>
        </w:tc>
        <w:tc>
          <w:tcPr>
            <w:tcW w:w="2127" w:type="dxa"/>
          </w:tcPr>
          <w:p w14:paraId="376FC523" w14:textId="5FAEC474" w:rsidR="00127D85" w:rsidRPr="00A641BE" w:rsidRDefault="00127D85" w:rsidP="00437BD9">
            <w:pPr>
              <w:pStyle w:val="Tablehead"/>
              <w:keepNext w:val="0"/>
              <w:jc w:val="left"/>
              <w:rPr>
                <w:sz w:val="22"/>
                <w:lang w:val="fr-FR"/>
              </w:rPr>
            </w:pPr>
            <w:r w:rsidRPr="00A641BE">
              <w:rPr>
                <w:sz w:val="22"/>
                <w:lang w:val="fr-FR"/>
              </w:rPr>
              <w:t>Paragraphes 28.104 à 28.106</w:t>
            </w:r>
          </w:p>
          <w:p w14:paraId="45008C03" w14:textId="159D5CCE" w:rsidR="006779BF" w:rsidRPr="00A641BE" w:rsidRDefault="00127D85" w:rsidP="00437BD9">
            <w:pPr>
              <w:pStyle w:val="Tablehead"/>
              <w:keepNext w:val="0"/>
              <w:jc w:val="left"/>
              <w:rPr>
                <w:sz w:val="22"/>
                <w:lang w:val="fr-FR"/>
              </w:rPr>
            </w:pPr>
            <w:r w:rsidRPr="00A641BE">
              <w:rPr>
                <w:sz w:val="22"/>
                <w:lang w:val="fr-FR"/>
              </w:rPr>
              <w:t xml:space="preserve">Approbation du Document </w:t>
            </w:r>
            <w:hyperlink r:id="rId50" w:history="1">
              <w:r w:rsidRPr="00EA3EF0">
                <w:rPr>
                  <w:rStyle w:val="Hyperlink"/>
                  <w:sz w:val="22"/>
                  <w:lang w:val="fr-FR"/>
                </w:rPr>
                <w:t>554</w:t>
              </w:r>
            </w:hyperlink>
            <w:r w:rsidRPr="00A641BE">
              <w:rPr>
                <w:sz w:val="22"/>
                <w:lang w:val="fr-FR"/>
              </w:rPr>
              <w:t xml:space="preserve"> et du Corrigendum 1</w:t>
            </w:r>
          </w:p>
        </w:tc>
        <w:tc>
          <w:tcPr>
            <w:tcW w:w="11340" w:type="dxa"/>
          </w:tcPr>
          <w:p w14:paraId="41082D6D" w14:textId="5F01D98A" w:rsidR="006779BF" w:rsidRPr="00A641BE" w:rsidRDefault="00127D85" w:rsidP="00437BD9">
            <w:pPr>
              <w:pStyle w:val="Tabletext"/>
              <w:tabs>
                <w:tab w:val="clear" w:pos="284"/>
                <w:tab w:val="clear" w:pos="567"/>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2"/>
                <w:lang w:val="fr-FR"/>
              </w:rPr>
            </w:pPr>
            <w:bookmarkStart w:id="75" w:name="lt_pId876"/>
            <w:r w:rsidRPr="00A641BE">
              <w:rPr>
                <w:sz w:val="22"/>
                <w:lang w:val="fr-FR"/>
              </w:rPr>
              <w:t>Au titre du point 9.1.x de l'ordre du jour, l'UIT-R est invité à procéder à des études visant à identifier les bandes de fréquences pouvant servir à l'utilisation des IMT pour le large bande hertzien fixe dans les bandes de fréquences attribuées au service fixe à titre primaire.</w:t>
            </w:r>
            <w:bookmarkEnd w:id="75"/>
            <w:r w:rsidRPr="00A641BE">
              <w:rPr>
                <w:sz w:val="22"/>
                <w:lang w:val="fr-FR"/>
              </w:rPr>
              <w:t xml:space="preserve"> </w:t>
            </w:r>
            <w:bookmarkStart w:id="76" w:name="lt_pId877"/>
            <w:r w:rsidRPr="00A641BE">
              <w:rPr>
                <w:sz w:val="22"/>
                <w:lang w:val="fr-FR"/>
              </w:rPr>
              <w:t>En conséquence, un point sera inscrit à l'ordre du jour de la CMR-27 concernant l'examen de ces bandes de fréquences.</w:t>
            </w:r>
            <w:bookmarkEnd w:id="76"/>
          </w:p>
        </w:tc>
      </w:tr>
      <w:tr w:rsidR="006779BF" w:rsidRPr="00AD36B1" w14:paraId="48404840" w14:textId="77777777" w:rsidTr="00D235A4">
        <w:trPr>
          <w:cantSplit/>
        </w:trPr>
        <w:tc>
          <w:tcPr>
            <w:tcW w:w="1696" w:type="dxa"/>
            <w:vMerge/>
          </w:tcPr>
          <w:p w14:paraId="35FD997D" w14:textId="77777777" w:rsidR="006779BF" w:rsidRPr="00A641BE" w:rsidRDefault="006779BF" w:rsidP="00437BD9">
            <w:pPr>
              <w:pStyle w:val="Tablehead"/>
              <w:keepNext w:val="0"/>
              <w:jc w:val="left"/>
              <w:rPr>
                <w:bCs/>
                <w:sz w:val="22"/>
                <w:lang w:val="fr-FR"/>
              </w:rPr>
            </w:pPr>
          </w:p>
        </w:tc>
        <w:tc>
          <w:tcPr>
            <w:tcW w:w="2127" w:type="dxa"/>
          </w:tcPr>
          <w:p w14:paraId="2F93E254" w14:textId="2C34A27E" w:rsidR="00127D85" w:rsidRPr="00A641BE" w:rsidRDefault="00127D85" w:rsidP="00437BD9">
            <w:pPr>
              <w:pStyle w:val="Tablehead"/>
              <w:keepNext w:val="0"/>
              <w:jc w:val="left"/>
              <w:rPr>
                <w:sz w:val="22"/>
                <w:lang w:val="fr-FR"/>
              </w:rPr>
            </w:pPr>
            <w:r w:rsidRPr="00A641BE">
              <w:rPr>
                <w:sz w:val="22"/>
                <w:lang w:val="fr-FR"/>
              </w:rPr>
              <w:t>Paragraphes 35.2 à</w:t>
            </w:r>
            <w:r w:rsidR="00602FB1">
              <w:rPr>
                <w:sz w:val="22"/>
                <w:lang w:val="fr-FR"/>
              </w:rPr>
              <w:t> </w:t>
            </w:r>
            <w:r w:rsidRPr="00A641BE">
              <w:rPr>
                <w:sz w:val="22"/>
                <w:lang w:val="fr-FR"/>
              </w:rPr>
              <w:t>35.4</w:t>
            </w:r>
          </w:p>
          <w:p w14:paraId="5CF62AD9" w14:textId="35F5541C" w:rsidR="006779BF" w:rsidRPr="00A641BE" w:rsidRDefault="00127D85" w:rsidP="00437BD9">
            <w:pPr>
              <w:pStyle w:val="Tablehead"/>
              <w:keepNext w:val="0"/>
              <w:jc w:val="left"/>
              <w:rPr>
                <w:sz w:val="22"/>
                <w:lang w:val="fr-FR"/>
              </w:rPr>
            </w:pPr>
            <w:r w:rsidRPr="00A641BE">
              <w:rPr>
                <w:sz w:val="22"/>
                <w:lang w:val="fr-FR"/>
              </w:rPr>
              <w:t xml:space="preserve">Approbation du Document </w:t>
            </w:r>
            <w:hyperlink r:id="rId51" w:history="1">
              <w:r w:rsidRPr="000A1A1E">
                <w:rPr>
                  <w:rStyle w:val="Hyperlink"/>
                  <w:sz w:val="22"/>
                  <w:lang w:val="fr-FR"/>
                </w:rPr>
                <w:t>535</w:t>
              </w:r>
            </w:hyperlink>
          </w:p>
        </w:tc>
        <w:tc>
          <w:tcPr>
            <w:tcW w:w="11340" w:type="dxa"/>
          </w:tcPr>
          <w:p w14:paraId="75A2252C" w14:textId="4FF56BE5" w:rsidR="00127D85" w:rsidRPr="00A641BE" w:rsidRDefault="00127D85" w:rsidP="00602FB1">
            <w:pPr>
              <w:pStyle w:val="Tabletext"/>
              <w:tabs>
                <w:tab w:val="clear" w:pos="1134"/>
                <w:tab w:val="clear" w:pos="2268"/>
              </w:tabs>
              <w:spacing w:before="80"/>
              <w:rPr>
                <w:b/>
                <w:sz w:val="22"/>
                <w:lang w:val="fr-FR"/>
              </w:rPr>
            </w:pPr>
            <w:r w:rsidRPr="00A641BE">
              <w:rPr>
                <w:b/>
                <w:sz w:val="22"/>
                <w:lang w:val="fr-FR"/>
              </w:rPr>
              <w:t>Application de la Règle de procédure relative au numéro 9.11A du RR</w:t>
            </w:r>
          </w:p>
          <w:p w14:paraId="6878ECDD" w14:textId="77777777" w:rsidR="00127D85" w:rsidRPr="00A641BE" w:rsidRDefault="00127D85" w:rsidP="00602FB1">
            <w:pPr>
              <w:pStyle w:val="Tabletext"/>
              <w:tabs>
                <w:tab w:val="clear" w:pos="1134"/>
                <w:tab w:val="clear" w:pos="2268"/>
              </w:tabs>
              <w:spacing w:before="80"/>
              <w:rPr>
                <w:sz w:val="22"/>
                <w:lang w:val="fr-FR"/>
              </w:rPr>
            </w:pPr>
            <w:r w:rsidRPr="00A641BE">
              <w:rPr>
                <w:sz w:val="22"/>
                <w:lang w:val="fr-FR"/>
              </w:rPr>
              <w:t xml:space="preserve">Il est proposé que le numéro </w:t>
            </w:r>
            <w:r w:rsidRPr="00A641BE">
              <w:rPr>
                <w:b/>
                <w:sz w:val="22"/>
                <w:lang w:val="fr-FR"/>
              </w:rPr>
              <w:t>9.12</w:t>
            </w:r>
            <w:r w:rsidRPr="00A641BE">
              <w:rPr>
                <w:sz w:val="22"/>
                <w:lang w:val="fr-FR"/>
              </w:rPr>
              <w:t xml:space="preserve"> du RR ne s'applique pas aux assignations de fréquence aux stations fonctionnant dans le service de recherche spatiale ou le service d'exploration de la Terre par satellite. Par conséquent, il est demandé au Bureau, dans le cadre de la Règle de procédure relative au numéro </w:t>
            </w:r>
            <w:r w:rsidRPr="00A641BE">
              <w:rPr>
                <w:b/>
                <w:sz w:val="22"/>
                <w:lang w:val="fr-FR"/>
              </w:rPr>
              <w:t>9.11A</w:t>
            </w:r>
            <w:r w:rsidRPr="00A641BE">
              <w:rPr>
                <w:sz w:val="22"/>
                <w:lang w:val="fr-FR"/>
              </w:rPr>
              <w:t xml:space="preserve"> du RR, de ne pas appliquer la coordination prévue au numéro </w:t>
            </w:r>
            <w:r w:rsidRPr="00A641BE">
              <w:rPr>
                <w:b/>
                <w:sz w:val="22"/>
                <w:lang w:val="fr-FR"/>
              </w:rPr>
              <w:t>9.12</w:t>
            </w:r>
            <w:r w:rsidRPr="00A641BE">
              <w:rPr>
                <w:sz w:val="22"/>
                <w:lang w:val="fr-FR"/>
              </w:rPr>
              <w:t xml:space="preserve"> du RR pour les assignations de fréquence aux stations fonctionnant dans le service de recherche spatiale et le service d'exploration de la Terre par satellite au titre des renvois </w:t>
            </w:r>
            <w:r w:rsidRPr="00A641BE">
              <w:rPr>
                <w:b/>
                <w:sz w:val="22"/>
                <w:lang w:val="fr-FR"/>
              </w:rPr>
              <w:t>5.A16</w:t>
            </w:r>
            <w:r w:rsidRPr="00A641BE">
              <w:rPr>
                <w:sz w:val="22"/>
                <w:lang w:val="fr-FR"/>
              </w:rPr>
              <w:t xml:space="preserve"> et </w:t>
            </w:r>
            <w:r w:rsidRPr="00A641BE">
              <w:rPr>
                <w:b/>
                <w:sz w:val="22"/>
                <w:lang w:val="fr-FR"/>
              </w:rPr>
              <w:t>5.B16</w:t>
            </w:r>
            <w:r w:rsidRPr="00A641BE">
              <w:rPr>
                <w:sz w:val="22"/>
                <w:lang w:val="fr-FR"/>
              </w:rPr>
              <w:t xml:space="preserve"> du RR.</w:t>
            </w:r>
          </w:p>
          <w:p w14:paraId="0223B913" w14:textId="77777777" w:rsidR="00127D85" w:rsidRPr="00A641BE" w:rsidRDefault="00127D85" w:rsidP="00602FB1">
            <w:pPr>
              <w:pStyle w:val="Tabletext"/>
              <w:tabs>
                <w:tab w:val="clear" w:pos="1134"/>
                <w:tab w:val="clear" w:pos="2268"/>
              </w:tabs>
              <w:spacing w:before="80"/>
              <w:rPr>
                <w:b/>
                <w:sz w:val="22"/>
                <w:lang w:val="fr-FR"/>
              </w:rPr>
            </w:pPr>
            <w:r w:rsidRPr="00A641BE">
              <w:rPr>
                <w:b/>
                <w:sz w:val="22"/>
                <w:lang w:val="fr-FR"/>
              </w:rPr>
              <w:t>Protection du SETS dans la bande de fréquences 36-37 GHz</w:t>
            </w:r>
          </w:p>
          <w:p w14:paraId="2F7FB8C3" w14:textId="77777777" w:rsidR="00127D85" w:rsidRPr="00A641BE" w:rsidRDefault="00127D85" w:rsidP="00602FB1">
            <w:pPr>
              <w:pStyle w:val="Tabletext"/>
              <w:tabs>
                <w:tab w:val="clear" w:pos="1134"/>
                <w:tab w:val="clear" w:pos="2268"/>
              </w:tabs>
              <w:spacing w:before="80"/>
              <w:rPr>
                <w:sz w:val="22"/>
                <w:lang w:val="fr-FR"/>
              </w:rPr>
            </w:pPr>
            <w:r w:rsidRPr="00A641BE">
              <w:rPr>
                <w:sz w:val="22"/>
                <w:lang w:val="fr-FR"/>
              </w:rPr>
              <w:t>Dans le cadre des études menées au titre du point 1.6 de l'ordre du jour de la CMR-19, une étude préliminaire sur la protection des capteurs du SETS (passive) fonctionnant dans la bande de fréquences 36</w:t>
            </w:r>
            <w:r w:rsidRPr="00A641BE">
              <w:rPr>
                <w:sz w:val="22"/>
                <w:lang w:val="fr-FR"/>
              </w:rPr>
              <w:noBreakHyphen/>
              <w:t>37 GHz a été soumise à l'UIT-R. Cette étude préliminaire indiquait qu'il pourrait être nécessaire de ne pas dépasser une p.i.r.e. de –34 dBW/100 MHz en dehors de la bande, pour tous les angles supérieurs à 71,4° par rapport au nadir, pour les stations spatiales non OSG du SFS fonctionnant dans la bande de fréquences 37,5-38 GHz. En outre, les brouillages causés au canal utilisé pour l'étalonnage froid du capteur du SETS (passive) fonctionnant dans la bande de fréquences 36-37 GHz n'ont pas fait l'objet d'études.</w:t>
            </w:r>
          </w:p>
          <w:p w14:paraId="51DFE6C9" w14:textId="77777777" w:rsidR="00127D85" w:rsidRPr="00A641BE" w:rsidRDefault="00127D85" w:rsidP="00602FB1">
            <w:pPr>
              <w:pStyle w:val="Tabletext"/>
              <w:tabs>
                <w:tab w:val="clear" w:pos="1134"/>
                <w:tab w:val="clear" w:pos="2268"/>
              </w:tabs>
              <w:spacing w:before="80"/>
              <w:rPr>
                <w:sz w:val="22"/>
                <w:lang w:val="fr-FR"/>
              </w:rPr>
            </w:pPr>
            <w:r w:rsidRPr="00A641BE">
              <w:rPr>
                <w:sz w:val="22"/>
                <w:lang w:val="fr-FR"/>
              </w:rPr>
              <w:t>La CMR-19 invite l'UIT-R à mener d'autres études sur ce sujet, à élaborer des Recommandations ou des Rapports, selon le cas, et à faire rapport à la CMR</w:t>
            </w:r>
            <w:r w:rsidRPr="00A641BE">
              <w:rPr>
                <w:sz w:val="22"/>
                <w:lang w:val="fr-FR"/>
              </w:rPr>
              <w:noBreakHyphen/>
              <w:t>23, afin qu'elle prenne les mesures voulues, le cas échéant.</w:t>
            </w:r>
          </w:p>
          <w:p w14:paraId="6AD6A9E3" w14:textId="4770D005" w:rsidR="006779BF" w:rsidRPr="00A641BE" w:rsidRDefault="00127D85" w:rsidP="00602FB1">
            <w:pPr>
              <w:pStyle w:val="Tabletext"/>
              <w:tabs>
                <w:tab w:val="clear" w:pos="1134"/>
                <w:tab w:val="clear" w:pos="2268"/>
              </w:tabs>
              <w:spacing w:before="80"/>
              <w:rPr>
                <w:sz w:val="22"/>
                <w:lang w:val="fr-FR"/>
              </w:rPr>
            </w:pPr>
            <w:r w:rsidRPr="00A641BE">
              <w:rPr>
                <w:sz w:val="22"/>
                <w:lang w:val="fr-FR"/>
              </w:rPr>
              <w:t>En outre, la CMR</w:t>
            </w:r>
            <w:r w:rsidRPr="00A641BE">
              <w:rPr>
                <w:sz w:val="22"/>
                <w:lang w:val="fr-FR"/>
              </w:rPr>
              <w:noBreakHyphen/>
              <w:t xml:space="preserve">19 est convenue que les modifications apportées à la Résolution </w:t>
            </w:r>
            <w:r w:rsidRPr="00A641BE">
              <w:rPr>
                <w:b/>
                <w:bCs/>
                <w:sz w:val="22"/>
                <w:lang w:val="fr-FR"/>
              </w:rPr>
              <w:t>750 (Rév.CMR</w:t>
            </w:r>
            <w:r w:rsidRPr="00A641BE">
              <w:rPr>
                <w:b/>
                <w:bCs/>
                <w:sz w:val="22"/>
                <w:lang w:val="fr-FR"/>
              </w:rPr>
              <w:noBreakHyphen/>
              <w:t>19)</w:t>
            </w:r>
            <w:r w:rsidRPr="00A641BE">
              <w:rPr>
                <w:sz w:val="22"/>
                <w:lang w:val="fr-FR"/>
              </w:rPr>
              <w:t xml:space="preserve"> ne devraient pas être examinées dans le cadre de ces études, étant donné qu'il n'est pas fait mention de la bande de fréquences 36-37 GHz au numéro </w:t>
            </w:r>
            <w:r w:rsidRPr="00A641BE">
              <w:rPr>
                <w:b/>
                <w:bCs/>
                <w:sz w:val="22"/>
                <w:lang w:val="fr-FR"/>
              </w:rPr>
              <w:t>5.340</w:t>
            </w:r>
            <w:r w:rsidRPr="00A641BE">
              <w:rPr>
                <w:sz w:val="22"/>
                <w:lang w:val="fr-FR"/>
              </w:rPr>
              <w:t>.</w:t>
            </w:r>
          </w:p>
        </w:tc>
      </w:tr>
      <w:tr w:rsidR="006779BF" w:rsidRPr="00AD36B1" w14:paraId="161A19E3" w14:textId="77777777" w:rsidTr="00D235A4">
        <w:trPr>
          <w:cantSplit/>
        </w:trPr>
        <w:tc>
          <w:tcPr>
            <w:tcW w:w="1696" w:type="dxa"/>
          </w:tcPr>
          <w:p w14:paraId="116379F0" w14:textId="1427A3E2" w:rsidR="006779BF" w:rsidRPr="00A641BE" w:rsidRDefault="006779BF" w:rsidP="00437BD9">
            <w:pPr>
              <w:pStyle w:val="Tablehead"/>
              <w:keepNext w:val="0"/>
              <w:jc w:val="left"/>
              <w:rPr>
                <w:bCs/>
                <w:sz w:val="22"/>
                <w:lang w:val="fr-FR"/>
              </w:rPr>
            </w:pPr>
            <w:r w:rsidRPr="00A641BE">
              <w:rPr>
                <w:sz w:val="22"/>
                <w:lang w:val="fr-FR"/>
              </w:rPr>
              <w:lastRenderedPageBreak/>
              <w:t xml:space="preserve">Document </w:t>
            </w:r>
            <w:hyperlink r:id="rId52" w:history="1">
              <w:r w:rsidRPr="000A1A1E">
                <w:rPr>
                  <w:rStyle w:val="Hyperlink"/>
                  <w:sz w:val="22"/>
                  <w:lang w:val="fr-FR"/>
                </w:rPr>
                <w:t>CMR19/575</w:t>
              </w:r>
            </w:hyperlink>
            <w:r w:rsidRPr="00A641BE">
              <w:rPr>
                <w:sz w:val="22"/>
                <w:lang w:val="fr-FR"/>
              </w:rPr>
              <w:t xml:space="preserve"> – Procès-verbal de la quatorzième séance plénière</w:t>
            </w:r>
          </w:p>
        </w:tc>
        <w:tc>
          <w:tcPr>
            <w:tcW w:w="2127" w:type="dxa"/>
          </w:tcPr>
          <w:p w14:paraId="08114D4C" w14:textId="04930B3F" w:rsidR="00127D85" w:rsidRPr="00A641BE" w:rsidRDefault="00127D85" w:rsidP="00437BD9">
            <w:pPr>
              <w:pStyle w:val="Tablehead"/>
              <w:keepNext w:val="0"/>
              <w:jc w:val="left"/>
              <w:rPr>
                <w:sz w:val="22"/>
                <w:lang w:val="fr-FR"/>
              </w:rPr>
            </w:pPr>
            <w:r w:rsidRPr="00A641BE">
              <w:rPr>
                <w:sz w:val="22"/>
                <w:lang w:val="fr-FR"/>
              </w:rPr>
              <w:t>Paragraphes 3.1 à</w:t>
            </w:r>
            <w:r w:rsidR="00602FB1">
              <w:rPr>
                <w:sz w:val="22"/>
                <w:lang w:val="fr-FR"/>
              </w:rPr>
              <w:t> </w:t>
            </w:r>
            <w:r w:rsidRPr="00A641BE">
              <w:rPr>
                <w:sz w:val="22"/>
                <w:lang w:val="fr-FR"/>
              </w:rPr>
              <w:t>3.7</w:t>
            </w:r>
          </w:p>
          <w:p w14:paraId="3049A369" w14:textId="2CDB69DC" w:rsidR="006779BF" w:rsidRPr="00A641BE" w:rsidRDefault="00127D85" w:rsidP="00437BD9">
            <w:pPr>
              <w:pStyle w:val="Tablehead"/>
              <w:keepNext w:val="0"/>
              <w:jc w:val="left"/>
              <w:rPr>
                <w:sz w:val="22"/>
                <w:lang w:val="fr-FR"/>
              </w:rPr>
            </w:pPr>
            <w:r w:rsidRPr="00A641BE">
              <w:rPr>
                <w:sz w:val="22"/>
                <w:lang w:val="fr-FR"/>
              </w:rPr>
              <w:t xml:space="preserve">Approbation du Document </w:t>
            </w:r>
            <w:hyperlink r:id="rId53" w:history="1">
              <w:r w:rsidRPr="000A1A1E">
                <w:rPr>
                  <w:rStyle w:val="Hyperlink"/>
                  <w:sz w:val="22"/>
                  <w:lang w:val="fr-FR"/>
                </w:rPr>
                <w:t>566</w:t>
              </w:r>
            </w:hyperlink>
            <w:bookmarkStart w:id="77" w:name="_GoBack"/>
            <w:bookmarkEnd w:id="77"/>
          </w:p>
        </w:tc>
        <w:tc>
          <w:tcPr>
            <w:tcW w:w="11340" w:type="dxa"/>
          </w:tcPr>
          <w:p w14:paraId="140EC7F7" w14:textId="66DDB43B" w:rsidR="006779BF" w:rsidRPr="00A641BE" w:rsidRDefault="00127D85" w:rsidP="00602FB1">
            <w:pPr>
              <w:pStyle w:val="Tabletext"/>
              <w:tabs>
                <w:tab w:val="clear" w:pos="284"/>
                <w:tab w:val="clear" w:pos="567"/>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rPr>
                <w:sz w:val="22"/>
                <w:lang w:val="fr-FR"/>
              </w:rPr>
            </w:pPr>
            <w:r w:rsidRPr="00A641BE">
              <w:rPr>
                <w:sz w:val="22"/>
                <w:lang w:val="fr-FR"/>
              </w:rPr>
              <w:t xml:space="preserve">Le </w:t>
            </w:r>
            <w:r w:rsidRPr="00A641BE">
              <w:rPr>
                <w:b/>
                <w:sz w:val="22"/>
                <w:lang w:val="fr-FR"/>
              </w:rPr>
              <w:t>Président</w:t>
            </w:r>
            <w:r w:rsidRPr="00A641BE">
              <w:rPr>
                <w:sz w:val="22"/>
                <w:lang w:val="fr-FR"/>
              </w:rPr>
              <w:t xml:space="preserve"> considère que la Conférence souhaite autoriser le Directeur du BR à insérer les corrections visées dans les Documents 203, 212, 336, 340 et 456 dans la prochaine édition du Règlement des radiocommunications, conformément à la procédure établie dans le Document 566.</w:t>
            </w:r>
          </w:p>
        </w:tc>
      </w:tr>
    </w:tbl>
    <w:p w14:paraId="6B846595" w14:textId="77777777" w:rsidR="00127D85" w:rsidRPr="00A641BE" w:rsidRDefault="00127D85" w:rsidP="00437BD9">
      <w:pPr>
        <w:pStyle w:val="Reasons"/>
        <w:rPr>
          <w:lang w:val="fr-FR"/>
        </w:rPr>
      </w:pPr>
    </w:p>
    <w:p w14:paraId="336D30BB" w14:textId="5CF98C32" w:rsidR="00C3556B" w:rsidRPr="00A641BE" w:rsidRDefault="00127D85" w:rsidP="00F75811">
      <w:pPr>
        <w:spacing w:line="240" w:lineRule="auto"/>
        <w:jc w:val="center"/>
        <w:rPr>
          <w:szCs w:val="24"/>
          <w:lang w:val="fr-FR"/>
        </w:rPr>
      </w:pPr>
      <w:r w:rsidRPr="00A641BE">
        <w:rPr>
          <w:lang w:val="fr-FR"/>
        </w:rPr>
        <w:t>______________</w:t>
      </w:r>
    </w:p>
    <w:sectPr w:rsidR="00C3556B" w:rsidRPr="00A641BE" w:rsidSect="007E1D70">
      <w:headerReference w:type="first" r:id="rId54"/>
      <w:footerReference w:type="first" r:id="rId55"/>
      <w:pgSz w:w="16834" w:h="11907" w:orient="landscape" w:code="9"/>
      <w:pgMar w:top="1134" w:right="1134" w:bottom="1134" w:left="993" w:header="567" w:footer="397" w:gutter="0"/>
      <w:pgNumType w:fmt="numberInDash"/>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B7982" w14:textId="77777777" w:rsidR="00EA3EF0" w:rsidRDefault="00EA3EF0">
      <w:r>
        <w:separator/>
      </w:r>
    </w:p>
  </w:endnote>
  <w:endnote w:type="continuationSeparator" w:id="0">
    <w:p w14:paraId="357BF62A" w14:textId="77777777" w:rsidR="00EA3EF0" w:rsidRDefault="00EA3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91F4E" w14:textId="7A67886F" w:rsidR="00EA3EF0" w:rsidRPr="003F2F34" w:rsidRDefault="00EA3EF0" w:rsidP="003F2F34">
    <w:pPr>
      <w:pStyle w:val="Footer"/>
      <w:tabs>
        <w:tab w:val="left" w:pos="7655"/>
        <w:tab w:val="right" w:pos="9498"/>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167A6" w14:textId="5821A1D3" w:rsidR="00EA3EF0" w:rsidRPr="00304636" w:rsidRDefault="00EA3EF0" w:rsidP="00304636">
    <w:pPr>
      <w:pStyle w:val="FirstFooter"/>
      <w:spacing w:line="240" w:lineRule="auto"/>
      <w:ind w:left="-397" w:right="-397"/>
      <w:jc w:val="center"/>
      <w:rPr>
        <w:color w:val="4F81BD"/>
        <w:sz w:val="18"/>
        <w:szCs w:val="18"/>
        <w:lang w:val="fr-FR"/>
      </w:rPr>
    </w:pPr>
    <w:r w:rsidRPr="00085B3E">
      <w:rPr>
        <w:rFonts w:asciiTheme="minorHAnsi" w:hAnsiTheme="minorHAnsi"/>
        <w:color w:val="4F81BD"/>
        <w:sz w:val="18"/>
        <w:szCs w:val="18"/>
        <w:lang w:val="fr-CH"/>
      </w:rPr>
      <w:t>Union internationale des télécommunications • Place des Nations, CH</w:t>
    </w:r>
    <w:r w:rsidRPr="00085B3E">
      <w:rPr>
        <w:rFonts w:asciiTheme="minorHAnsi" w:hAnsiTheme="minorHAnsi"/>
        <w:color w:val="4F81BD"/>
        <w:sz w:val="18"/>
        <w:szCs w:val="18"/>
        <w:lang w:val="fr-CH"/>
      </w:rPr>
      <w:noBreakHyphen/>
      <w:t xml:space="preserve">1211 Genève 20, Suisse </w:t>
    </w:r>
    <w:r w:rsidRPr="00085B3E">
      <w:rPr>
        <w:rFonts w:asciiTheme="minorHAnsi" w:hAnsiTheme="minorHAnsi"/>
        <w:color w:val="4F81BD"/>
        <w:sz w:val="18"/>
        <w:szCs w:val="18"/>
        <w:lang w:val="fr-CH"/>
      </w:rPr>
      <w:br/>
      <w:t>Tél</w:t>
    </w:r>
    <w:r>
      <w:rPr>
        <w:rFonts w:asciiTheme="minorHAnsi" w:hAnsiTheme="minorHAnsi"/>
        <w:color w:val="4F81BD"/>
        <w:sz w:val="18"/>
        <w:szCs w:val="18"/>
        <w:lang w:val="fr-CH"/>
      </w:rPr>
      <w:t>.</w:t>
    </w:r>
    <w:r w:rsidRPr="00085B3E">
      <w:rPr>
        <w:rFonts w:asciiTheme="minorHAnsi" w:hAnsiTheme="minorHAnsi"/>
        <w:color w:val="4F81BD"/>
        <w:sz w:val="18"/>
        <w:szCs w:val="18"/>
        <w:lang w:val="fr-CH"/>
      </w:rPr>
      <w:t xml:space="preserve">: +41 22 730 5111 • </w:t>
    </w:r>
    <w:r>
      <w:rPr>
        <w:rFonts w:asciiTheme="minorHAnsi" w:hAnsiTheme="minorHAnsi"/>
        <w:color w:val="4F81BD"/>
        <w:sz w:val="18"/>
        <w:szCs w:val="18"/>
        <w:lang w:val="fr-CH"/>
      </w:rPr>
      <w:t>C</w:t>
    </w:r>
    <w:r w:rsidRPr="00085B3E">
      <w:rPr>
        <w:rFonts w:asciiTheme="minorHAnsi" w:hAnsiTheme="minorHAnsi"/>
        <w:color w:val="4F81BD"/>
        <w:sz w:val="18"/>
        <w:szCs w:val="18"/>
        <w:lang w:val="fr-CH"/>
      </w:rPr>
      <w:t xml:space="preserve">ourriel: </w:t>
    </w:r>
    <w:hyperlink r:id="rId1" w:history="1">
      <w:r w:rsidRPr="00304636">
        <w:rPr>
          <w:rStyle w:val="Hyperlink"/>
          <w:rFonts w:asciiTheme="minorHAnsi" w:hAnsiTheme="minorHAnsi"/>
          <w:sz w:val="18"/>
          <w:szCs w:val="18"/>
          <w:lang w:val="fr-FR"/>
        </w:rPr>
        <w:t>itumail@itu.int</w:t>
      </w:r>
    </w:hyperlink>
    <w:r w:rsidRPr="00F632E9">
      <w:rPr>
        <w:rFonts w:asciiTheme="minorHAnsi" w:hAnsiTheme="minorHAnsi"/>
        <w:sz w:val="18"/>
        <w:szCs w:val="18"/>
        <w:lang w:val="fr-CH"/>
      </w:rPr>
      <w:t xml:space="preserve"> </w:t>
    </w:r>
    <w:r w:rsidRPr="00085B3E">
      <w:rPr>
        <w:rFonts w:asciiTheme="minorHAnsi" w:hAnsiTheme="minorHAnsi"/>
        <w:color w:val="4F81BD"/>
        <w:sz w:val="18"/>
        <w:szCs w:val="18"/>
        <w:lang w:val="fr-CH"/>
      </w:rPr>
      <w:t xml:space="preserve">• Fax: +41 22 733 7256 •  </w:t>
    </w:r>
    <w:hyperlink r:id="rId2" w:history="1">
      <w:r w:rsidRPr="00304636">
        <w:rPr>
          <w:rStyle w:val="Hyperlink"/>
          <w:rFonts w:asciiTheme="minorHAnsi" w:hAnsiTheme="minorHAnsi"/>
          <w:color w:val="4F81BD"/>
          <w:sz w:val="18"/>
          <w:szCs w:val="18"/>
          <w:u w:val="none"/>
          <w:lang w:val="fr-FR"/>
        </w:rPr>
        <w:t>www.itu.int</w:t>
      </w:r>
    </w:hyperlink>
    <w:r w:rsidRPr="00304636">
      <w:rPr>
        <w:color w:val="4F81BD"/>
        <w:sz w:val="18"/>
        <w:szCs w:val="18"/>
        <w:lang w:val="fr-F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A6FB4" w14:textId="0E980E41" w:rsidR="00EA3EF0" w:rsidRPr="00EA3EF0" w:rsidRDefault="00EA3EF0" w:rsidP="00EA3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0AADB" w14:textId="77777777" w:rsidR="00EA3EF0" w:rsidRDefault="00EA3EF0">
      <w:r>
        <w:t>____________________</w:t>
      </w:r>
    </w:p>
  </w:footnote>
  <w:footnote w:type="continuationSeparator" w:id="0">
    <w:p w14:paraId="51F1C12D" w14:textId="77777777" w:rsidR="00EA3EF0" w:rsidRDefault="00EA3EF0">
      <w:r>
        <w:continuationSeparator/>
      </w:r>
    </w:p>
  </w:footnote>
  <w:footnote w:id="1">
    <w:p w14:paraId="74C332D3" w14:textId="77777777" w:rsidR="00EA3EF0" w:rsidRPr="00E17FD2" w:rsidRDefault="00EA3EF0" w:rsidP="0017049F">
      <w:pPr>
        <w:pStyle w:val="FootnoteText"/>
        <w:spacing w:line="240" w:lineRule="auto"/>
        <w:rPr>
          <w:lang w:val="fr-FR"/>
        </w:rPr>
      </w:pPr>
      <w:r w:rsidRPr="00E17FD2">
        <w:rPr>
          <w:rStyle w:val="FootnoteReference"/>
          <w:i/>
          <w:iCs/>
          <w:lang w:val="fr-FR"/>
        </w:rPr>
        <w:footnoteRef/>
      </w:r>
      <w:r w:rsidRPr="00E17FD2">
        <w:rPr>
          <w:i/>
          <w:iCs/>
          <w:lang w:val="fr-FR"/>
        </w:rPr>
        <w:tab/>
      </w:r>
      <w:bookmarkStart w:id="1" w:name="lt_pId629"/>
      <w:r w:rsidRPr="00E17FD2">
        <w:rPr>
          <w:i/>
          <w:iCs/>
          <w:lang w:val="fr-FR"/>
        </w:rPr>
        <w:t xml:space="preserve">Note du BR: cette bande de fréquences ne relève plus du numéro </w:t>
      </w:r>
      <w:r w:rsidRPr="00E17FD2">
        <w:rPr>
          <w:b/>
          <w:bCs/>
          <w:i/>
          <w:iCs/>
          <w:lang w:val="fr-FR"/>
        </w:rPr>
        <w:t>9.19</w:t>
      </w:r>
      <w:r w:rsidRPr="00E17FD2">
        <w:rPr>
          <w:i/>
          <w:iCs/>
          <w:lang w:val="fr-FR"/>
        </w:rPr>
        <w:t xml:space="preserve">, </w:t>
      </w:r>
      <w:r>
        <w:rPr>
          <w:i/>
          <w:iCs/>
          <w:lang w:val="fr-FR"/>
        </w:rPr>
        <w:t>par suite</w:t>
      </w:r>
      <w:r w:rsidRPr="00E17FD2">
        <w:rPr>
          <w:i/>
          <w:iCs/>
          <w:lang w:val="fr-FR"/>
        </w:rPr>
        <w:t xml:space="preserve"> de la suppression du renvoi </w:t>
      </w:r>
      <w:r w:rsidRPr="00E17FD2">
        <w:rPr>
          <w:b/>
          <w:bCs/>
          <w:i/>
          <w:iCs/>
          <w:lang w:val="fr-FR"/>
        </w:rPr>
        <w:t>5.311A</w:t>
      </w:r>
      <w:r w:rsidRPr="00E17FD2">
        <w:rPr>
          <w:i/>
          <w:iCs/>
          <w:lang w:val="fr-FR"/>
        </w:rPr>
        <w:t xml:space="preserve"> et de la Résolution </w:t>
      </w:r>
      <w:r w:rsidRPr="00E17FD2">
        <w:rPr>
          <w:b/>
          <w:bCs/>
          <w:i/>
          <w:iCs/>
          <w:lang w:val="fr-FR"/>
        </w:rPr>
        <w:t>549 (CMR-07)</w:t>
      </w:r>
      <w:bookmarkEnd w:id="1"/>
      <w:r w:rsidRPr="00E17FD2">
        <w:rPr>
          <w:i/>
          <w:iCs/>
          <w:lang w:val="fr-FR"/>
        </w:rPr>
        <w:t>.</w:t>
      </w:r>
    </w:p>
  </w:footnote>
  <w:footnote w:id="2">
    <w:p w14:paraId="10AB0B67" w14:textId="5E931A33" w:rsidR="00EA3EF0" w:rsidRPr="00A641BE" w:rsidRDefault="00EA3EF0" w:rsidP="0017049F">
      <w:pPr>
        <w:pStyle w:val="FootnoteText"/>
        <w:spacing w:line="240" w:lineRule="auto"/>
        <w:rPr>
          <w:i/>
          <w:iCs/>
          <w:lang w:val="fr-FR"/>
        </w:rPr>
      </w:pPr>
      <w:r w:rsidRPr="00A641BE">
        <w:rPr>
          <w:rStyle w:val="FootnoteReference"/>
          <w:lang w:val="fr-FR"/>
        </w:rPr>
        <w:footnoteRef/>
      </w:r>
      <w:r w:rsidRPr="00A641BE">
        <w:rPr>
          <w:lang w:val="fr-FR"/>
        </w:rPr>
        <w:tab/>
      </w:r>
      <w:bookmarkStart w:id="72" w:name="lt_pId631"/>
      <w:r w:rsidRPr="00A641BE">
        <w:rPr>
          <w:i/>
          <w:iCs/>
          <w:lang w:val="fr-FR"/>
        </w:rPr>
        <w:t>Note du BR:</w:t>
      </w:r>
      <w:bookmarkEnd w:id="72"/>
      <w:r w:rsidRPr="00A641BE">
        <w:rPr>
          <w:i/>
          <w:iCs/>
          <w:lang w:val="fr-FR"/>
        </w:rPr>
        <w:t xml:space="preserve"> Les Documents CMR19/518 </w:t>
      </w:r>
      <w:r>
        <w:rPr>
          <w:i/>
          <w:iCs/>
          <w:lang w:val="fr-FR"/>
        </w:rPr>
        <w:t>et</w:t>
      </w:r>
      <w:r w:rsidRPr="00A641BE">
        <w:rPr>
          <w:i/>
          <w:iCs/>
          <w:lang w:val="fr-FR"/>
        </w:rPr>
        <w:t xml:space="preserve"> CMR19/571 contiennent une erreur typographique en ce qui concerne cette valeur, qui devrait être </w:t>
      </w:r>
      <w:r>
        <w:rPr>
          <w:i/>
          <w:iCs/>
          <w:lang w:val="fr-FR"/>
        </w:rPr>
        <w:t xml:space="preserve">de </w:t>
      </w:r>
      <w:r w:rsidRPr="00A641BE">
        <w:rPr>
          <w:i/>
          <w:iCs/>
          <w:lang w:val="fr-FR"/>
        </w:rPr>
        <w:t xml:space="preserve">35,5 dBi, et non </w:t>
      </w:r>
      <w:r>
        <w:rPr>
          <w:i/>
          <w:iCs/>
          <w:lang w:val="fr-FR"/>
        </w:rPr>
        <w:t xml:space="preserve">de </w:t>
      </w:r>
      <w:r w:rsidRPr="00A641BE">
        <w:rPr>
          <w:i/>
          <w:iCs/>
          <w:lang w:val="fr-FR"/>
        </w:rPr>
        <w:t>33,5 dBi, étant donné que le diamètre de l'antenne est de 0,6 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060C5" w14:textId="77777777" w:rsidR="00EA3EF0" w:rsidRPr="002569F7" w:rsidRDefault="00EA3EF0" w:rsidP="003F2F34">
    <w:pPr>
      <w:pStyle w:val="Header"/>
      <w:rPr>
        <w:sz w:val="18"/>
        <w:szCs w:val="16"/>
      </w:rPr>
    </w:pPr>
    <w:r w:rsidRPr="002569F7">
      <w:rPr>
        <w:sz w:val="18"/>
        <w:szCs w:val="16"/>
      </w:rPr>
      <w:tab/>
    </w:r>
    <w:r w:rsidRPr="002569F7">
      <w:rPr>
        <w:sz w:val="18"/>
        <w:szCs w:val="16"/>
      </w:rPr>
      <w:tab/>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Pr>
        <w:rStyle w:val="PageNumber"/>
        <w:noProof/>
        <w:sz w:val="18"/>
        <w:szCs w:val="16"/>
      </w:rPr>
      <w:t>2</w:t>
    </w:r>
    <w:r w:rsidRPr="002569F7">
      <w:rPr>
        <w:rStyle w:val="PageNumbe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A3E0B" w14:textId="77777777" w:rsidR="00EA3EF0" w:rsidRPr="003F2F34" w:rsidRDefault="00EA3EF0" w:rsidP="003F2F34">
    <w:pPr>
      <w:pStyle w:val="Header"/>
      <w:jc w:val="center"/>
      <w:rPr>
        <w:sz w:val="18"/>
        <w:szCs w:val="16"/>
      </w:rPr>
    </w:pPr>
    <w:r w:rsidRPr="003F2F34">
      <w:rPr>
        <w:sz w:val="18"/>
        <w:szCs w:val="16"/>
      </w:rPr>
      <w:fldChar w:fldCharType="begin"/>
    </w:r>
    <w:r w:rsidRPr="003F2F34">
      <w:rPr>
        <w:sz w:val="18"/>
        <w:szCs w:val="16"/>
      </w:rPr>
      <w:instrText xml:space="preserve"> PAGE </w:instrText>
    </w:r>
    <w:r w:rsidRPr="003F2F34">
      <w:rPr>
        <w:sz w:val="18"/>
        <w:szCs w:val="16"/>
      </w:rPr>
      <w:fldChar w:fldCharType="separate"/>
    </w:r>
    <w:r>
      <w:rPr>
        <w:noProof/>
        <w:sz w:val="18"/>
        <w:szCs w:val="16"/>
      </w:rPr>
      <w:t>2</w:t>
    </w:r>
    <w:r w:rsidRPr="003F2F34">
      <w:rPr>
        <w:sz w:val="18"/>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1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2"/>
      <w:gridCol w:w="5131"/>
    </w:tblGrid>
    <w:tr w:rsidR="00EA3EF0" w14:paraId="3430B82C" w14:textId="77777777" w:rsidTr="00304636">
      <w:tc>
        <w:tcPr>
          <w:tcW w:w="10042" w:type="dxa"/>
          <w:tcMar>
            <w:left w:w="0" w:type="dxa"/>
          </w:tcMar>
        </w:tcPr>
        <w:p w14:paraId="7B08518D" w14:textId="77777777" w:rsidR="00EA3EF0" w:rsidRDefault="00EA3EF0" w:rsidP="00304636">
          <w:pPr>
            <w:pStyle w:val="Header"/>
            <w:tabs>
              <w:tab w:val="clear" w:pos="794"/>
              <w:tab w:val="clear" w:pos="4820"/>
              <w:tab w:val="clear" w:pos="9639"/>
              <w:tab w:val="left" w:pos="3960"/>
              <w:tab w:val="left" w:pos="9750"/>
            </w:tabs>
            <w:spacing w:before="120" w:line="360" w:lineRule="auto"/>
            <w:ind w:right="-342"/>
            <w:jc w:val="center"/>
          </w:pPr>
          <w:r>
            <w:rPr>
              <w:noProof/>
              <w:lang w:val="en-GB" w:eastAsia="en-GB"/>
            </w:rPr>
            <w:drawing>
              <wp:inline distT="0" distB="0" distL="0" distR="0" wp14:anchorId="0AA8446E" wp14:editId="7455E3E2">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131" w:type="dxa"/>
        </w:tcPr>
        <w:p w14:paraId="092D916D" w14:textId="77777777" w:rsidR="00EA3EF0" w:rsidRDefault="00EA3EF0" w:rsidP="00304636">
          <w:pPr>
            <w:pStyle w:val="Header"/>
            <w:spacing w:before="240" w:line="360" w:lineRule="auto"/>
            <w:ind w:left="4065" w:hanging="4065"/>
            <w:jc w:val="right"/>
          </w:pPr>
        </w:p>
      </w:tc>
    </w:tr>
  </w:tbl>
  <w:p w14:paraId="4C1644F4" w14:textId="77777777" w:rsidR="00EA3EF0" w:rsidRPr="004F47EA" w:rsidRDefault="00EA3EF0" w:rsidP="004F47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096819790"/>
      <w:docPartObj>
        <w:docPartGallery w:val="Page Numbers (Top of Page)"/>
        <w:docPartUnique/>
      </w:docPartObj>
    </w:sdtPr>
    <w:sdtEndPr>
      <w:rPr>
        <w:noProof/>
      </w:rPr>
    </w:sdtEndPr>
    <w:sdtContent>
      <w:p w14:paraId="76BEDEE0" w14:textId="2A75F009" w:rsidR="00EA3EF0" w:rsidRPr="00D235A4" w:rsidRDefault="00EA3EF0">
        <w:pPr>
          <w:pStyle w:val="Header"/>
          <w:jc w:val="center"/>
          <w:rPr>
            <w:sz w:val="18"/>
            <w:szCs w:val="18"/>
          </w:rPr>
        </w:pPr>
        <w:r w:rsidRPr="00D235A4">
          <w:rPr>
            <w:sz w:val="18"/>
            <w:szCs w:val="18"/>
          </w:rPr>
          <w:fldChar w:fldCharType="begin"/>
        </w:r>
        <w:r w:rsidRPr="00D235A4">
          <w:rPr>
            <w:sz w:val="18"/>
            <w:szCs w:val="18"/>
          </w:rPr>
          <w:instrText xml:space="preserve"> PAGE   \* MERGEFORMAT </w:instrText>
        </w:r>
        <w:r w:rsidRPr="00D235A4">
          <w:rPr>
            <w:sz w:val="18"/>
            <w:szCs w:val="18"/>
          </w:rPr>
          <w:fldChar w:fldCharType="separate"/>
        </w:r>
        <w:r w:rsidRPr="00D235A4">
          <w:rPr>
            <w:noProof/>
            <w:sz w:val="18"/>
            <w:szCs w:val="18"/>
          </w:rPr>
          <w:t>2</w:t>
        </w:r>
        <w:r w:rsidRPr="00D235A4">
          <w:rPr>
            <w:noProof/>
            <w:sz w:val="18"/>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304636"/>
    <w:rsid w:val="00006A31"/>
    <w:rsid w:val="00006C82"/>
    <w:rsid w:val="00010E30"/>
    <w:rsid w:val="00015C76"/>
    <w:rsid w:val="00026CF8"/>
    <w:rsid w:val="00030BD7"/>
    <w:rsid w:val="00031E64"/>
    <w:rsid w:val="00034340"/>
    <w:rsid w:val="00035CB3"/>
    <w:rsid w:val="00045A8D"/>
    <w:rsid w:val="0005167A"/>
    <w:rsid w:val="00054E5D"/>
    <w:rsid w:val="00057214"/>
    <w:rsid w:val="00070258"/>
    <w:rsid w:val="0007323C"/>
    <w:rsid w:val="00086D03"/>
    <w:rsid w:val="000A096A"/>
    <w:rsid w:val="000A1A1E"/>
    <w:rsid w:val="000A375E"/>
    <w:rsid w:val="000A7051"/>
    <w:rsid w:val="000B0AF6"/>
    <w:rsid w:val="000B0E9B"/>
    <w:rsid w:val="000B2CAE"/>
    <w:rsid w:val="000C03C7"/>
    <w:rsid w:val="000C2AD0"/>
    <w:rsid w:val="000E3DEE"/>
    <w:rsid w:val="000E443D"/>
    <w:rsid w:val="00100B72"/>
    <w:rsid w:val="00101F7D"/>
    <w:rsid w:val="00103C76"/>
    <w:rsid w:val="0011265F"/>
    <w:rsid w:val="00117282"/>
    <w:rsid w:val="00117389"/>
    <w:rsid w:val="00121C2D"/>
    <w:rsid w:val="00127D85"/>
    <w:rsid w:val="00134404"/>
    <w:rsid w:val="00144DFB"/>
    <w:rsid w:val="0017049F"/>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36E7"/>
    <w:rsid w:val="002569F7"/>
    <w:rsid w:val="00266E74"/>
    <w:rsid w:val="00283C3B"/>
    <w:rsid w:val="002861E6"/>
    <w:rsid w:val="00287D18"/>
    <w:rsid w:val="002A2618"/>
    <w:rsid w:val="002A5DD7"/>
    <w:rsid w:val="002B0CAC"/>
    <w:rsid w:val="002D5A15"/>
    <w:rsid w:val="002D5BDD"/>
    <w:rsid w:val="002E3D27"/>
    <w:rsid w:val="002F0890"/>
    <w:rsid w:val="002F2531"/>
    <w:rsid w:val="002F4967"/>
    <w:rsid w:val="002F5AA5"/>
    <w:rsid w:val="00304636"/>
    <w:rsid w:val="00316935"/>
    <w:rsid w:val="003266ED"/>
    <w:rsid w:val="00326C68"/>
    <w:rsid w:val="003370B8"/>
    <w:rsid w:val="00345D38"/>
    <w:rsid w:val="003471C9"/>
    <w:rsid w:val="00352097"/>
    <w:rsid w:val="003666FF"/>
    <w:rsid w:val="0037309C"/>
    <w:rsid w:val="00380A6E"/>
    <w:rsid w:val="003836D4"/>
    <w:rsid w:val="00387AE4"/>
    <w:rsid w:val="003A1F49"/>
    <w:rsid w:val="003A55ED"/>
    <w:rsid w:val="003A5D52"/>
    <w:rsid w:val="003B2BDA"/>
    <w:rsid w:val="003B55EC"/>
    <w:rsid w:val="003B7DE7"/>
    <w:rsid w:val="003C2EA7"/>
    <w:rsid w:val="003C4471"/>
    <w:rsid w:val="003C7D41"/>
    <w:rsid w:val="003D4418"/>
    <w:rsid w:val="003D4A69"/>
    <w:rsid w:val="003E504F"/>
    <w:rsid w:val="003E78D6"/>
    <w:rsid w:val="003F2F34"/>
    <w:rsid w:val="00400573"/>
    <w:rsid w:val="004007A3"/>
    <w:rsid w:val="00406D71"/>
    <w:rsid w:val="00411CB3"/>
    <w:rsid w:val="004228FA"/>
    <w:rsid w:val="004308CB"/>
    <w:rsid w:val="004326DB"/>
    <w:rsid w:val="0043682E"/>
    <w:rsid w:val="00437BD9"/>
    <w:rsid w:val="00447ECB"/>
    <w:rsid w:val="004623F7"/>
    <w:rsid w:val="00480F51"/>
    <w:rsid w:val="00481124"/>
    <w:rsid w:val="004815EB"/>
    <w:rsid w:val="00487569"/>
    <w:rsid w:val="00496864"/>
    <w:rsid w:val="00496920"/>
    <w:rsid w:val="004A4496"/>
    <w:rsid w:val="004A7E7F"/>
    <w:rsid w:val="004B11AB"/>
    <w:rsid w:val="004B7C9A"/>
    <w:rsid w:val="004C6779"/>
    <w:rsid w:val="004D733B"/>
    <w:rsid w:val="004E0DC4"/>
    <w:rsid w:val="004E0FB5"/>
    <w:rsid w:val="004E4398"/>
    <w:rsid w:val="004E43BB"/>
    <w:rsid w:val="004E460D"/>
    <w:rsid w:val="004F178E"/>
    <w:rsid w:val="004F4543"/>
    <w:rsid w:val="004F47EA"/>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C7701"/>
    <w:rsid w:val="005D3669"/>
    <w:rsid w:val="005E42F8"/>
    <w:rsid w:val="005E5EB3"/>
    <w:rsid w:val="005F3CB6"/>
    <w:rsid w:val="005F657C"/>
    <w:rsid w:val="00602D53"/>
    <w:rsid w:val="00602FB1"/>
    <w:rsid w:val="006047E5"/>
    <w:rsid w:val="00642050"/>
    <w:rsid w:val="0064371D"/>
    <w:rsid w:val="00650543"/>
    <w:rsid w:val="00650B2A"/>
    <w:rsid w:val="00651777"/>
    <w:rsid w:val="006550F8"/>
    <w:rsid w:val="006779BF"/>
    <w:rsid w:val="006829F3"/>
    <w:rsid w:val="006A518B"/>
    <w:rsid w:val="006B0590"/>
    <w:rsid w:val="006B49DA"/>
    <w:rsid w:val="006C53F8"/>
    <w:rsid w:val="006C7CDE"/>
    <w:rsid w:val="007234B1"/>
    <w:rsid w:val="00723D08"/>
    <w:rsid w:val="00725FDA"/>
    <w:rsid w:val="00727816"/>
    <w:rsid w:val="00730B9A"/>
    <w:rsid w:val="00750CFA"/>
    <w:rsid w:val="007524A0"/>
    <w:rsid w:val="007553DA"/>
    <w:rsid w:val="00762AEF"/>
    <w:rsid w:val="00773F7E"/>
    <w:rsid w:val="00775DB8"/>
    <w:rsid w:val="00782354"/>
    <w:rsid w:val="007921A7"/>
    <w:rsid w:val="007B3DB1"/>
    <w:rsid w:val="007C2E1E"/>
    <w:rsid w:val="007D183E"/>
    <w:rsid w:val="007D43D0"/>
    <w:rsid w:val="007E1833"/>
    <w:rsid w:val="007E1D70"/>
    <w:rsid w:val="007E3F13"/>
    <w:rsid w:val="007F751A"/>
    <w:rsid w:val="00800012"/>
    <w:rsid w:val="0080261F"/>
    <w:rsid w:val="00806160"/>
    <w:rsid w:val="008143A4"/>
    <w:rsid w:val="0081513E"/>
    <w:rsid w:val="00854131"/>
    <w:rsid w:val="0085652D"/>
    <w:rsid w:val="0087694B"/>
    <w:rsid w:val="00880F4D"/>
    <w:rsid w:val="0088443B"/>
    <w:rsid w:val="008B35A3"/>
    <w:rsid w:val="008B37E1"/>
    <w:rsid w:val="008B45F8"/>
    <w:rsid w:val="008B75A2"/>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5297D"/>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9F5CC2"/>
    <w:rsid w:val="00A119E6"/>
    <w:rsid w:val="00A20FBC"/>
    <w:rsid w:val="00A231BC"/>
    <w:rsid w:val="00A31370"/>
    <w:rsid w:val="00A34D6F"/>
    <w:rsid w:val="00A41F91"/>
    <w:rsid w:val="00A63355"/>
    <w:rsid w:val="00A641BE"/>
    <w:rsid w:val="00A7596D"/>
    <w:rsid w:val="00A963DF"/>
    <w:rsid w:val="00AA211B"/>
    <w:rsid w:val="00AA781A"/>
    <w:rsid w:val="00AC0C22"/>
    <w:rsid w:val="00AC3896"/>
    <w:rsid w:val="00AD2CF2"/>
    <w:rsid w:val="00AD36B1"/>
    <w:rsid w:val="00AE2D88"/>
    <w:rsid w:val="00AE6F6F"/>
    <w:rsid w:val="00AF3325"/>
    <w:rsid w:val="00AF34D9"/>
    <w:rsid w:val="00AF70DA"/>
    <w:rsid w:val="00B019D3"/>
    <w:rsid w:val="00B237CC"/>
    <w:rsid w:val="00B24F6B"/>
    <w:rsid w:val="00B34CF9"/>
    <w:rsid w:val="00B37559"/>
    <w:rsid w:val="00B4054B"/>
    <w:rsid w:val="00B579B0"/>
    <w:rsid w:val="00B57D11"/>
    <w:rsid w:val="00B649D7"/>
    <w:rsid w:val="00B81C2F"/>
    <w:rsid w:val="00B90743"/>
    <w:rsid w:val="00B90C45"/>
    <w:rsid w:val="00B933BE"/>
    <w:rsid w:val="00BD6738"/>
    <w:rsid w:val="00BD7E5E"/>
    <w:rsid w:val="00BE63DB"/>
    <w:rsid w:val="00BE6574"/>
    <w:rsid w:val="00BF5AF8"/>
    <w:rsid w:val="00C07319"/>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0472F"/>
    <w:rsid w:val="00D10BA0"/>
    <w:rsid w:val="00D21694"/>
    <w:rsid w:val="00D235A4"/>
    <w:rsid w:val="00D24EB5"/>
    <w:rsid w:val="00D35AB9"/>
    <w:rsid w:val="00D41571"/>
    <w:rsid w:val="00D416A0"/>
    <w:rsid w:val="00D47672"/>
    <w:rsid w:val="00D5123C"/>
    <w:rsid w:val="00D55560"/>
    <w:rsid w:val="00D61C5A"/>
    <w:rsid w:val="00D62111"/>
    <w:rsid w:val="00D6287C"/>
    <w:rsid w:val="00D6790C"/>
    <w:rsid w:val="00D73277"/>
    <w:rsid w:val="00D76586"/>
    <w:rsid w:val="00D82657"/>
    <w:rsid w:val="00D87E20"/>
    <w:rsid w:val="00DA4037"/>
    <w:rsid w:val="00DB124B"/>
    <w:rsid w:val="00DE66A5"/>
    <w:rsid w:val="00DF2B50"/>
    <w:rsid w:val="00E01059"/>
    <w:rsid w:val="00E04C86"/>
    <w:rsid w:val="00E17344"/>
    <w:rsid w:val="00E17FD2"/>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2C83"/>
    <w:rsid w:val="00EA3EF0"/>
    <w:rsid w:val="00EB2358"/>
    <w:rsid w:val="00EB3EB8"/>
    <w:rsid w:val="00EC00EF"/>
    <w:rsid w:val="00EC02FE"/>
    <w:rsid w:val="00EC4A96"/>
    <w:rsid w:val="00EE03A0"/>
    <w:rsid w:val="00EE1A57"/>
    <w:rsid w:val="00F41F81"/>
    <w:rsid w:val="00F424BF"/>
    <w:rsid w:val="00F44FC3"/>
    <w:rsid w:val="00F46107"/>
    <w:rsid w:val="00F468C5"/>
    <w:rsid w:val="00F52F39"/>
    <w:rsid w:val="00F6184F"/>
    <w:rsid w:val="00F71C9C"/>
    <w:rsid w:val="00F73DBD"/>
    <w:rsid w:val="00F75811"/>
    <w:rsid w:val="00F8310E"/>
    <w:rsid w:val="00F914DD"/>
    <w:rsid w:val="00FA2358"/>
    <w:rsid w:val="00FB2592"/>
    <w:rsid w:val="00FB2810"/>
    <w:rsid w:val="00FB7A2C"/>
    <w:rsid w:val="00FC2947"/>
    <w:rsid w:val="00FC53D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C644B29"/>
  <w15:docId w15:val="{F99C1041-B9CA-419B-A44C-70D5D044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uiPriority w:val="99"/>
    <w:rsid w:val="003F2F34"/>
    <w:rPr>
      <w:sz w:val="24"/>
      <w:szCs w:val="22"/>
      <w:lang w:val="en-US" w:eastAsia="en-US"/>
    </w:rPr>
  </w:style>
  <w:style w:type="character" w:styleId="UnresolvedMention">
    <w:name w:val="Unresolved Mention"/>
    <w:basedOn w:val="DefaultParagraphFont"/>
    <w:uiPriority w:val="99"/>
    <w:semiHidden/>
    <w:unhideWhenUsed/>
    <w:rsid w:val="00F71C9C"/>
    <w:rPr>
      <w:color w:val="605E5C"/>
      <w:shd w:val="clear" w:color="auto" w:fill="E1DFDD"/>
    </w:rPr>
  </w:style>
  <w:style w:type="paragraph" w:customStyle="1" w:styleId="Reasons">
    <w:name w:val="Reasons"/>
    <w:basedOn w:val="Normal"/>
    <w:qFormat/>
    <w:rsid w:val="00127D85"/>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16-WRC19-C-0237/en" TargetMode="External"/><Relationship Id="rId18" Type="http://schemas.openxmlformats.org/officeDocument/2006/relationships/hyperlink" Target="https://www.itu.int/md/R16-WRC19-C-0232/en" TargetMode="External"/><Relationship Id="rId26" Type="http://schemas.openxmlformats.org/officeDocument/2006/relationships/hyperlink" Target="https://www.itu.int/md/R16-WRC19-C-0344/en" TargetMode="External"/><Relationship Id="rId39" Type="http://schemas.openxmlformats.org/officeDocument/2006/relationships/hyperlink" Target="https://www.itu.int/md/R16-WRC19-C-0500/en" TargetMode="External"/><Relationship Id="rId21" Type="http://schemas.openxmlformats.org/officeDocument/2006/relationships/hyperlink" Target="https://www.itu.int/md/R16-WRC19-C-0568/en" TargetMode="External"/><Relationship Id="rId34" Type="http://schemas.openxmlformats.org/officeDocument/2006/relationships/image" Target="media/image2.emf"/><Relationship Id="rId42" Type="http://schemas.openxmlformats.org/officeDocument/2006/relationships/hyperlink" Target="https://www.itu.int/md/R16-WRC19-C-0572/en" TargetMode="External"/><Relationship Id="rId47" Type="http://schemas.openxmlformats.org/officeDocument/2006/relationships/hyperlink" Target="https://www.itu.int/md/R16-WRC19-C-0550/en" TargetMode="External"/><Relationship Id="rId50" Type="http://schemas.openxmlformats.org/officeDocument/2006/relationships/hyperlink" Target="https://www.itu.int/md/R16-WRC19-C-0554/en" TargetMode="Externa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itu.int/md/R16-WRC19-C-0228/en" TargetMode="External"/><Relationship Id="rId25" Type="http://schemas.openxmlformats.org/officeDocument/2006/relationships/hyperlink" Target="https://www.itu.int/md/R16-WRC19-C-0569/en" TargetMode="External"/><Relationship Id="rId33" Type="http://schemas.openxmlformats.org/officeDocument/2006/relationships/hyperlink" Target="https://www.itu.int/md/R16-WRC19-C-0518/en" TargetMode="External"/><Relationship Id="rId38" Type="http://schemas.openxmlformats.org/officeDocument/2006/relationships/hyperlink" Target="https://www.itu.int/md/R16-WRC19-C-0499/en" TargetMode="External"/><Relationship Id="rId46" Type="http://schemas.openxmlformats.org/officeDocument/2006/relationships/hyperlink" Target="https://www.itu.int/md/R16-WRC19-C-0518/en" TargetMode="External"/><Relationship Id="rId2" Type="http://schemas.openxmlformats.org/officeDocument/2006/relationships/numbering" Target="numbering.xml"/><Relationship Id="rId16" Type="http://schemas.openxmlformats.org/officeDocument/2006/relationships/hyperlink" Target="https://www.itu.int/md/R16-WRC19-C-0469/en" TargetMode="External"/><Relationship Id="rId20" Type="http://schemas.openxmlformats.org/officeDocument/2006/relationships/hyperlink" Target="https://www.itu.int/md/R16-WRC19-C-0289/en" TargetMode="External"/><Relationship Id="rId29" Type="http://schemas.openxmlformats.org/officeDocument/2006/relationships/hyperlink" Target="https://www.itu.int/md/R16-WRC19-C-0351/en" TargetMode="External"/><Relationship Id="rId41" Type="http://schemas.openxmlformats.org/officeDocument/2006/relationships/hyperlink" Target="https://www.itu.int/md/R16-WRC19-C-0510/en"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itu.int/md/R16-WRC19-C-0238/en" TargetMode="External"/><Relationship Id="rId32" Type="http://schemas.openxmlformats.org/officeDocument/2006/relationships/hyperlink" Target="https://www.itu.int/md/R16-WRC19-C-0571/en" TargetMode="External"/><Relationship Id="rId37" Type="http://schemas.openxmlformats.org/officeDocument/2006/relationships/image" Target="media/image5.emf"/><Relationship Id="rId40" Type="http://schemas.openxmlformats.org/officeDocument/2006/relationships/hyperlink" Target="https://www.itu.int/md/R16-WRC19-C-0509/en" TargetMode="External"/><Relationship Id="rId45" Type="http://schemas.openxmlformats.org/officeDocument/2006/relationships/hyperlink" Target="https://www.itu.int/md/R16-WRC19-C-0518/en" TargetMode="External"/><Relationship Id="rId53" Type="http://schemas.openxmlformats.org/officeDocument/2006/relationships/hyperlink" Target="https://www.itu.int/md/R16-WRC19-C-0566/en" TargetMode="External"/><Relationship Id="rId5" Type="http://schemas.openxmlformats.org/officeDocument/2006/relationships/webSettings" Target="webSettings.xml"/><Relationship Id="rId15" Type="http://schemas.openxmlformats.org/officeDocument/2006/relationships/hyperlink" Target="https://www.itu.int/md/R16-WRC19-C-0189/en" TargetMode="External"/><Relationship Id="rId23" Type="http://schemas.openxmlformats.org/officeDocument/2006/relationships/hyperlink" Target="https://www.itu.int/md/R16-WRC19-C-0338/en" TargetMode="External"/><Relationship Id="rId28" Type="http://schemas.openxmlformats.org/officeDocument/2006/relationships/hyperlink" Target="https://www.itu.int/md/R16-WRC19-C-0451/en" TargetMode="External"/><Relationship Id="rId36" Type="http://schemas.openxmlformats.org/officeDocument/2006/relationships/image" Target="media/image4.emf"/><Relationship Id="rId49" Type="http://schemas.openxmlformats.org/officeDocument/2006/relationships/hyperlink" Target="https://www.itu.int/md/R16-WRC19-C-0563/en" TargetMode="Externa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itu.int/md/R16-WRC19-C-0293/en" TargetMode="External"/><Relationship Id="rId31" Type="http://schemas.openxmlformats.org/officeDocument/2006/relationships/hyperlink" Target="https://www.itu.int/md/R16-WRC19-C-0471/en" TargetMode="External"/><Relationship Id="rId44" Type="http://schemas.openxmlformats.org/officeDocument/2006/relationships/hyperlink" Target="https://www.itu.int/md/R16-WRC19-C-0573/en" TargetMode="External"/><Relationship Id="rId52" Type="http://schemas.openxmlformats.org/officeDocument/2006/relationships/hyperlink" Target="https://www.itu.int/md/R16-WRC19-C-0575/e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itu.int/md/R16-WRC19-C-0201/en" TargetMode="External"/><Relationship Id="rId22" Type="http://schemas.openxmlformats.org/officeDocument/2006/relationships/hyperlink" Target="https://www.itu.int/md/R16-WRC19-C-0303/en" TargetMode="External"/><Relationship Id="rId27" Type="http://schemas.openxmlformats.org/officeDocument/2006/relationships/hyperlink" Target="https://www.itu.int/md/R16-WRC19-C-0347/en" TargetMode="External"/><Relationship Id="rId30" Type="http://schemas.openxmlformats.org/officeDocument/2006/relationships/hyperlink" Target="https://www.itu.int/md/R16-WRC19-C-0452/en" TargetMode="External"/><Relationship Id="rId35" Type="http://schemas.openxmlformats.org/officeDocument/2006/relationships/image" Target="media/image3.emf"/><Relationship Id="rId43" Type="http://schemas.openxmlformats.org/officeDocument/2006/relationships/hyperlink" Target="https://www.itu.int/md/R16-WRC19-C-0402/en" TargetMode="External"/><Relationship Id="rId48" Type="http://schemas.openxmlformats.org/officeDocument/2006/relationships/hyperlink" Target="https://www.itu.int/md/R16-WRC19-C-0283/en"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www.itu.int/md/R16-WRC19-C-0535/en"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07E0C-93A9-4BE8-9AEF-7095EE8E6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32</Pages>
  <Words>11434</Words>
  <Characters>62907</Characters>
  <Application>Microsoft Office Word</Application>
  <DocSecurity>0</DocSecurity>
  <Lines>524</Lines>
  <Paragraphs>148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74193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French</dc:creator>
  <cp:lastModifiedBy>BR</cp:lastModifiedBy>
  <cp:revision>3</cp:revision>
  <cp:lastPrinted>2013-03-08T10:15:00Z</cp:lastPrinted>
  <dcterms:created xsi:type="dcterms:W3CDTF">2020-04-14T12:36:00Z</dcterms:created>
  <dcterms:modified xsi:type="dcterms:W3CDTF">2020-04-14T12:46:00Z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