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853"/>
        <w:gridCol w:w="3510"/>
      </w:tblGrid>
      <w:tr w:rsidR="00E53DCE" w:rsidRPr="007B3DB1" w14:paraId="772DB8A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E5859C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31286EC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64B1BC72" w14:textId="77777777" w:rsidTr="00EF2348">
        <w:trPr>
          <w:jc w:val="center"/>
        </w:trPr>
        <w:tc>
          <w:tcPr>
            <w:tcW w:w="6379" w:type="dxa"/>
            <w:gridSpan w:val="2"/>
            <w:shd w:val="clear" w:color="auto" w:fill="auto"/>
          </w:tcPr>
          <w:p w14:paraId="3011D701" w14:textId="3CBD6E96" w:rsidR="00E53DCE" w:rsidRPr="001B3D4D" w:rsidRDefault="001B3D4D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75124D">
              <w:rPr>
                <w:lang w:val="es-ES_tradnl"/>
              </w:rPr>
              <w:t>Carta Circular</w:t>
            </w:r>
          </w:p>
          <w:p w14:paraId="3772106A" w14:textId="641CB7A0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CR</w:t>
            </w:r>
            <w:r w:rsidR="00EF2348">
              <w:rPr>
                <w:b/>
                <w:bCs/>
                <w:szCs w:val="24"/>
                <w:lang w:val="es-ES"/>
              </w:rPr>
              <w:t>/472</w:t>
            </w:r>
          </w:p>
        </w:tc>
        <w:tc>
          <w:tcPr>
            <w:tcW w:w="3510" w:type="dxa"/>
            <w:shd w:val="clear" w:color="auto" w:fill="auto"/>
          </w:tcPr>
          <w:p w14:paraId="2DEC7E30" w14:textId="26D67299" w:rsidR="00E53DCE" w:rsidRPr="000525C4" w:rsidRDefault="00EF2348" w:rsidP="00EF2348">
            <w:pPr>
              <w:tabs>
                <w:tab w:val="clear" w:pos="794"/>
              </w:tabs>
              <w:spacing w:before="0"/>
              <w:jc w:val="right"/>
              <w:rPr>
                <w:szCs w:val="24"/>
                <w:lang w:val="es-CL"/>
              </w:rPr>
            </w:pPr>
            <w:r w:rsidRPr="000525C4">
              <w:rPr>
                <w:bCs/>
                <w:szCs w:val="24"/>
                <w:lang w:val="es-CL"/>
              </w:rPr>
              <w:t xml:space="preserve">Ginebra, </w:t>
            </w:r>
            <w:r w:rsidR="00786F13">
              <w:rPr>
                <w:bCs/>
                <w:szCs w:val="24"/>
                <w:lang w:val="es-CL"/>
              </w:rPr>
              <w:t>9</w:t>
            </w:r>
            <w:r w:rsidRPr="000525C4">
              <w:rPr>
                <w:bCs/>
                <w:szCs w:val="24"/>
                <w:lang w:val="es-CL"/>
              </w:rPr>
              <w:t xml:space="preserve"> de diciembre de 2020</w:t>
            </w:r>
          </w:p>
        </w:tc>
      </w:tr>
      <w:tr w:rsidR="00E53DCE" w:rsidRPr="0033029C" w14:paraId="73754B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97466C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2269DA3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BB19D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86F13" w14:paraId="707482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E5EF8F" w14:textId="77777777"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14:paraId="7D2430E4" w14:textId="77777777"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786F13" w14:paraId="5640DD4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CEBD4C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86F13" w14:paraId="1A2AED8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76EB3B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86F13" w14:paraId="351BDEF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E65B1B" w14:textId="77777777" w:rsidR="00E53DCE" w:rsidRPr="000525C4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0525C4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F421491" w14:textId="0A89DBBE" w:rsidR="00E53DCE" w:rsidRPr="000525C4" w:rsidRDefault="00EF2348" w:rsidP="00EF234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525C4">
              <w:rPr>
                <w:b/>
                <w:bCs/>
                <w:szCs w:val="24"/>
                <w:lang w:val="es-ES_tradnl"/>
              </w:rPr>
              <w:t>Resumen de las principales decisiones de la Conferencia Mundial de Radiocomunicaciones, Sharm el-Sheikh, 2019 (CMR-19) relacionadas con los servicios terrenales</w:t>
            </w:r>
          </w:p>
        </w:tc>
      </w:tr>
      <w:tr w:rsidR="00E53DCE" w:rsidRPr="00786F13" w14:paraId="614E879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454682" w14:textId="77777777" w:rsidR="00E53DCE" w:rsidRPr="000525C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AE931D" w14:textId="77777777" w:rsidR="00E53DCE" w:rsidRPr="000525C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86F13" w14:paraId="0102FA6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CB58833" w14:textId="77777777" w:rsidR="00E53DCE" w:rsidRPr="000A7C2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6D129" w14:textId="77777777" w:rsidR="00E53DCE" w:rsidRPr="000A7C2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86F13" w14:paraId="445961E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4DC3B2" w14:textId="77777777" w:rsidR="00E53DCE" w:rsidRPr="000A7C2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86F13" w14:paraId="2E3867E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E935F" w14:textId="77777777" w:rsidR="00E53DCE" w:rsidRPr="000A7C2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14:paraId="44F79C5B" w14:textId="081F7857" w:rsidR="00E53DCE" w:rsidRPr="000A7C2F" w:rsidRDefault="00EF2348" w:rsidP="00EF2348">
      <w:pPr>
        <w:pStyle w:val="Normalaftertitle"/>
        <w:rPr>
          <w:lang w:val="fr-CH"/>
        </w:rPr>
      </w:pPr>
      <w:r w:rsidRPr="00EF2348">
        <w:rPr>
          <w:lang w:val="es-ES"/>
        </w:rPr>
        <w:t>En la Conferencia Mundial de Radiocomunicaciones celebrada en Sharm el-Sheikh en 2019 (CMR</w:t>
      </w:r>
      <w:r w:rsidR="008B6157">
        <w:rPr>
          <w:lang w:val="es-ES"/>
        </w:rPr>
        <w:noBreakHyphen/>
      </w:r>
      <w:r w:rsidRPr="00EF2348">
        <w:rPr>
          <w:lang w:val="es-ES"/>
        </w:rPr>
        <w:t>19), se adoptó una revisión parcial del Reglamento de Radiocomunicaciones</w:t>
      </w:r>
      <w:r w:rsidR="000525C4">
        <w:rPr>
          <w:lang w:val="es-ES"/>
        </w:rPr>
        <w:t xml:space="preserve"> (RR)</w:t>
      </w:r>
      <w:r w:rsidRPr="00EF2348">
        <w:rPr>
          <w:lang w:val="es-ES"/>
        </w:rPr>
        <w:t xml:space="preserve"> y se decidió que las disposiciones revisadas entrarían en vigor el 1 de enero de 2021, con excepción de aquellas disposiciones respecto de las cuales se indicase específicamente otra fecha. Tras la publicación de las Cartas Circular</w:t>
      </w:r>
      <w:r w:rsidR="000525C4">
        <w:rPr>
          <w:lang w:val="es-ES"/>
        </w:rPr>
        <w:t>es</w:t>
      </w:r>
      <w:r w:rsidRPr="00EF2348">
        <w:rPr>
          <w:lang w:val="es-ES"/>
        </w:rPr>
        <w:t xml:space="preserve"> </w:t>
      </w:r>
      <w:bookmarkStart w:id="0" w:name="_Hlk57651883"/>
      <w:r w:rsidRPr="00EF2348">
        <w:rPr>
          <w:lang w:val="es-ES"/>
        </w:rPr>
        <w:fldChar w:fldCharType="begin"/>
      </w:r>
      <w:r w:rsidR="008B6157">
        <w:rPr>
          <w:lang w:val="es-ES"/>
        </w:rPr>
        <w:instrText>HYPERLINK "https://www.itu.int/md/R00-CR-CIR-0455/es"</w:instrText>
      </w:r>
      <w:r w:rsidRPr="00EF2348">
        <w:rPr>
          <w:lang w:val="es-ES"/>
        </w:rPr>
        <w:fldChar w:fldCharType="separate"/>
      </w:r>
      <w:r w:rsidRPr="00EF2348">
        <w:rPr>
          <w:rStyle w:val="Hyperlink"/>
          <w:lang w:val="es-ES"/>
        </w:rPr>
        <w:t>CR/455</w:t>
      </w:r>
      <w:r w:rsidRPr="00EF2348">
        <w:fldChar w:fldCharType="end"/>
      </w:r>
      <w:r w:rsidRPr="00EF2348">
        <w:rPr>
          <w:lang w:val="es-ES"/>
        </w:rPr>
        <w:t xml:space="preserve">, </w:t>
      </w:r>
      <w:hyperlink r:id="rId8" w:history="1">
        <w:r w:rsidRPr="00EF2348">
          <w:rPr>
            <w:rStyle w:val="Hyperlink"/>
            <w:lang w:val="es-ES"/>
          </w:rPr>
          <w:t>CR/461</w:t>
        </w:r>
      </w:hyperlink>
      <w:r w:rsidRPr="00EF2348">
        <w:rPr>
          <w:lang w:val="es-ES"/>
        </w:rPr>
        <w:t xml:space="preserve"> y </w:t>
      </w:r>
      <w:hyperlink r:id="rId9" w:history="1">
        <w:r w:rsidRPr="00EF2348">
          <w:rPr>
            <w:rStyle w:val="Hyperlink"/>
            <w:lang w:val="es-ES"/>
          </w:rPr>
          <w:t>CR/464</w:t>
        </w:r>
      </w:hyperlink>
      <w:bookmarkEnd w:id="0"/>
      <w:r w:rsidRPr="00EF2348">
        <w:rPr>
          <w:lang w:val="es-ES"/>
        </w:rPr>
        <w:t xml:space="preserve"> relativas a los servicios espaciales, la finalidad de la presente Carta Circular es poner de relieve las decisiones más importantes de la Conferencia relacionadas con los servicios terrenales.</w:t>
      </w:r>
    </w:p>
    <w:p w14:paraId="62155136" w14:textId="2FAC2227" w:rsidR="00EF2348" w:rsidRPr="00EF2348" w:rsidRDefault="00EF2348" w:rsidP="00EF2348">
      <w:pPr>
        <w:rPr>
          <w:lang w:val="es-ES"/>
        </w:rPr>
      </w:pPr>
      <w:r w:rsidRPr="00EF2348">
        <w:rPr>
          <w:lang w:val="es-ES"/>
        </w:rPr>
        <w:t xml:space="preserve">Esta Carta Circular debe leerse conjuntamente con las Cartas Circulares </w:t>
      </w:r>
      <w:hyperlink r:id="rId10" w:history="1">
        <w:r w:rsidRPr="00EF2348">
          <w:rPr>
            <w:rStyle w:val="Hyperlink"/>
            <w:lang w:val="es-ES"/>
          </w:rPr>
          <w:t>CR/456</w:t>
        </w:r>
      </w:hyperlink>
      <w:r w:rsidRPr="00EF2348">
        <w:rPr>
          <w:lang w:val="es-ES"/>
        </w:rPr>
        <w:t>, de 6 de marzo de</w:t>
      </w:r>
      <w:r w:rsidR="000525C4">
        <w:rPr>
          <w:lang w:val="es-ES"/>
        </w:rPr>
        <w:t> </w:t>
      </w:r>
      <w:r w:rsidRPr="00EF2348">
        <w:rPr>
          <w:lang w:val="es-ES"/>
        </w:rPr>
        <w:t xml:space="preserve">2020, relativa a las decisiones de la CMR-19 incluidas en las Actas de las Sesiones Plenarias y la </w:t>
      </w:r>
      <w:hyperlink r:id="rId11" w:history="1">
        <w:r w:rsidRPr="00EF2348">
          <w:rPr>
            <w:rStyle w:val="Hyperlink"/>
            <w:lang w:val="es-ES"/>
          </w:rPr>
          <w:t>CR/467</w:t>
        </w:r>
      </w:hyperlink>
      <w:r w:rsidRPr="00EF2348">
        <w:rPr>
          <w:rFonts w:eastAsia="SimSun"/>
          <w:lang w:val="es-ES"/>
        </w:rPr>
        <w:t>,</w:t>
      </w:r>
      <w:r w:rsidRPr="00EF2348">
        <w:rPr>
          <w:lang w:val="es-ES"/>
        </w:rPr>
        <w:t xml:space="preserve"> de 18 de </w:t>
      </w:r>
      <w:r w:rsidR="000525C4">
        <w:rPr>
          <w:lang w:val="es-ES"/>
        </w:rPr>
        <w:t>a</w:t>
      </w:r>
      <w:r w:rsidRPr="00EF2348">
        <w:rPr>
          <w:lang w:val="es-ES"/>
        </w:rPr>
        <w:t xml:space="preserve">gosto de 2020, sobre la utilización del símbolo </w:t>
      </w:r>
      <w:r w:rsidR="008B6157">
        <w:rPr>
          <w:lang w:val="es-ES"/>
        </w:rPr>
        <w:t>«</w:t>
      </w:r>
      <w:r w:rsidRPr="00EF2348">
        <w:rPr>
          <w:lang w:val="es-ES"/>
        </w:rPr>
        <w:t>IM</w:t>
      </w:r>
      <w:r w:rsidR="008B6157">
        <w:rPr>
          <w:lang w:val="es-ES"/>
        </w:rPr>
        <w:t>»</w:t>
      </w:r>
      <w:r w:rsidRPr="00EF2348">
        <w:rPr>
          <w:lang w:val="es-ES"/>
        </w:rPr>
        <w:t xml:space="preserve"> para notificar asignaciones de frecuencias a estaciones IMT.</w:t>
      </w:r>
    </w:p>
    <w:p w14:paraId="66D968F2" w14:textId="5A13EB98" w:rsidR="00EF2348" w:rsidRPr="00EF2348" w:rsidRDefault="00EF2348" w:rsidP="005C6AAD">
      <w:pPr>
        <w:pStyle w:val="Headingb"/>
        <w:rPr>
          <w:lang w:val="es-ES"/>
        </w:rPr>
      </w:pPr>
      <w:r w:rsidRPr="00EF2348">
        <w:rPr>
          <w:lang w:val="es-ES"/>
        </w:rPr>
        <w:t>Decisiones que entraron en vigor el 23 de noviembre de 2019</w:t>
      </w:r>
    </w:p>
    <w:p w14:paraId="3D9BEE12" w14:textId="12307E0F" w:rsidR="00EF2348" w:rsidRPr="00EF2348" w:rsidRDefault="00EF2348" w:rsidP="00EF2348">
      <w:pPr>
        <w:rPr>
          <w:lang w:val="es-ES_tradnl"/>
        </w:rPr>
      </w:pPr>
      <w:r w:rsidRPr="00EF2348">
        <w:rPr>
          <w:lang w:val="es-ES_tradnl"/>
        </w:rPr>
        <w:t>El 23 de noviembre de 2019 entraron en vigor las siguientes disposiciones del RR relacionadas con los servicios terrenales o que afectan a los mismos, de conformidad con la Resolución</w:t>
      </w:r>
      <w:r w:rsidR="000525C4">
        <w:rPr>
          <w:lang w:val="es-ES_tradnl"/>
        </w:rPr>
        <w:t> </w:t>
      </w:r>
      <w:r w:rsidRPr="00EF2348">
        <w:rPr>
          <w:b/>
          <w:bCs/>
          <w:lang w:val="es-ES_tradnl"/>
        </w:rPr>
        <w:t>99 (Rev.CMR</w:t>
      </w:r>
      <w:r w:rsidR="005C6AAD" w:rsidRPr="005C6AAD">
        <w:rPr>
          <w:b/>
          <w:bCs/>
          <w:lang w:val="es-ES_tradnl"/>
        </w:rPr>
        <w:noBreakHyphen/>
      </w:r>
      <w:r w:rsidRPr="00EF2348">
        <w:rPr>
          <w:b/>
          <w:bCs/>
          <w:lang w:val="es-ES_tradnl"/>
        </w:rPr>
        <w:t>19)</w:t>
      </w:r>
      <w:r w:rsidRPr="00EF2348">
        <w:rPr>
          <w:lang w:val="es-ES_tradnl"/>
        </w:rPr>
        <w:t>: número</w:t>
      </w:r>
      <w:r w:rsidR="000525C4">
        <w:rPr>
          <w:lang w:val="es-ES_tradnl"/>
        </w:rPr>
        <w:t> </w:t>
      </w:r>
      <w:r w:rsidRPr="00EF2348">
        <w:rPr>
          <w:b/>
          <w:bCs/>
          <w:lang w:val="es-ES_tradnl"/>
        </w:rPr>
        <w:t>5.441B</w:t>
      </w:r>
      <w:r w:rsidRPr="00EF2348">
        <w:rPr>
          <w:lang w:val="es-ES_tradnl"/>
        </w:rPr>
        <w:t xml:space="preserve"> y Apéndices</w:t>
      </w:r>
      <w:r w:rsidR="000525C4">
        <w:rPr>
          <w:lang w:val="es-ES_tradnl"/>
        </w:rPr>
        <w:t> </w:t>
      </w:r>
      <w:r w:rsidRPr="00EF2348">
        <w:rPr>
          <w:b/>
          <w:bCs/>
          <w:lang w:val="es-ES_tradnl"/>
        </w:rPr>
        <w:t xml:space="preserve">4, 5 </w:t>
      </w:r>
      <w:r w:rsidRPr="00EF2348">
        <w:rPr>
          <w:lang w:val="es-ES_tradnl"/>
        </w:rPr>
        <w:t>y</w:t>
      </w:r>
      <w:r w:rsidRPr="00EF2348">
        <w:rPr>
          <w:b/>
          <w:bCs/>
          <w:lang w:val="es-ES_tradnl"/>
        </w:rPr>
        <w:t xml:space="preserve"> 15</w:t>
      </w:r>
      <w:r w:rsidRPr="00EF2348">
        <w:rPr>
          <w:lang w:val="es-ES_tradnl"/>
        </w:rPr>
        <w:t>:</w:t>
      </w:r>
    </w:p>
    <w:p w14:paraId="2209006F" w14:textId="0778C915" w:rsidR="00EF2348" w:rsidRPr="00EF2348" w:rsidRDefault="00707088" w:rsidP="00707088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La </w:t>
      </w:r>
      <w:r w:rsidR="00EF2348" w:rsidRPr="000A7C2F">
        <w:rPr>
          <w:lang w:val="fr-CH"/>
        </w:rPr>
        <w:t>CMR</w:t>
      </w:r>
      <w:r w:rsidR="00EF2348" w:rsidRPr="00EF2348">
        <w:rPr>
          <w:lang w:val="es-ES"/>
        </w:rPr>
        <w:t>-19 modificó el número</w:t>
      </w:r>
      <w:r w:rsidR="000525C4">
        <w:rPr>
          <w:lang w:val="es-ES"/>
        </w:rPr>
        <w:t> </w:t>
      </w:r>
      <w:r w:rsidR="00EF2348" w:rsidRPr="00EF2348">
        <w:rPr>
          <w:b/>
          <w:bCs/>
          <w:lang w:val="es-ES"/>
        </w:rPr>
        <w:t>5.441B</w:t>
      </w:r>
      <w:r w:rsidR="00EF2348" w:rsidRPr="00EF2348">
        <w:rPr>
          <w:lang w:val="es-ES"/>
        </w:rPr>
        <w:t xml:space="preserve"> que identifica la banda de frecuencias 4</w:t>
      </w:r>
      <w:r w:rsidR="000525C4">
        <w:rPr>
          <w:lang w:val="es-ES"/>
        </w:rPr>
        <w:t> </w:t>
      </w:r>
      <w:r w:rsidR="00EF2348" w:rsidRPr="00EF2348">
        <w:rPr>
          <w:lang w:val="es-ES"/>
        </w:rPr>
        <w:t>800</w:t>
      </w:r>
      <w:r w:rsidR="000525C4">
        <w:rPr>
          <w:lang w:val="es-ES"/>
        </w:rPr>
        <w:noBreakHyphen/>
      </w:r>
      <w:r w:rsidR="00EF2348" w:rsidRPr="00EF2348">
        <w:rPr>
          <w:lang w:val="es-ES"/>
        </w:rPr>
        <w:t>4</w:t>
      </w:r>
      <w:r w:rsidR="000525C4">
        <w:rPr>
          <w:lang w:val="es-ES"/>
        </w:rPr>
        <w:t> </w:t>
      </w:r>
      <w:r w:rsidR="00EF2348" w:rsidRPr="00EF2348">
        <w:rPr>
          <w:lang w:val="es-ES"/>
        </w:rPr>
        <w:t>990</w:t>
      </w:r>
      <w:r w:rsidR="000525C4">
        <w:rPr>
          <w:lang w:val="es-ES"/>
        </w:rPr>
        <w:t> </w:t>
      </w:r>
      <w:r w:rsidR="00EF2348" w:rsidRPr="00EF2348">
        <w:rPr>
          <w:lang w:val="es-ES"/>
        </w:rPr>
        <w:t>MHz para las IMT en varios países, con sujeción al número</w:t>
      </w:r>
      <w:r w:rsidR="000525C4">
        <w:rPr>
          <w:lang w:val="es-ES"/>
        </w:rPr>
        <w:t> </w:t>
      </w:r>
      <w:r w:rsidR="00EF2348" w:rsidRPr="00EF2348">
        <w:rPr>
          <w:b/>
          <w:bCs/>
          <w:lang w:val="es-ES"/>
        </w:rPr>
        <w:t>9.21</w:t>
      </w:r>
      <w:r w:rsidR="00EF2348" w:rsidRPr="00EF2348">
        <w:rPr>
          <w:lang w:val="es-ES"/>
        </w:rPr>
        <w:t xml:space="preserve"> y al límite de densidad de flujo de potencia (dfp). La Resolución</w:t>
      </w:r>
      <w:r w:rsidR="000525C4">
        <w:rPr>
          <w:lang w:val="es-ES"/>
        </w:rPr>
        <w:t> </w:t>
      </w:r>
      <w:r w:rsidR="00EF2348" w:rsidRPr="00EF2348">
        <w:rPr>
          <w:b/>
          <w:bCs/>
          <w:lang w:val="es-ES"/>
        </w:rPr>
        <w:t>223 (Rev.CMR-19)</w:t>
      </w:r>
      <w:r w:rsidR="00EF2348" w:rsidRPr="00EF2348">
        <w:rPr>
          <w:lang w:val="es-ES"/>
        </w:rPr>
        <w:t xml:space="preserve"> revisada determina los criterios de coordinación para el procedimiento del número</w:t>
      </w:r>
      <w:r w:rsidR="000525C4">
        <w:rPr>
          <w:lang w:val="es-ES"/>
        </w:rPr>
        <w:t> </w:t>
      </w:r>
      <w:r w:rsidR="00EF2348" w:rsidRPr="00EF2348">
        <w:rPr>
          <w:b/>
          <w:bCs/>
          <w:lang w:val="es-ES"/>
        </w:rPr>
        <w:t>9.21</w:t>
      </w:r>
      <w:r w:rsidR="00EF2348" w:rsidRPr="00EF2348">
        <w:rPr>
          <w:lang w:val="es-ES"/>
        </w:rPr>
        <w:t xml:space="preserve"> en esta banda y exime a varios países, enumerados en el número</w:t>
      </w:r>
      <w:r w:rsidR="000525C4">
        <w:rPr>
          <w:lang w:val="es-ES"/>
        </w:rPr>
        <w:t> </w:t>
      </w:r>
      <w:r w:rsidR="00EF2348" w:rsidRPr="00EF2348">
        <w:rPr>
          <w:b/>
          <w:bCs/>
          <w:lang w:val="es-ES"/>
        </w:rPr>
        <w:t>5.441B</w:t>
      </w:r>
      <w:r w:rsidR="00EF2348" w:rsidRPr="00EF2348">
        <w:rPr>
          <w:lang w:val="es-ES"/>
        </w:rPr>
        <w:t>, de la aplicación del límite de dfp</w:t>
      </w:r>
      <w:r w:rsidR="000525C4">
        <w:rPr>
          <w:lang w:val="es-ES"/>
        </w:rPr>
        <w:t>.</w:t>
      </w:r>
    </w:p>
    <w:p w14:paraId="4E625846" w14:textId="48C4BC67" w:rsidR="00EF2348" w:rsidRPr="00EF2348" w:rsidRDefault="00707088" w:rsidP="00707088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>La CMR-19 suprimió la banda de frecuencias 620-790</w:t>
      </w:r>
      <w:r w:rsidR="000525C4">
        <w:rPr>
          <w:lang w:val="es-ES"/>
        </w:rPr>
        <w:t> </w:t>
      </w:r>
      <w:r w:rsidR="00EF2348" w:rsidRPr="00EF2348">
        <w:rPr>
          <w:lang w:val="es-ES"/>
        </w:rPr>
        <w:t>MHz de la lista de bandas del SRS del Apéndice</w:t>
      </w:r>
      <w:r w:rsidR="000525C4">
        <w:rPr>
          <w:lang w:val="es-ES"/>
        </w:rPr>
        <w:t> </w:t>
      </w:r>
      <w:r w:rsidR="00EF2348" w:rsidRPr="000525C4">
        <w:rPr>
          <w:b/>
          <w:bCs/>
          <w:lang w:val="es-ES"/>
        </w:rPr>
        <w:t>5</w:t>
      </w:r>
      <w:r w:rsidR="00EF2348" w:rsidRPr="00EF2348">
        <w:rPr>
          <w:lang w:val="es-ES"/>
        </w:rPr>
        <w:t xml:space="preserve"> (Cuadro</w:t>
      </w:r>
      <w:r w:rsidR="000525C4">
        <w:rPr>
          <w:lang w:val="es-ES"/>
        </w:rPr>
        <w:t> </w:t>
      </w:r>
      <w:r w:rsidR="00EF2348" w:rsidRPr="00EF2348">
        <w:rPr>
          <w:lang w:val="es-ES"/>
        </w:rPr>
        <w:t>5-1). Por consiguiente, ya no es necesario realizar la coordinación de las estaciones transmisoras terrenales con el SRS en esta banda con arreglo al número</w:t>
      </w:r>
      <w:r w:rsidR="000525C4">
        <w:rPr>
          <w:lang w:val="es-ES"/>
        </w:rPr>
        <w:t> </w:t>
      </w:r>
      <w:r w:rsidR="00EF2348" w:rsidRPr="00EF2348">
        <w:rPr>
          <w:b/>
          <w:bCs/>
          <w:lang w:val="es-ES"/>
        </w:rPr>
        <w:t>9.19</w:t>
      </w:r>
      <w:r w:rsidR="00EF2348" w:rsidRPr="00EF2348">
        <w:rPr>
          <w:lang w:val="es-ES"/>
        </w:rPr>
        <w:t>. Esta supresión es consecuencia de haber suprimido el número</w:t>
      </w:r>
      <w:r w:rsidR="000525C4">
        <w:rPr>
          <w:lang w:val="es-ES"/>
        </w:rPr>
        <w:t> </w:t>
      </w:r>
      <w:r w:rsidR="00EF2348" w:rsidRPr="00EF2348">
        <w:rPr>
          <w:b/>
          <w:bCs/>
          <w:lang w:val="es-ES"/>
        </w:rPr>
        <w:t>5.311A</w:t>
      </w:r>
      <w:r w:rsidR="00EF2348" w:rsidRPr="00EF2348">
        <w:rPr>
          <w:lang w:val="es-ES"/>
        </w:rPr>
        <w:t xml:space="preserve"> y la Resolución</w:t>
      </w:r>
      <w:r w:rsidR="000525C4">
        <w:rPr>
          <w:lang w:val="es-ES"/>
        </w:rPr>
        <w:t> </w:t>
      </w:r>
      <w:r w:rsidR="00EF2348" w:rsidRPr="00EF2348">
        <w:rPr>
          <w:b/>
          <w:bCs/>
          <w:lang w:val="es-ES"/>
        </w:rPr>
        <w:t>549 (CMR-07</w:t>
      </w:r>
      <w:r w:rsidR="00EF2348" w:rsidRPr="00EF2348">
        <w:rPr>
          <w:lang w:val="es-ES"/>
        </w:rPr>
        <w:t>).</w:t>
      </w:r>
    </w:p>
    <w:p w14:paraId="2DE146E1" w14:textId="339C240B" w:rsidR="00EF2348" w:rsidRPr="00EF2348" w:rsidRDefault="00EF2348" w:rsidP="008B6157">
      <w:pPr>
        <w:keepNext/>
        <w:keepLines/>
        <w:rPr>
          <w:lang w:val="es-ES"/>
        </w:rPr>
      </w:pPr>
      <w:r w:rsidRPr="00EF2348">
        <w:rPr>
          <w:lang w:val="es-ES"/>
        </w:rPr>
        <w:lastRenderedPageBreak/>
        <w:t xml:space="preserve">La CMR-19 revisó varias Resoluciones y Recomendaciones de </w:t>
      </w:r>
      <w:r w:rsidR="000525C4" w:rsidRPr="00EF2348">
        <w:rPr>
          <w:lang w:val="es-ES"/>
        </w:rPr>
        <w:t>c</w:t>
      </w:r>
      <w:r w:rsidRPr="00EF2348">
        <w:rPr>
          <w:lang w:val="es-ES"/>
        </w:rPr>
        <w:t>onferencias anteriores y adoptó varias Resoluciones nuevas. Por regla general, las Resoluciones y Recomendaciones nuevas y revisadas entran en vigor cuando se firman las Actas Finales de la Conferencia. Sin embargo, las Resoluciones que se incorporan mediante las notas a pie de página del Artículo</w:t>
      </w:r>
      <w:r w:rsidR="004E5266">
        <w:rPr>
          <w:lang w:val="es-ES"/>
        </w:rPr>
        <w:t> </w:t>
      </w:r>
      <w:r w:rsidRPr="00EF2348">
        <w:rPr>
          <w:lang w:val="es-ES"/>
        </w:rPr>
        <w:t xml:space="preserve">5 modificado entran en vigor junto con dichas notas. </w:t>
      </w:r>
      <w:r w:rsidR="000525C4">
        <w:rPr>
          <w:lang w:val="es-ES"/>
        </w:rPr>
        <w:t>En e</w:t>
      </w:r>
      <w:r w:rsidRPr="00EF2348">
        <w:rPr>
          <w:lang w:val="es-ES"/>
        </w:rPr>
        <w:t>sta subsección se indican solamente las Resoluciones que entraron en vigor el 23 de noviembre de 2019. Las demás Resoluciones se describen en la Sección</w:t>
      </w:r>
      <w:r w:rsidR="000525C4">
        <w:rPr>
          <w:lang w:val="es-ES"/>
        </w:rPr>
        <w:t> </w:t>
      </w:r>
      <w:r w:rsidRPr="00EF2348">
        <w:rPr>
          <w:lang w:val="es-ES"/>
        </w:rPr>
        <w:t>3.</w:t>
      </w:r>
    </w:p>
    <w:p w14:paraId="3668EA39" w14:textId="6A2A3897" w:rsidR="00EF2348" w:rsidRPr="00EF2348" w:rsidRDefault="00707088" w:rsidP="00707088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La CMR-19 modificó las Resoluciones </w:t>
      </w:r>
      <w:r w:rsidR="00EF2348" w:rsidRPr="00EF2348">
        <w:rPr>
          <w:b/>
          <w:bCs/>
          <w:lang w:val="es-ES"/>
        </w:rPr>
        <w:t>12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212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224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229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344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349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356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361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418, 517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535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543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550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646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647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731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748</w:t>
      </w:r>
      <w:r w:rsidR="00EF2348" w:rsidRPr="000525C4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749</w:t>
      </w:r>
      <w:r w:rsidR="00EF2348" w:rsidRPr="000525C4">
        <w:rPr>
          <w:lang w:val="es-ES"/>
        </w:rPr>
        <w:t xml:space="preserve"> y </w:t>
      </w:r>
      <w:r w:rsidR="00EF2348" w:rsidRPr="00EF2348">
        <w:rPr>
          <w:b/>
          <w:bCs/>
          <w:lang w:val="es-ES"/>
        </w:rPr>
        <w:t>760</w:t>
      </w:r>
      <w:r w:rsidR="00EF2348" w:rsidRPr="00EF2348">
        <w:rPr>
          <w:lang w:val="es-ES"/>
        </w:rPr>
        <w:t xml:space="preserve"> que guardan relación con los servicios terrenales. Sin embargo, estas modificaciones son de carácter editorial y no tienen repercusiones en las actividades de las administraciones de la BR.</w:t>
      </w:r>
    </w:p>
    <w:p w14:paraId="71EE674B" w14:textId="70C9E1C1" w:rsidR="00EF2348" w:rsidRPr="00EF2348" w:rsidRDefault="00707088" w:rsidP="00707088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>La CMR-19 derogó las siguientes Resoluciones relativas a los servicios terrenales</w:t>
      </w:r>
      <w:r w:rsidR="00EF2348" w:rsidRPr="00FD2E82">
        <w:rPr>
          <w:lang w:val="es-ES"/>
        </w:rPr>
        <w:t xml:space="preserve">: </w:t>
      </w:r>
      <w:r w:rsidR="00EF2348" w:rsidRPr="00EF2348">
        <w:rPr>
          <w:b/>
          <w:bCs/>
          <w:lang w:val="es-ES"/>
        </w:rPr>
        <w:t>236</w:t>
      </w:r>
      <w:r w:rsidR="00EF2348" w:rsidRPr="00FD2E82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237</w:t>
      </w:r>
      <w:r w:rsidR="00EF2348" w:rsidRPr="00FD2E82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238</w:t>
      </w:r>
      <w:r w:rsidR="00EF2348" w:rsidRPr="00FD2E82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239</w:t>
      </w:r>
      <w:r w:rsidR="00EF2348" w:rsidRPr="00FD2E82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359</w:t>
      </w:r>
      <w:r w:rsidR="00EF2348" w:rsidRPr="00FD2E82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360</w:t>
      </w:r>
      <w:r w:rsidR="00EF2348" w:rsidRPr="00FD2E82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362</w:t>
      </w:r>
      <w:r w:rsidR="00EF2348" w:rsidRPr="00FD2E82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426</w:t>
      </w:r>
      <w:r w:rsidR="00EF2348" w:rsidRPr="00FD2E82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641</w:t>
      </w:r>
      <w:r w:rsidR="00EF2348" w:rsidRPr="00FD2E82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658</w:t>
      </w:r>
      <w:r w:rsidR="00EF2348" w:rsidRPr="00FD2E82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763</w:t>
      </w:r>
      <w:r w:rsidR="00EF2348" w:rsidRPr="00FD2E82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 xml:space="preserve">764 </w:t>
      </w:r>
      <w:r w:rsidR="00EF2348" w:rsidRPr="00FD2E82">
        <w:rPr>
          <w:lang w:val="es-ES"/>
        </w:rPr>
        <w:t>y</w:t>
      </w:r>
      <w:r w:rsidR="00EF2348" w:rsidRPr="00EF2348">
        <w:rPr>
          <w:b/>
          <w:bCs/>
          <w:lang w:val="es-ES"/>
        </w:rPr>
        <w:t xml:space="preserve"> 767 </w:t>
      </w:r>
      <w:r w:rsidR="00EF2348" w:rsidRPr="00EF2348">
        <w:rPr>
          <w:lang w:val="es-ES"/>
        </w:rPr>
        <w:t>debido a que las actividades en cuestión se han completado o los objetivos ya no son pertinentes</w:t>
      </w:r>
    </w:p>
    <w:p w14:paraId="61FD993C" w14:textId="77777777" w:rsidR="00EF2348" w:rsidRPr="00EF2348" w:rsidRDefault="00EF2348" w:rsidP="00707088">
      <w:pPr>
        <w:pStyle w:val="Headingb"/>
        <w:rPr>
          <w:lang w:val="es-ES"/>
        </w:rPr>
      </w:pPr>
      <w:r w:rsidRPr="00EF2348">
        <w:rPr>
          <w:lang w:val="es-ES"/>
        </w:rPr>
        <w:t>Decisiones que entran en vigor el 1 de enero de 2021</w:t>
      </w:r>
    </w:p>
    <w:p w14:paraId="58EC8FB3" w14:textId="77777777" w:rsidR="00EF2348" w:rsidRPr="00EF2348" w:rsidRDefault="00EF2348" w:rsidP="00EF2348">
      <w:pPr>
        <w:rPr>
          <w:lang w:val="es-ES"/>
        </w:rPr>
      </w:pPr>
      <w:r w:rsidRPr="00EF2348">
        <w:rPr>
          <w:lang w:val="es-ES"/>
        </w:rPr>
        <w:t>La CMR-19 efectuó una serie de cambios en las atribuciones relacionadas con los servicios terrenales y las identificaciones para aplicaciones específicas, además de las condiciones conexas para el funcionamiento de los servicios del caso.</w:t>
      </w:r>
    </w:p>
    <w:p w14:paraId="0900C4B0" w14:textId="0AFB034A" w:rsidR="00EF2348" w:rsidRPr="008B6157" w:rsidRDefault="00EF2348" w:rsidP="008B6157">
      <w:pPr>
        <w:pStyle w:val="Headingb"/>
        <w:rPr>
          <w:i/>
          <w:iCs/>
          <w:lang w:val="es-ES"/>
        </w:rPr>
      </w:pPr>
      <w:r w:rsidRPr="008B6157">
        <w:rPr>
          <w:i/>
          <w:iCs/>
          <w:lang w:val="es-ES"/>
        </w:rPr>
        <w:t>Decisiones de la CMR-19 relacionadas con las IMT</w:t>
      </w:r>
    </w:p>
    <w:p w14:paraId="7D8651AD" w14:textId="377D8367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Identificación a escala mundial de la </w:t>
      </w:r>
      <w:r w:rsidR="00EF2348" w:rsidRPr="00EF2348">
        <w:rPr>
          <w:b/>
          <w:lang w:val="es-ES"/>
        </w:rPr>
        <w:t>banda de frecuencias 24,25-27,5</w:t>
      </w:r>
      <w:r w:rsidR="00410443">
        <w:rPr>
          <w:b/>
          <w:lang w:val="es-ES"/>
        </w:rPr>
        <w:t> </w:t>
      </w:r>
      <w:r w:rsidR="00EF2348" w:rsidRPr="00EF2348">
        <w:rPr>
          <w:b/>
          <w:lang w:val="es-ES"/>
        </w:rPr>
        <w:t xml:space="preserve">GHz </w:t>
      </w:r>
      <w:r w:rsidR="00EF2348" w:rsidRPr="00EF2348">
        <w:rPr>
          <w:lang w:val="es-ES"/>
        </w:rPr>
        <w:t>para las IMT, de conformidad con el número</w:t>
      </w:r>
      <w:r w:rsidR="00410443">
        <w:rPr>
          <w:lang w:val="es-ES"/>
        </w:rPr>
        <w:t> </w:t>
      </w:r>
      <w:r w:rsidR="00EF2348" w:rsidRPr="00EF2348">
        <w:rPr>
          <w:b/>
          <w:lang w:val="es-ES"/>
        </w:rPr>
        <w:t>5.532AB</w:t>
      </w:r>
      <w:r w:rsidR="00EF2348" w:rsidRPr="00EF2348">
        <w:rPr>
          <w:lang w:val="es-ES"/>
        </w:rPr>
        <w:t>. Atribución de la banda de frecuencias 24,25</w:t>
      </w:r>
      <w:r w:rsidR="00410443">
        <w:rPr>
          <w:lang w:val="es-ES"/>
        </w:rPr>
        <w:noBreakHyphen/>
      </w:r>
      <w:r w:rsidR="00EF2348" w:rsidRPr="00EF2348">
        <w:rPr>
          <w:lang w:val="es-ES"/>
        </w:rPr>
        <w:t>25,25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GHz al servicio móvil, salvo el móvil aeronáutico, en las Regiones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1 y 2. Adopción de la Resolución </w:t>
      </w:r>
      <w:r w:rsidR="00EF2348" w:rsidRPr="00EF2348">
        <w:rPr>
          <w:b/>
          <w:lang w:val="es-ES"/>
        </w:rPr>
        <w:t>242 (CMR-19)</w:t>
      </w:r>
      <w:r w:rsidR="00EF2348" w:rsidRPr="00EF2348">
        <w:rPr>
          <w:lang w:val="es-ES"/>
        </w:rPr>
        <w:t xml:space="preserve"> relativa a las condiciones de utilización de las IMT en la banda 24,25-27,5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GHz, en particular a la limitación de las IMT a las aplicaciones del servicio móvil terrestre.</w:t>
      </w:r>
    </w:p>
    <w:p w14:paraId="24F84D77" w14:textId="26D56703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ab/>
      </w:r>
      <w:r w:rsidR="00EF2348" w:rsidRPr="00EF2348">
        <w:rPr>
          <w:lang w:val="es-ES"/>
        </w:rPr>
        <w:t xml:space="preserve">Establecimiento, mediante la Resolución </w:t>
      </w:r>
      <w:r w:rsidR="00EF2348" w:rsidRPr="00EF2348">
        <w:rPr>
          <w:b/>
          <w:lang w:val="es-ES"/>
        </w:rPr>
        <w:t>750</w:t>
      </w:r>
      <w:r w:rsidR="00410443">
        <w:rPr>
          <w:b/>
          <w:lang w:val="es-ES"/>
        </w:rPr>
        <w:t> </w:t>
      </w:r>
      <w:r w:rsidR="00EF2348" w:rsidRPr="00EF2348">
        <w:rPr>
          <w:b/>
          <w:lang w:val="es-ES"/>
        </w:rPr>
        <w:t>(Rev.CMR-19)</w:t>
      </w:r>
      <w:r w:rsidR="00EF2348" w:rsidRPr="00EF2348">
        <w:rPr>
          <w:lang w:val="es-ES"/>
        </w:rPr>
        <w:t>, de los límites de potencia obligatorios de las emisiones no deseadas en la banda 23,6-24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GHz procedentes de las estaciones base y móviles de las IMT que funcionan en la banda 24,25-27,5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 xml:space="preserve">GHz para la protección del SETS (pasivo) adyacente. Estos límites se imponen a la potencia radiada total (PRT) de las estaciones IMT y se aplican en </w:t>
      </w:r>
      <w:r w:rsidR="00410443">
        <w:rPr>
          <w:lang w:val="es-ES"/>
        </w:rPr>
        <w:t>dos</w:t>
      </w:r>
      <w:r w:rsidR="00EF2348" w:rsidRPr="00EF2348">
        <w:rPr>
          <w:lang w:val="es-ES"/>
        </w:rPr>
        <w:t xml:space="preserve"> etapas</w:t>
      </w:r>
      <w:r>
        <w:rPr>
          <w:lang w:val="es-ES"/>
        </w:rPr>
        <w:t>:</w:t>
      </w:r>
    </w:p>
    <w:p w14:paraId="64C08C32" w14:textId="047F3FF9" w:rsidR="00EF2348" w:rsidRPr="00EF2348" w:rsidRDefault="005C6AAD" w:rsidP="005C6AAD">
      <w:pPr>
        <w:pStyle w:val="enumlev2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8B6157">
        <w:rPr>
          <w:lang w:val="es-ES"/>
        </w:rPr>
        <w:t>a</w:t>
      </w:r>
      <w:r w:rsidR="00EF2348" w:rsidRPr="00EF2348">
        <w:rPr>
          <w:lang w:val="es-ES"/>
        </w:rPr>
        <w:t xml:space="preserve">ntes del 1 de septiembre de 2027: </w:t>
      </w:r>
      <w:r w:rsidR="008B6157">
        <w:rPr>
          <w:lang w:val="es-ES"/>
        </w:rPr>
        <w:t>–</w:t>
      </w:r>
      <w:r w:rsidR="00EF2348" w:rsidRPr="00EF2348">
        <w:rPr>
          <w:lang w:val="es-ES"/>
        </w:rPr>
        <w:t>33/</w:t>
      </w:r>
      <w:r w:rsidR="008B6157">
        <w:rPr>
          <w:lang w:val="es-ES"/>
        </w:rPr>
        <w:t>–</w:t>
      </w:r>
      <w:r w:rsidR="00EF2348" w:rsidRPr="00EF2348">
        <w:rPr>
          <w:lang w:val="es-ES"/>
        </w:rPr>
        <w:t>29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dB(W/200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MHz) para estaciones base/móviles;</w:t>
      </w:r>
    </w:p>
    <w:p w14:paraId="49CF3C52" w14:textId="073B2D50" w:rsidR="00EF2348" w:rsidRPr="00EF2348" w:rsidRDefault="005C6AAD" w:rsidP="005C6AAD">
      <w:pPr>
        <w:pStyle w:val="enumlev2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8B6157">
        <w:rPr>
          <w:lang w:val="es-ES"/>
        </w:rPr>
        <w:t>d</w:t>
      </w:r>
      <w:r w:rsidR="00EF2348" w:rsidRPr="00EF2348">
        <w:rPr>
          <w:lang w:val="es-ES"/>
        </w:rPr>
        <w:t xml:space="preserve">espués del 1 de septiembre de 2027: </w:t>
      </w:r>
      <w:r w:rsidR="008B6157">
        <w:rPr>
          <w:lang w:val="es-ES"/>
        </w:rPr>
        <w:t>–</w:t>
      </w:r>
      <w:r w:rsidR="00EF2348" w:rsidRPr="00EF2348">
        <w:rPr>
          <w:lang w:val="es-ES"/>
        </w:rPr>
        <w:t>39/</w:t>
      </w:r>
      <w:r w:rsidR="008B6157">
        <w:rPr>
          <w:lang w:val="es-ES"/>
        </w:rPr>
        <w:t>–</w:t>
      </w:r>
      <w:r w:rsidR="00EF2348" w:rsidRPr="00EF2348">
        <w:rPr>
          <w:lang w:val="es-ES"/>
        </w:rPr>
        <w:t>35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dB(W/200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MHz) para todas las nuevas estaciones base/móviles.</w:t>
      </w:r>
    </w:p>
    <w:p w14:paraId="2E49EDAE" w14:textId="49AF42B2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Identificación a escala mundial de la </w:t>
      </w:r>
      <w:r w:rsidR="00EF2348" w:rsidRPr="00EF2348">
        <w:rPr>
          <w:b/>
          <w:lang w:val="es-ES"/>
        </w:rPr>
        <w:t>banda de frecuencias 37-43,5</w:t>
      </w:r>
      <w:r w:rsidR="00410443">
        <w:rPr>
          <w:b/>
          <w:lang w:val="es-ES"/>
        </w:rPr>
        <w:t> </w:t>
      </w:r>
      <w:r w:rsidR="00EF2348" w:rsidRPr="00EF2348">
        <w:rPr>
          <w:b/>
          <w:lang w:val="es-ES"/>
        </w:rPr>
        <w:t>GHz</w:t>
      </w:r>
      <w:r w:rsidR="00EF2348" w:rsidRPr="00EF2348">
        <w:rPr>
          <w:lang w:val="es-ES"/>
        </w:rPr>
        <w:t xml:space="preserve"> para las IMT, de conformidad con el número</w:t>
      </w:r>
      <w:r w:rsidR="00410443">
        <w:rPr>
          <w:lang w:val="es-ES"/>
        </w:rPr>
        <w:t> </w:t>
      </w:r>
      <w:r w:rsidR="00EF2348" w:rsidRPr="00EF2348">
        <w:rPr>
          <w:b/>
          <w:lang w:val="es-ES"/>
        </w:rPr>
        <w:t>5.550B</w:t>
      </w:r>
      <w:r w:rsidR="00EF2348" w:rsidRPr="00EF2348">
        <w:rPr>
          <w:lang w:val="es-ES"/>
        </w:rPr>
        <w:t>. Conversión a título primario de la atribución al servicio móvil terrestre a título secundario en la banda de frecuencias 40,5-42,5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GHz. Las IMT en esta banda se utilizarán de conformidad con la Resolución</w:t>
      </w:r>
      <w:r w:rsidR="00410443">
        <w:rPr>
          <w:lang w:val="es-ES"/>
        </w:rPr>
        <w:t> </w:t>
      </w:r>
      <w:r w:rsidR="00EF2348" w:rsidRPr="00410443">
        <w:rPr>
          <w:b/>
          <w:bCs/>
          <w:lang w:val="es-ES"/>
        </w:rPr>
        <w:t>243 (CMR-19)</w:t>
      </w:r>
      <w:r w:rsidR="00EF2348" w:rsidRPr="00EF2348">
        <w:rPr>
          <w:lang w:val="es-ES"/>
        </w:rPr>
        <w:t xml:space="preserve"> y se limitarán a las aplicaciones del servicio móvil terrestre. Esta Resolución establece los límites de potencia para las emisiones no deseadas en la banda 36-37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GHz procedentes de las estaciones base y móviles de las IMT en la banda 37-40,5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GHz para la protección del SETS (pasivo) adyacente.</w:t>
      </w:r>
    </w:p>
    <w:p w14:paraId="65300885" w14:textId="538821B2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Identificación de la </w:t>
      </w:r>
      <w:r w:rsidR="00EF2348" w:rsidRPr="00EF2348">
        <w:rPr>
          <w:b/>
          <w:lang w:val="es-ES"/>
        </w:rPr>
        <w:t>banda de frecuencias 45,5-47,0</w:t>
      </w:r>
      <w:r w:rsidR="008B6157">
        <w:rPr>
          <w:b/>
          <w:lang w:val="es-ES"/>
        </w:rPr>
        <w:t> </w:t>
      </w:r>
      <w:r w:rsidR="00EF2348" w:rsidRPr="00EF2348">
        <w:rPr>
          <w:b/>
          <w:lang w:val="es-ES"/>
        </w:rPr>
        <w:t>GHz</w:t>
      </w:r>
      <w:r w:rsidR="00EF2348" w:rsidRPr="00EF2348">
        <w:rPr>
          <w:lang w:val="es-ES"/>
        </w:rPr>
        <w:t xml:space="preserve"> para las IMT en varios países sujetos al número</w:t>
      </w:r>
      <w:r w:rsidR="00410443">
        <w:rPr>
          <w:lang w:val="es-ES"/>
        </w:rPr>
        <w:t> </w:t>
      </w:r>
      <w:r w:rsidR="00EF2348" w:rsidRPr="00EF2348">
        <w:rPr>
          <w:b/>
          <w:lang w:val="es-ES"/>
        </w:rPr>
        <w:t>9.21</w:t>
      </w:r>
      <w:r w:rsidR="00EF2348" w:rsidRPr="00EF2348">
        <w:rPr>
          <w:lang w:val="es-ES"/>
        </w:rPr>
        <w:t>, de conformidad con el número</w:t>
      </w:r>
      <w:r w:rsidR="00410443">
        <w:rPr>
          <w:lang w:val="es-ES"/>
        </w:rPr>
        <w:t> </w:t>
      </w:r>
      <w:r w:rsidR="00EF2348" w:rsidRPr="00EF2348">
        <w:rPr>
          <w:b/>
          <w:lang w:val="es-ES"/>
        </w:rPr>
        <w:t>5.553A</w:t>
      </w:r>
      <w:r w:rsidR="00EF2348" w:rsidRPr="00EF2348">
        <w:rPr>
          <w:lang w:val="es-ES"/>
        </w:rPr>
        <w:t xml:space="preserve">. En esta banda es de aplicación la Resolución </w:t>
      </w:r>
      <w:r w:rsidR="00EF2348" w:rsidRPr="00EF2348">
        <w:rPr>
          <w:b/>
          <w:lang w:val="es-ES"/>
        </w:rPr>
        <w:t>244 (CMR-19)</w:t>
      </w:r>
      <w:r w:rsidR="00EF2348" w:rsidRPr="00EF2348">
        <w:rPr>
          <w:lang w:val="es-ES"/>
        </w:rPr>
        <w:t>.</w:t>
      </w:r>
    </w:p>
    <w:p w14:paraId="7EC3CE20" w14:textId="00FBD6CD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Identificación de la </w:t>
      </w:r>
      <w:r w:rsidR="00EF2348" w:rsidRPr="00EF2348">
        <w:rPr>
          <w:b/>
          <w:lang w:val="es-ES"/>
        </w:rPr>
        <w:t>banda de frecuencias</w:t>
      </w:r>
      <w:r w:rsidR="00410443">
        <w:rPr>
          <w:b/>
          <w:lang w:val="es-ES"/>
        </w:rPr>
        <w:t> </w:t>
      </w:r>
      <w:r w:rsidR="00EF2348" w:rsidRPr="00EF2348">
        <w:rPr>
          <w:b/>
          <w:lang w:val="es-ES"/>
        </w:rPr>
        <w:t>47,2-48,2</w:t>
      </w:r>
      <w:r w:rsidR="00410443">
        <w:rPr>
          <w:b/>
          <w:lang w:val="es-ES"/>
        </w:rPr>
        <w:t> </w:t>
      </w:r>
      <w:r w:rsidR="00EF2348" w:rsidRPr="00EF2348">
        <w:rPr>
          <w:b/>
          <w:lang w:val="es-ES"/>
        </w:rPr>
        <w:t>GHz</w:t>
      </w:r>
      <w:r w:rsidR="00EF2348" w:rsidRPr="00EF2348">
        <w:rPr>
          <w:lang w:val="es-ES"/>
        </w:rPr>
        <w:t xml:space="preserve"> para las IMT en la Región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2 y en varios países de las Regiones 1 y 3, de conformidad con el número</w:t>
      </w:r>
      <w:r w:rsidR="00410443">
        <w:rPr>
          <w:lang w:val="es-ES"/>
        </w:rPr>
        <w:t> </w:t>
      </w:r>
      <w:r w:rsidR="00EF2348" w:rsidRPr="00EF2348">
        <w:rPr>
          <w:b/>
          <w:lang w:val="es-ES"/>
        </w:rPr>
        <w:t>5.553B</w:t>
      </w:r>
      <w:r w:rsidR="00EF2348" w:rsidRPr="00EF2348">
        <w:rPr>
          <w:lang w:val="es-ES"/>
        </w:rPr>
        <w:t>. La utilización de las IMT se rige por la Resolución</w:t>
      </w:r>
      <w:r w:rsidR="00410443">
        <w:rPr>
          <w:lang w:val="es-ES"/>
        </w:rPr>
        <w:t> </w:t>
      </w:r>
      <w:r w:rsidR="00EF2348" w:rsidRPr="00EF2348">
        <w:rPr>
          <w:b/>
          <w:lang w:val="es-ES"/>
        </w:rPr>
        <w:t>243 (CMR-19)</w:t>
      </w:r>
      <w:r w:rsidR="00EF2348" w:rsidRPr="00EF2348">
        <w:rPr>
          <w:lang w:val="es-ES"/>
        </w:rPr>
        <w:t xml:space="preserve"> y se limita a las aplicaciones del servicio móvil terrestre.</w:t>
      </w:r>
    </w:p>
    <w:p w14:paraId="5A64D8B2" w14:textId="1283BE2D" w:rsidR="00EF2348" w:rsidRPr="00EF2348" w:rsidRDefault="005C6AAD" w:rsidP="008B6157">
      <w:pPr>
        <w:pStyle w:val="enumlev1"/>
        <w:keepNext/>
        <w:keepLines/>
        <w:rPr>
          <w:lang w:val="es-ES"/>
        </w:rPr>
      </w:pPr>
      <w:r>
        <w:rPr>
          <w:lang w:val="es-ES"/>
        </w:rPr>
        <w:lastRenderedPageBreak/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Identificación mundial de la </w:t>
      </w:r>
      <w:r w:rsidR="00EF2348" w:rsidRPr="00EF2348">
        <w:rPr>
          <w:b/>
          <w:lang w:val="es-ES"/>
        </w:rPr>
        <w:t>banda de frecuencias 66-71</w:t>
      </w:r>
      <w:r w:rsidR="00410443">
        <w:rPr>
          <w:b/>
          <w:lang w:val="es-ES"/>
        </w:rPr>
        <w:t> </w:t>
      </w:r>
      <w:r w:rsidR="00EF2348" w:rsidRPr="00EF2348">
        <w:rPr>
          <w:b/>
          <w:lang w:val="es-ES"/>
        </w:rPr>
        <w:t>GHz</w:t>
      </w:r>
      <w:r w:rsidR="00EF2348" w:rsidRPr="00EF2348">
        <w:rPr>
          <w:lang w:val="es-ES"/>
        </w:rPr>
        <w:t xml:space="preserve"> para las IMT, de conformidad con el número</w:t>
      </w:r>
      <w:r w:rsidR="00410443">
        <w:rPr>
          <w:lang w:val="es-ES"/>
        </w:rPr>
        <w:t> </w:t>
      </w:r>
      <w:r w:rsidR="00EF2348" w:rsidRPr="00EF2348">
        <w:rPr>
          <w:b/>
          <w:lang w:val="es-ES"/>
        </w:rPr>
        <w:t>5.559AA</w:t>
      </w:r>
      <w:r w:rsidR="00EF2348" w:rsidRPr="00EF2348">
        <w:rPr>
          <w:lang w:val="es-ES"/>
        </w:rPr>
        <w:t>. En esta banda es de aplicación la Resolución</w:t>
      </w:r>
      <w:r w:rsidR="00410443">
        <w:rPr>
          <w:lang w:val="es-ES"/>
        </w:rPr>
        <w:t> </w:t>
      </w:r>
      <w:r w:rsidR="00EF2348" w:rsidRPr="00EF2348">
        <w:rPr>
          <w:b/>
          <w:lang w:val="es-ES"/>
        </w:rPr>
        <w:t>241 (CMR-19)</w:t>
      </w:r>
      <w:r w:rsidR="00EF2348" w:rsidRPr="00EF2348">
        <w:rPr>
          <w:lang w:val="es-ES"/>
        </w:rPr>
        <w:t xml:space="preserve"> y se considera, entre otras cosas, la coexistencia de las IMT y otras aplicaciones del servicio móvil, por ejemplo, los sistemas inalámbricos de múltiples </w:t>
      </w:r>
      <w:r w:rsidR="00410443">
        <w:rPr>
          <w:lang w:val="es-ES"/>
        </w:rPr>
        <w:t>g</w:t>
      </w:r>
      <w:r w:rsidR="00EF2348" w:rsidRPr="00EF2348">
        <w:rPr>
          <w:lang w:val="es-ES"/>
        </w:rPr>
        <w:t>igabits.</w:t>
      </w:r>
    </w:p>
    <w:p w14:paraId="69D9FD3A" w14:textId="77777777" w:rsidR="00EF2348" w:rsidRPr="008B6157" w:rsidRDefault="00EF2348" w:rsidP="008B6157">
      <w:pPr>
        <w:pStyle w:val="Headingb"/>
        <w:rPr>
          <w:i/>
          <w:iCs/>
          <w:lang w:val="es-ES"/>
        </w:rPr>
      </w:pPr>
      <w:r w:rsidRPr="008B6157">
        <w:rPr>
          <w:i/>
          <w:iCs/>
          <w:lang w:val="es-ES"/>
        </w:rPr>
        <w:t>Decisiones de la CMR-19 relacionadas con las HAPS</w:t>
      </w:r>
    </w:p>
    <w:p w14:paraId="6AD48EBB" w14:textId="70507CB8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Identificación de la </w:t>
      </w:r>
      <w:r w:rsidR="00EF2348" w:rsidRPr="00EF2348">
        <w:rPr>
          <w:b/>
          <w:lang w:val="es-ES"/>
        </w:rPr>
        <w:t>banda de frecuencias 21,4-22</w:t>
      </w:r>
      <w:r w:rsidR="008B6157">
        <w:rPr>
          <w:b/>
          <w:lang w:val="es-ES"/>
        </w:rPr>
        <w:t> </w:t>
      </w:r>
      <w:r w:rsidR="00EF2348" w:rsidRPr="00EF2348">
        <w:rPr>
          <w:b/>
          <w:lang w:val="es-ES"/>
        </w:rPr>
        <w:t>GHz</w:t>
      </w:r>
      <w:r w:rsidR="00EF2348" w:rsidRPr="00EF2348">
        <w:rPr>
          <w:lang w:val="es-ES"/>
        </w:rPr>
        <w:t xml:space="preserve"> para las HAPS en la Región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2, exclusivamente en el sentido HAPS-Tierra, de conformidad con el número</w:t>
      </w:r>
      <w:r w:rsidR="00410443">
        <w:rPr>
          <w:lang w:val="es-ES"/>
        </w:rPr>
        <w:t> </w:t>
      </w:r>
      <w:r w:rsidR="00EF2348" w:rsidRPr="00EF2348">
        <w:rPr>
          <w:b/>
          <w:lang w:val="es-ES"/>
        </w:rPr>
        <w:t>5.530E</w:t>
      </w:r>
      <w:r w:rsidR="00EF2348" w:rsidRPr="00EF2348">
        <w:rPr>
          <w:lang w:val="es-ES"/>
        </w:rPr>
        <w:t>. En esta banda es de aplicación la Resolución</w:t>
      </w:r>
      <w:r w:rsidR="00410443">
        <w:rPr>
          <w:lang w:val="es-ES"/>
        </w:rPr>
        <w:t> </w:t>
      </w:r>
      <w:r w:rsidR="00EF2348" w:rsidRPr="00EF2348">
        <w:rPr>
          <w:b/>
          <w:lang w:val="es-ES"/>
        </w:rPr>
        <w:t>165 (CMR-19)</w:t>
      </w:r>
      <w:r w:rsidR="00EF2348" w:rsidRPr="00EF2348">
        <w:rPr>
          <w:lang w:val="es-ES"/>
        </w:rPr>
        <w:t>.</w:t>
      </w:r>
    </w:p>
    <w:p w14:paraId="77749504" w14:textId="0F993E33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Identificación de la </w:t>
      </w:r>
      <w:r w:rsidR="00EF2348" w:rsidRPr="00EF2348">
        <w:rPr>
          <w:b/>
          <w:lang w:val="es-ES"/>
        </w:rPr>
        <w:t>banda de frecuencias 24,25-27,5</w:t>
      </w:r>
      <w:r w:rsidR="00410443">
        <w:rPr>
          <w:b/>
          <w:lang w:val="es-ES"/>
        </w:rPr>
        <w:t> </w:t>
      </w:r>
      <w:r w:rsidR="00EF2348" w:rsidRPr="00EF2348">
        <w:rPr>
          <w:b/>
          <w:lang w:val="es-ES"/>
        </w:rPr>
        <w:t xml:space="preserve">GHz </w:t>
      </w:r>
      <w:r w:rsidR="00EF2348" w:rsidRPr="00EF2348">
        <w:rPr>
          <w:lang w:val="es-ES"/>
        </w:rPr>
        <w:t>para las HAPS en la Región</w:t>
      </w:r>
      <w:r w:rsidR="00410443">
        <w:rPr>
          <w:lang w:val="es-ES"/>
        </w:rPr>
        <w:t> </w:t>
      </w:r>
      <w:r w:rsidR="00EF2348" w:rsidRPr="00EF2348">
        <w:rPr>
          <w:lang w:val="es-ES"/>
        </w:rPr>
        <w:t>2, de conformidad con los números</w:t>
      </w:r>
      <w:r w:rsidR="00605927">
        <w:rPr>
          <w:lang w:val="es-ES"/>
        </w:rPr>
        <w:t> </w:t>
      </w:r>
      <w:r w:rsidR="00EF2348" w:rsidRPr="00EF2348">
        <w:rPr>
          <w:b/>
          <w:lang w:val="es-ES"/>
        </w:rPr>
        <w:t>5.532AA</w:t>
      </w:r>
      <w:r w:rsidR="00EF2348" w:rsidRPr="00EF2348">
        <w:rPr>
          <w:lang w:val="es-ES"/>
        </w:rPr>
        <w:t xml:space="preserve"> y </w:t>
      </w:r>
      <w:r w:rsidR="00EF2348" w:rsidRPr="00EF2348">
        <w:rPr>
          <w:b/>
          <w:lang w:val="es-ES"/>
        </w:rPr>
        <w:t>5.534A</w:t>
      </w:r>
      <w:r w:rsidR="00EF2348" w:rsidRPr="00EF2348">
        <w:rPr>
          <w:lang w:val="es-ES"/>
        </w:rPr>
        <w:t>. Atribución de las bandas de frecuencias 24,25-25,25 GHz al servicio fijo en la Región</w:t>
      </w:r>
      <w:r w:rsidR="00605927">
        <w:rPr>
          <w:lang w:val="es-ES"/>
        </w:rPr>
        <w:t> </w:t>
      </w:r>
      <w:r w:rsidR="00EF2348" w:rsidRPr="00EF2348">
        <w:rPr>
          <w:lang w:val="es-ES"/>
        </w:rPr>
        <w:t>2 para permitir la identificación de las HAPS. En esta banda se aplica la Resolución</w:t>
      </w:r>
      <w:r w:rsidR="00605927">
        <w:rPr>
          <w:lang w:val="es-ES"/>
        </w:rPr>
        <w:t> </w:t>
      </w:r>
      <w:r w:rsidR="00EF2348" w:rsidRPr="00EF2348">
        <w:rPr>
          <w:b/>
          <w:lang w:val="es-ES"/>
        </w:rPr>
        <w:t>166 (CMR-19)</w:t>
      </w:r>
      <w:r w:rsidR="00EF2348" w:rsidRPr="00EF2348">
        <w:rPr>
          <w:lang w:val="es-ES"/>
        </w:rPr>
        <w:t>.</w:t>
      </w:r>
    </w:p>
    <w:p w14:paraId="4E85A8AC" w14:textId="556ED6FF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>Adición de una administración al número</w:t>
      </w:r>
      <w:r w:rsidR="00605927">
        <w:rPr>
          <w:lang w:val="es-ES"/>
        </w:rPr>
        <w:t> </w:t>
      </w:r>
      <w:r w:rsidR="00EF2348" w:rsidRPr="00EF2348">
        <w:rPr>
          <w:b/>
          <w:lang w:val="es-ES"/>
        </w:rPr>
        <w:t>5.537A</w:t>
      </w:r>
      <w:r w:rsidR="00EF2348" w:rsidRPr="00EF2348">
        <w:rPr>
          <w:lang w:val="es-ES"/>
        </w:rPr>
        <w:t xml:space="preserve"> relativo a la identificación de las HAPS en varios países en la </w:t>
      </w:r>
      <w:r w:rsidR="00EF2348" w:rsidRPr="00EF2348">
        <w:rPr>
          <w:b/>
          <w:lang w:val="es-ES"/>
        </w:rPr>
        <w:t>banda de frecuencias 27,9-28,2</w:t>
      </w:r>
      <w:r w:rsidR="00605927">
        <w:rPr>
          <w:b/>
          <w:lang w:val="es-ES"/>
        </w:rPr>
        <w:t> </w:t>
      </w:r>
      <w:r w:rsidR="00EF2348" w:rsidRPr="00EF2348">
        <w:rPr>
          <w:b/>
          <w:lang w:val="es-ES"/>
        </w:rPr>
        <w:t>GHz</w:t>
      </w:r>
      <w:r w:rsidR="00EF2348" w:rsidRPr="00EF2348">
        <w:rPr>
          <w:lang w:val="es-ES"/>
        </w:rPr>
        <w:t>. Se mantienen las condiciones actuales de utilización de las HAPS en la banda 27,9-28,2 GHz previstas en la Resolución</w:t>
      </w:r>
      <w:r w:rsidR="00605927">
        <w:rPr>
          <w:lang w:val="es-ES"/>
        </w:rPr>
        <w:t> </w:t>
      </w:r>
      <w:r w:rsidR="00EF2348" w:rsidRPr="00EF2348">
        <w:rPr>
          <w:b/>
          <w:lang w:val="es-ES"/>
        </w:rPr>
        <w:t>145 (Rev.CMR-19)</w:t>
      </w:r>
      <w:r w:rsidR="00EF2348" w:rsidRPr="00EF2348">
        <w:rPr>
          <w:lang w:val="es-ES"/>
        </w:rPr>
        <w:t>. Se suprime la parte de esta Resolución relativa a la banda 31-31,3</w:t>
      </w:r>
      <w:r w:rsidR="00605927">
        <w:rPr>
          <w:lang w:val="es-ES"/>
        </w:rPr>
        <w:t> </w:t>
      </w:r>
      <w:r w:rsidR="00EF2348" w:rsidRPr="00EF2348">
        <w:rPr>
          <w:lang w:val="es-ES"/>
        </w:rPr>
        <w:t>GHz.</w:t>
      </w:r>
    </w:p>
    <w:p w14:paraId="78A4AFD0" w14:textId="0D2CC582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Identificación a escala mundial de la </w:t>
      </w:r>
      <w:r w:rsidR="00EF2348" w:rsidRPr="00EF2348">
        <w:rPr>
          <w:b/>
          <w:lang w:val="es-ES"/>
        </w:rPr>
        <w:t>banda de frecuencias 31-31,3</w:t>
      </w:r>
      <w:r w:rsidR="00605927">
        <w:rPr>
          <w:b/>
          <w:lang w:val="es-ES"/>
        </w:rPr>
        <w:t> </w:t>
      </w:r>
      <w:r w:rsidR="00EF2348" w:rsidRPr="00EF2348">
        <w:rPr>
          <w:b/>
          <w:lang w:val="es-ES"/>
        </w:rPr>
        <w:t>GHz</w:t>
      </w:r>
      <w:r w:rsidR="00EF2348" w:rsidRPr="00EF2348">
        <w:rPr>
          <w:lang w:val="es-ES"/>
        </w:rPr>
        <w:t xml:space="preserve"> para las HAPS, de conformidad con el número</w:t>
      </w:r>
      <w:r w:rsidR="00605927">
        <w:rPr>
          <w:lang w:val="es-ES"/>
        </w:rPr>
        <w:t> </w:t>
      </w:r>
      <w:r w:rsidR="00EF2348" w:rsidRPr="00EF2348">
        <w:rPr>
          <w:b/>
          <w:lang w:val="es-ES"/>
        </w:rPr>
        <w:t>5.543B</w:t>
      </w:r>
      <w:r w:rsidR="00EF2348" w:rsidRPr="00EF2348">
        <w:rPr>
          <w:lang w:val="es-ES"/>
        </w:rPr>
        <w:t>. En la Resolución</w:t>
      </w:r>
      <w:r w:rsidR="00605927">
        <w:rPr>
          <w:lang w:val="es-ES"/>
        </w:rPr>
        <w:t> </w:t>
      </w:r>
      <w:r w:rsidR="00EF2348" w:rsidRPr="00EF2348">
        <w:rPr>
          <w:b/>
          <w:lang w:val="es-ES"/>
        </w:rPr>
        <w:t>167 (CMR-19)</w:t>
      </w:r>
      <w:r w:rsidR="00EF2348" w:rsidRPr="00EF2348">
        <w:rPr>
          <w:lang w:val="es-ES"/>
        </w:rPr>
        <w:t xml:space="preserve"> se especifican las condiciones para la utilización de las HAPS en esta banda.</w:t>
      </w:r>
    </w:p>
    <w:p w14:paraId="60F9BCE4" w14:textId="7F8B3C2D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Identificación a escala mundial de la </w:t>
      </w:r>
      <w:r w:rsidR="00EF2348" w:rsidRPr="00EF2348">
        <w:rPr>
          <w:b/>
          <w:lang w:val="es-ES"/>
        </w:rPr>
        <w:t>banda de frecuencias 38-39,5 GHz</w:t>
      </w:r>
      <w:r w:rsidR="00EF2348" w:rsidRPr="00EF2348">
        <w:rPr>
          <w:lang w:val="es-ES"/>
        </w:rPr>
        <w:t xml:space="preserve"> para las HAPS, de conformidad con el número</w:t>
      </w:r>
      <w:r w:rsidR="00605927">
        <w:rPr>
          <w:lang w:val="es-ES"/>
        </w:rPr>
        <w:t> </w:t>
      </w:r>
      <w:r w:rsidR="00EF2348" w:rsidRPr="00EF2348">
        <w:rPr>
          <w:b/>
          <w:lang w:val="es-ES"/>
        </w:rPr>
        <w:t>5.550D</w:t>
      </w:r>
      <w:r w:rsidR="00EF2348" w:rsidRPr="00EF2348">
        <w:rPr>
          <w:lang w:val="es-ES"/>
        </w:rPr>
        <w:t>. En la Resolución</w:t>
      </w:r>
      <w:r w:rsidR="00605927">
        <w:rPr>
          <w:lang w:val="es-ES"/>
        </w:rPr>
        <w:t> </w:t>
      </w:r>
      <w:r w:rsidR="00EF2348" w:rsidRPr="00EF2348">
        <w:rPr>
          <w:b/>
          <w:lang w:val="es-ES"/>
        </w:rPr>
        <w:t>168 (CMR-19)</w:t>
      </w:r>
      <w:r w:rsidR="00EF2348" w:rsidRPr="00EF2348">
        <w:rPr>
          <w:lang w:val="es-ES"/>
        </w:rPr>
        <w:t xml:space="preserve"> se especifican las condiciones para la utilización de las HAPS en esta banda.</w:t>
      </w:r>
    </w:p>
    <w:p w14:paraId="3F23713D" w14:textId="38BEC1D3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Modificación de las condiciones de explotación de las HAPS en la </w:t>
      </w:r>
      <w:r w:rsidR="00EF2348" w:rsidRPr="00EF2348">
        <w:rPr>
          <w:b/>
          <w:lang w:val="es-ES"/>
        </w:rPr>
        <w:t>banda de frecuencias 47,2</w:t>
      </w:r>
      <w:r w:rsidR="008B6157">
        <w:rPr>
          <w:b/>
          <w:lang w:val="es-ES"/>
        </w:rPr>
        <w:noBreakHyphen/>
      </w:r>
      <w:r w:rsidR="00EF2348" w:rsidRPr="00EF2348">
        <w:rPr>
          <w:b/>
          <w:lang w:val="es-ES"/>
        </w:rPr>
        <w:t>47,5</w:t>
      </w:r>
      <w:r w:rsidR="00605927">
        <w:rPr>
          <w:b/>
          <w:lang w:val="es-ES"/>
        </w:rPr>
        <w:t> </w:t>
      </w:r>
      <w:r w:rsidR="00EF2348" w:rsidRPr="00EF2348">
        <w:rPr>
          <w:b/>
          <w:lang w:val="es-ES"/>
        </w:rPr>
        <w:t xml:space="preserve">GHz </w:t>
      </w:r>
      <w:r w:rsidR="00EF2348" w:rsidRPr="00EF2348">
        <w:rPr>
          <w:lang w:val="es-ES"/>
        </w:rPr>
        <w:t xml:space="preserve">y </w:t>
      </w:r>
      <w:r w:rsidR="00EF2348" w:rsidRPr="00EF2348">
        <w:rPr>
          <w:b/>
          <w:lang w:val="es-ES"/>
        </w:rPr>
        <w:t>47,9-48,2</w:t>
      </w:r>
      <w:r w:rsidR="00605927">
        <w:rPr>
          <w:b/>
          <w:lang w:val="es-ES"/>
        </w:rPr>
        <w:t> </w:t>
      </w:r>
      <w:r w:rsidR="00EF2348" w:rsidRPr="00EF2348">
        <w:rPr>
          <w:b/>
          <w:lang w:val="es-ES"/>
        </w:rPr>
        <w:t>GHz</w:t>
      </w:r>
      <w:r w:rsidR="00EF2348" w:rsidRPr="00EF2348">
        <w:rPr>
          <w:lang w:val="es-ES"/>
        </w:rPr>
        <w:t>, de conformidad con el número</w:t>
      </w:r>
      <w:r w:rsidR="00605927">
        <w:rPr>
          <w:lang w:val="es-ES"/>
        </w:rPr>
        <w:t> </w:t>
      </w:r>
      <w:r w:rsidR="00EF2348" w:rsidRPr="00EF2348">
        <w:rPr>
          <w:b/>
          <w:lang w:val="es-ES"/>
        </w:rPr>
        <w:t>5.552A</w:t>
      </w:r>
      <w:r w:rsidR="00EF2348" w:rsidRPr="00EF2348">
        <w:rPr>
          <w:lang w:val="es-ES"/>
        </w:rPr>
        <w:t xml:space="preserve"> revisado y la Resolución</w:t>
      </w:r>
      <w:r w:rsidR="00605927">
        <w:rPr>
          <w:lang w:val="es-ES"/>
        </w:rPr>
        <w:t> </w:t>
      </w:r>
      <w:r w:rsidR="00EF2348" w:rsidRPr="00EF2348">
        <w:rPr>
          <w:b/>
          <w:lang w:val="es-ES"/>
        </w:rPr>
        <w:t>122 (Rev.CMR-19)</w:t>
      </w:r>
      <w:r w:rsidR="00EF2348" w:rsidRPr="008B6157">
        <w:rPr>
          <w:bCs/>
          <w:lang w:val="es-ES"/>
        </w:rPr>
        <w:t>.</w:t>
      </w:r>
    </w:p>
    <w:p w14:paraId="4DBC1424" w14:textId="4EEC6992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Adición de nuevos datos para la notificación de las HAPS en el Apéndice </w:t>
      </w:r>
      <w:r w:rsidR="00EF2348" w:rsidRPr="00EF2348">
        <w:rPr>
          <w:b/>
          <w:lang w:val="es-ES"/>
        </w:rPr>
        <w:t>4</w:t>
      </w:r>
      <w:r w:rsidR="00EF2348" w:rsidRPr="00EF2348">
        <w:rPr>
          <w:lang w:val="es-ES"/>
        </w:rPr>
        <w:t>, en particular los parámetros 2.9.e, 2.9.f, 2.9.j y 3.8.BA.</w:t>
      </w:r>
    </w:p>
    <w:p w14:paraId="435D80E5" w14:textId="71DBDCAA" w:rsidR="00EF2348" w:rsidRPr="00EF2348" w:rsidRDefault="00EF2348" w:rsidP="00EF2348">
      <w:pPr>
        <w:rPr>
          <w:lang w:val="es-ES"/>
        </w:rPr>
      </w:pPr>
      <w:r w:rsidRPr="00EF2348">
        <w:rPr>
          <w:lang w:val="es-ES"/>
        </w:rPr>
        <w:t>Cabe señalar que la aplicación de las decisiones de la CMR-19 sobre las HAPS exige importantes trabajos de desarrollo. La BR informará a las administraciones sobre la fecha en que estará en condiciones de tramitar las notificaciones en virtud de las mencionadas Resoluciones relativas a las</w:t>
      </w:r>
      <w:r w:rsidR="00605927">
        <w:rPr>
          <w:lang w:val="es-ES"/>
        </w:rPr>
        <w:t> </w:t>
      </w:r>
      <w:r w:rsidRPr="00EF2348">
        <w:rPr>
          <w:lang w:val="es-ES"/>
        </w:rPr>
        <w:t>HAPS.</w:t>
      </w:r>
    </w:p>
    <w:p w14:paraId="66CFAB56" w14:textId="56DDB0E1" w:rsidR="00EF2348" w:rsidRPr="00EF2348" w:rsidRDefault="00EF2348" w:rsidP="008B6157">
      <w:pPr>
        <w:pStyle w:val="Headingb"/>
        <w:rPr>
          <w:i/>
          <w:iCs/>
          <w:lang w:val="es-ES"/>
        </w:rPr>
      </w:pPr>
      <w:r w:rsidRPr="00EF2348">
        <w:rPr>
          <w:i/>
          <w:iCs/>
          <w:lang w:val="es-ES"/>
        </w:rPr>
        <w:t>Decisiones de la CMR-19 relativas a otros servicios y aplicaciones</w:t>
      </w:r>
    </w:p>
    <w:p w14:paraId="47ECECDD" w14:textId="49E11B87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>Atribución de la banda de frecuencias 50-52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>MHz al servicio de aficionados en la Región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 xml:space="preserve">1 y adición de los correspondientes números </w:t>
      </w:r>
      <w:r w:rsidR="00EF2348" w:rsidRPr="00EF2348">
        <w:rPr>
          <w:b/>
          <w:bCs/>
          <w:lang w:val="es-ES"/>
        </w:rPr>
        <w:t>5.166A</w:t>
      </w:r>
      <w:r w:rsidR="00EF2348" w:rsidRPr="008B6157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5.166B</w:t>
      </w:r>
      <w:r w:rsidR="00EF2348" w:rsidRPr="008B6157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5.166C</w:t>
      </w:r>
      <w:r w:rsidR="00EF2348" w:rsidRPr="008B6157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5.166D</w:t>
      </w:r>
      <w:r w:rsidR="00EF2348" w:rsidRPr="008B6157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5.166E</w:t>
      </w:r>
      <w:r w:rsidR="00EF2348" w:rsidRPr="008B6157">
        <w:rPr>
          <w:lang w:val="es-ES"/>
        </w:rPr>
        <w:t xml:space="preserve">, </w:t>
      </w:r>
      <w:r w:rsidR="00EF2348" w:rsidRPr="00EF2348">
        <w:rPr>
          <w:b/>
          <w:bCs/>
          <w:lang w:val="es-ES"/>
        </w:rPr>
        <w:t>5.169A</w:t>
      </w:r>
      <w:r w:rsidR="00EF2348" w:rsidRPr="00EF2348">
        <w:rPr>
          <w:lang w:val="es-ES"/>
        </w:rPr>
        <w:t xml:space="preserve"> (</w:t>
      </w:r>
      <w:r w:rsidR="00EF2348" w:rsidRPr="00EF2348">
        <w:rPr>
          <w:i/>
          <w:iCs/>
          <w:lang w:val="es-ES"/>
        </w:rPr>
        <w:t>atribución alternativa</w:t>
      </w:r>
      <w:r w:rsidR="00EF2348" w:rsidRPr="00EF2348">
        <w:rPr>
          <w:lang w:val="es-ES"/>
        </w:rPr>
        <w:t xml:space="preserve">) y </w:t>
      </w:r>
      <w:r w:rsidR="00EF2348" w:rsidRPr="00EF2348">
        <w:rPr>
          <w:b/>
          <w:bCs/>
          <w:lang w:val="es-ES"/>
        </w:rPr>
        <w:t>5.169B</w:t>
      </w:r>
      <w:r w:rsidR="00EF2348" w:rsidRPr="00EF2348">
        <w:rPr>
          <w:lang w:val="es-ES"/>
        </w:rPr>
        <w:t xml:space="preserve">. Modificaciones de los números </w:t>
      </w:r>
      <w:r w:rsidR="00EF2348" w:rsidRPr="00D24669">
        <w:rPr>
          <w:b/>
          <w:bCs/>
          <w:lang w:val="es-ES"/>
        </w:rPr>
        <w:t>5.278</w:t>
      </w:r>
      <w:r w:rsidR="00EF2348" w:rsidRPr="00EF2348">
        <w:rPr>
          <w:lang w:val="es-ES"/>
        </w:rPr>
        <w:t xml:space="preserve"> y </w:t>
      </w:r>
      <w:r w:rsidR="00EF2348" w:rsidRPr="00D24669">
        <w:rPr>
          <w:b/>
          <w:bCs/>
          <w:lang w:val="es-ES"/>
        </w:rPr>
        <w:t>5.431</w:t>
      </w:r>
      <w:r w:rsidR="00EF2348" w:rsidRPr="00EF2348">
        <w:rPr>
          <w:lang w:val="es-ES"/>
        </w:rPr>
        <w:t xml:space="preserve"> relativos al servicio de aficionados.</w:t>
      </w:r>
    </w:p>
    <w:p w14:paraId="6747C654" w14:textId="4B24FFCA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Modificación del número </w:t>
      </w:r>
      <w:r w:rsidR="00EF2348" w:rsidRPr="00EF2348">
        <w:rPr>
          <w:b/>
          <w:bCs/>
          <w:lang w:val="es-ES"/>
        </w:rPr>
        <w:t>5.279</w:t>
      </w:r>
      <w:r w:rsidR="00EF2348" w:rsidRPr="00EF2348">
        <w:rPr>
          <w:lang w:val="es-ES"/>
        </w:rPr>
        <w:t xml:space="preserve"> que conlleva atribuciones adicionales de las bandas 430</w:t>
      </w:r>
      <w:r w:rsidR="008B6157">
        <w:rPr>
          <w:lang w:val="es-ES"/>
        </w:rPr>
        <w:noBreakHyphen/>
      </w:r>
      <w:r w:rsidR="00EF2348" w:rsidRPr="00EF2348">
        <w:rPr>
          <w:lang w:val="es-ES"/>
        </w:rPr>
        <w:t>435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>MHz y 438-440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 xml:space="preserve">MHz al servicio móvil marítimo a título primario y al servicio fijo a título secundario en México, a reserva de obtener un acuerdo en virtud del número </w:t>
      </w:r>
      <w:r w:rsidR="00EF2348" w:rsidRPr="00EF2348">
        <w:rPr>
          <w:b/>
          <w:bCs/>
          <w:lang w:val="es-ES"/>
        </w:rPr>
        <w:t>9.21</w:t>
      </w:r>
      <w:r w:rsidR="00EF2348" w:rsidRPr="00EF2348">
        <w:rPr>
          <w:bCs/>
          <w:lang w:val="es-ES"/>
        </w:rPr>
        <w:t>.</w:t>
      </w:r>
    </w:p>
    <w:p w14:paraId="479081DF" w14:textId="7B11382A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Modificación de los números </w:t>
      </w:r>
      <w:r w:rsidR="00EF2348" w:rsidRPr="00D24669">
        <w:rPr>
          <w:b/>
          <w:bCs/>
          <w:lang w:val="es-ES"/>
        </w:rPr>
        <w:t>5.</w:t>
      </w:r>
      <w:r w:rsidR="00EF2348" w:rsidRPr="00EF2348">
        <w:rPr>
          <w:b/>
          <w:lang w:val="es-ES"/>
        </w:rPr>
        <w:t>308</w:t>
      </w:r>
      <w:r w:rsidR="00EF2348" w:rsidRPr="008B6157">
        <w:rPr>
          <w:bCs/>
          <w:lang w:val="es-ES"/>
        </w:rPr>
        <w:t xml:space="preserve">, </w:t>
      </w:r>
      <w:r w:rsidR="00EF2348" w:rsidRPr="00EF2348">
        <w:rPr>
          <w:b/>
          <w:lang w:val="es-ES"/>
        </w:rPr>
        <w:t>5.308A</w:t>
      </w:r>
      <w:r w:rsidR="00EF2348" w:rsidRPr="008B6157">
        <w:rPr>
          <w:bCs/>
          <w:lang w:val="es-ES"/>
        </w:rPr>
        <w:t xml:space="preserve">, </w:t>
      </w:r>
      <w:r w:rsidR="00EF2348" w:rsidRPr="00EF2348">
        <w:rPr>
          <w:b/>
          <w:lang w:val="es-ES"/>
        </w:rPr>
        <w:t>5.429D</w:t>
      </w:r>
      <w:r w:rsidR="00EF2348" w:rsidRPr="008B6157">
        <w:rPr>
          <w:bCs/>
          <w:lang w:val="es-ES"/>
        </w:rPr>
        <w:t xml:space="preserve">, </w:t>
      </w:r>
      <w:r w:rsidR="00EF2348" w:rsidRPr="00EF2348">
        <w:rPr>
          <w:b/>
          <w:lang w:val="es-ES"/>
        </w:rPr>
        <w:t>5.429F</w:t>
      </w:r>
      <w:r w:rsidR="00EF2348" w:rsidRPr="008B6157">
        <w:rPr>
          <w:bCs/>
          <w:lang w:val="es-ES"/>
        </w:rPr>
        <w:t xml:space="preserve">, </w:t>
      </w:r>
      <w:r w:rsidR="00EF2348" w:rsidRPr="00EF2348">
        <w:rPr>
          <w:b/>
          <w:lang w:val="es-ES"/>
        </w:rPr>
        <w:t>5.432B</w:t>
      </w:r>
      <w:r w:rsidR="00EF2348" w:rsidRPr="008B6157">
        <w:rPr>
          <w:bCs/>
          <w:lang w:val="es-ES"/>
        </w:rPr>
        <w:t xml:space="preserve">, </w:t>
      </w:r>
      <w:r w:rsidR="00EF2348" w:rsidRPr="00EF2348">
        <w:rPr>
          <w:b/>
          <w:lang w:val="es-ES"/>
        </w:rPr>
        <w:t xml:space="preserve">5.434 </w:t>
      </w:r>
      <w:r w:rsidR="00EF2348" w:rsidRPr="00EF2348">
        <w:rPr>
          <w:lang w:val="es-ES"/>
        </w:rPr>
        <w:t>y</w:t>
      </w:r>
      <w:r w:rsidR="00EF2348" w:rsidRPr="00EF2348">
        <w:rPr>
          <w:b/>
          <w:lang w:val="es-ES"/>
        </w:rPr>
        <w:t xml:space="preserve"> 5.447</w:t>
      </w:r>
      <w:r w:rsidR="00EF2348" w:rsidRPr="00EF2348">
        <w:rPr>
          <w:lang w:val="es-ES"/>
        </w:rPr>
        <w:t xml:space="preserve"> que supone la modificación de la lista de las administraciones cuyas estaciones del servicio móvil están sujetas a la obtención de un acuerdo en virtud del número </w:t>
      </w:r>
      <w:r w:rsidR="00EF2348" w:rsidRPr="008B6157">
        <w:rPr>
          <w:b/>
          <w:bCs/>
          <w:lang w:val="es-ES"/>
        </w:rPr>
        <w:t>9.21</w:t>
      </w:r>
      <w:r w:rsidR="00EF2348" w:rsidRPr="00EF2348">
        <w:rPr>
          <w:lang w:val="es-ES"/>
        </w:rPr>
        <w:t>.</w:t>
      </w:r>
    </w:p>
    <w:p w14:paraId="0DD31D6F" w14:textId="0D0496DE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 xml:space="preserve">Modificaciones de los números </w:t>
      </w:r>
      <w:r w:rsidR="00EF2348" w:rsidRPr="00EF2348">
        <w:rPr>
          <w:b/>
          <w:lang w:val="es-ES"/>
        </w:rPr>
        <w:t xml:space="preserve">5.312 </w:t>
      </w:r>
      <w:r w:rsidR="00EF2348" w:rsidRPr="00EF2348">
        <w:rPr>
          <w:lang w:val="es-ES"/>
        </w:rPr>
        <w:t>y</w:t>
      </w:r>
      <w:r w:rsidR="00EF2348" w:rsidRPr="00EF2348">
        <w:rPr>
          <w:b/>
          <w:lang w:val="es-ES"/>
        </w:rPr>
        <w:t xml:space="preserve"> 5.323</w:t>
      </w:r>
      <w:r w:rsidR="00EF2348" w:rsidRPr="00EF2348">
        <w:rPr>
          <w:lang w:val="es-ES"/>
        </w:rPr>
        <w:t xml:space="preserve"> relativos a las atribuciones al servicio de radionavegación aeronáutica en las bandas 645-862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>MHz y 862-925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 xml:space="preserve">MHz, respectivamente. Se modifican los límites de las bandas de frecuencias y los nombres de los países en estas notas. Afectan a la aplicación del número </w:t>
      </w:r>
      <w:r w:rsidR="00EF2348" w:rsidRPr="00EF2348">
        <w:rPr>
          <w:b/>
          <w:lang w:val="es-ES"/>
        </w:rPr>
        <w:t>9.21</w:t>
      </w:r>
      <w:r w:rsidR="00EF2348" w:rsidRPr="00EF2348">
        <w:rPr>
          <w:lang w:val="es-ES"/>
        </w:rPr>
        <w:t xml:space="preserve"> a las estaciones de los </w:t>
      </w:r>
      <w:r w:rsidR="00EF2348" w:rsidRPr="008B6157">
        <w:rPr>
          <w:bCs/>
          <w:lang w:val="es-ES"/>
        </w:rPr>
        <w:t>números</w:t>
      </w:r>
      <w:r w:rsidR="00EF2348" w:rsidRPr="00EF2348">
        <w:rPr>
          <w:b/>
          <w:lang w:val="es-ES"/>
        </w:rPr>
        <w:t xml:space="preserve"> 5.312A</w:t>
      </w:r>
      <w:r w:rsidR="00EF2348" w:rsidRPr="008B6157">
        <w:rPr>
          <w:bCs/>
          <w:lang w:val="es-ES"/>
        </w:rPr>
        <w:t xml:space="preserve"> y</w:t>
      </w:r>
      <w:r w:rsidR="00EF2348" w:rsidRPr="00EF2348">
        <w:rPr>
          <w:b/>
          <w:lang w:val="es-ES"/>
        </w:rPr>
        <w:t xml:space="preserve"> 5.316B</w:t>
      </w:r>
      <w:r w:rsidR="00EF2348" w:rsidRPr="00EF2348">
        <w:rPr>
          <w:lang w:val="es-ES"/>
        </w:rPr>
        <w:t>.</w:t>
      </w:r>
    </w:p>
    <w:p w14:paraId="771CE17F" w14:textId="2692878D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lastRenderedPageBreak/>
        <w:t>•</w:t>
      </w:r>
      <w:r>
        <w:rPr>
          <w:lang w:val="es-ES"/>
        </w:rPr>
        <w:tab/>
      </w:r>
      <w:r w:rsidR="00EF2348" w:rsidRPr="00EF2348">
        <w:rPr>
          <w:lang w:val="es-ES"/>
        </w:rPr>
        <w:t>Establecimiento de las condiciones de coexistencia de las IMT y el servicio de radiodifusión por satélite (sonora) en la banda de frecuencias 1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>452-1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>492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>MHz en las Regiones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>1 y 3 mediante la Resolución</w:t>
      </w:r>
      <w:r w:rsidR="00D24669">
        <w:rPr>
          <w:lang w:val="es-ES"/>
        </w:rPr>
        <w:t> </w:t>
      </w:r>
      <w:r w:rsidR="00EF2348" w:rsidRPr="00EF2348">
        <w:rPr>
          <w:b/>
          <w:lang w:val="es-ES"/>
        </w:rPr>
        <w:t>761 (Rev.CMR-19)</w:t>
      </w:r>
      <w:r w:rsidR="00EF2348" w:rsidRPr="00EF2348">
        <w:rPr>
          <w:lang w:val="es-ES"/>
        </w:rPr>
        <w:t>. Comprende el establecimiento de un límite de la dfp para las estaciones IMT a fin de proteger las estaciones receptoras del SRS. El límite podría utilizarse para la coordinación entre los transmisores terrenales y el SRS con arreglo al número</w:t>
      </w:r>
      <w:r w:rsidR="00D24669">
        <w:rPr>
          <w:lang w:val="es-ES"/>
        </w:rPr>
        <w:t> </w:t>
      </w:r>
      <w:r w:rsidR="00EF2348" w:rsidRPr="00EF2348">
        <w:rPr>
          <w:b/>
          <w:lang w:val="es-ES"/>
        </w:rPr>
        <w:t>9.19</w:t>
      </w:r>
      <w:r w:rsidR="00EF2348" w:rsidRPr="00EF2348">
        <w:rPr>
          <w:lang w:val="es-ES"/>
        </w:rPr>
        <w:t>.</w:t>
      </w:r>
    </w:p>
    <w:p w14:paraId="2A03AB7E" w14:textId="62CF7E8F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>Modificación del número</w:t>
      </w:r>
      <w:r w:rsidR="00D24669">
        <w:rPr>
          <w:lang w:val="es-ES"/>
        </w:rPr>
        <w:t> </w:t>
      </w:r>
      <w:r w:rsidR="00EF2348" w:rsidRPr="00EF2348">
        <w:rPr>
          <w:b/>
          <w:lang w:val="es-ES"/>
        </w:rPr>
        <w:t>5.453</w:t>
      </w:r>
      <w:r w:rsidR="00EF2348" w:rsidRPr="00EF2348">
        <w:rPr>
          <w:lang w:val="es-ES"/>
        </w:rPr>
        <w:t xml:space="preserve"> para añadir una atribución al servicio fijo en la banda de frecuencias 5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>725-5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>850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>MHz en algunos países, a condición de no causar interferencia.</w:t>
      </w:r>
    </w:p>
    <w:p w14:paraId="69D6B90B" w14:textId="27895E6E" w:rsidR="00EF2348" w:rsidRPr="00EF2348" w:rsidRDefault="005C6AAD" w:rsidP="005C6AAD">
      <w:pPr>
        <w:pStyle w:val="enumlev1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EF2348" w:rsidRPr="00EF2348">
        <w:rPr>
          <w:lang w:val="es-ES"/>
        </w:rPr>
        <w:t>Identificación de la banda 275-450</w:t>
      </w:r>
      <w:r w:rsidR="00D24669">
        <w:rPr>
          <w:lang w:val="es-ES"/>
        </w:rPr>
        <w:t> </w:t>
      </w:r>
      <w:r w:rsidR="00EF2348" w:rsidRPr="00EF2348">
        <w:rPr>
          <w:lang w:val="es-ES"/>
        </w:rPr>
        <w:t>GHz para aplicaciones del servicio móvil terrestre y del servicio fijo en condiciones específicas con respecto a los servicios pasivos, de conformidad con el número</w:t>
      </w:r>
      <w:r w:rsidR="00D24669">
        <w:rPr>
          <w:lang w:val="es-ES"/>
        </w:rPr>
        <w:t> </w:t>
      </w:r>
      <w:r w:rsidR="00EF2348" w:rsidRPr="00EF2348">
        <w:rPr>
          <w:b/>
          <w:lang w:val="es-ES"/>
        </w:rPr>
        <w:t>5.564A</w:t>
      </w:r>
      <w:r w:rsidR="00EF2348" w:rsidRPr="00EF2348">
        <w:rPr>
          <w:lang w:val="es-ES"/>
        </w:rPr>
        <w:t>.</w:t>
      </w:r>
    </w:p>
    <w:p w14:paraId="6D85C4A4" w14:textId="55E4D06C" w:rsidR="00EF2348" w:rsidRPr="00EF2348" w:rsidRDefault="00EF2348" w:rsidP="00EF2348">
      <w:pPr>
        <w:rPr>
          <w:lang w:val="es-ES"/>
        </w:rPr>
      </w:pPr>
      <w:r w:rsidRPr="00EF2348">
        <w:rPr>
          <w:lang w:val="es-ES"/>
        </w:rPr>
        <w:t>La CMR-19 también efectuó un cambio en las atribuciones relacionadas con los servicios espaciales, mediante el cual se modificaron las condiciones de explotación de los servicios terrenales: atribución de la banda 51,4-52,4</w:t>
      </w:r>
      <w:r w:rsidR="00D24669">
        <w:rPr>
          <w:lang w:val="es-ES"/>
        </w:rPr>
        <w:t> </w:t>
      </w:r>
      <w:r w:rsidRPr="00EF2348">
        <w:rPr>
          <w:lang w:val="es-ES"/>
        </w:rPr>
        <w:t>GHz al servicio fijo por satélite (Tierra-espacio) a título primario con arreglo al número</w:t>
      </w:r>
      <w:r w:rsidR="00D24669">
        <w:rPr>
          <w:lang w:val="es-ES"/>
        </w:rPr>
        <w:t> </w:t>
      </w:r>
      <w:r w:rsidRPr="00EF2348">
        <w:rPr>
          <w:b/>
          <w:bCs/>
          <w:lang w:val="es-ES"/>
        </w:rPr>
        <w:t>5.555C</w:t>
      </w:r>
      <w:r w:rsidRPr="00EF2348">
        <w:rPr>
          <w:lang w:val="es-ES"/>
        </w:rPr>
        <w:t xml:space="preserve"> y modificación del Cuadro</w:t>
      </w:r>
      <w:r w:rsidR="00D24669">
        <w:rPr>
          <w:lang w:val="es-ES"/>
        </w:rPr>
        <w:t> </w:t>
      </w:r>
      <w:r w:rsidRPr="00EF2348">
        <w:rPr>
          <w:b/>
          <w:bCs/>
          <w:lang w:val="es-ES"/>
        </w:rPr>
        <w:t>21-2</w:t>
      </w:r>
      <w:r w:rsidRPr="00EF2348">
        <w:rPr>
          <w:lang w:val="es-ES"/>
        </w:rPr>
        <w:t>, que implica la aplicación de los límites del Artículo 21 a los servicios fijo y móvil.</w:t>
      </w:r>
    </w:p>
    <w:p w14:paraId="3FD5CC20" w14:textId="54C70171" w:rsidR="00EF2348" w:rsidRPr="00EF2348" w:rsidRDefault="00EF2348" w:rsidP="00EF2348">
      <w:pPr>
        <w:rPr>
          <w:lang w:val="es-ES"/>
        </w:rPr>
      </w:pPr>
      <w:r w:rsidRPr="00EF2348">
        <w:rPr>
          <w:lang w:val="es-ES"/>
        </w:rPr>
        <w:t>La CMR-19 modificó las disposiciones de los números</w:t>
      </w:r>
      <w:r w:rsidR="00D24669">
        <w:rPr>
          <w:lang w:val="es-ES"/>
        </w:rPr>
        <w:t> </w:t>
      </w:r>
      <w:r w:rsidRPr="00EF2348">
        <w:rPr>
          <w:b/>
          <w:bCs/>
          <w:lang w:val="es-ES"/>
        </w:rPr>
        <w:t>11.9</w:t>
      </w:r>
      <w:r w:rsidRPr="00EF2348">
        <w:rPr>
          <w:lang w:val="es-ES"/>
        </w:rPr>
        <w:t xml:space="preserve"> y </w:t>
      </w:r>
      <w:r w:rsidRPr="00EF2348">
        <w:rPr>
          <w:b/>
          <w:bCs/>
          <w:lang w:val="es-ES"/>
        </w:rPr>
        <w:t>11.26</w:t>
      </w:r>
      <w:r w:rsidRPr="00EF2348">
        <w:rPr>
          <w:lang w:val="es-ES"/>
        </w:rPr>
        <w:t xml:space="preserve"> relativas a la notificación de asignaciones de frecuencia</w:t>
      </w:r>
      <w:r w:rsidR="008B6157">
        <w:rPr>
          <w:lang w:val="es-ES"/>
        </w:rPr>
        <w:t>s</w:t>
      </w:r>
      <w:r w:rsidRPr="00EF2348">
        <w:rPr>
          <w:lang w:val="es-ES"/>
        </w:rPr>
        <w:t xml:space="preserve"> a las estaciones HAPS del servicio fijo. Se invita a las administraciones a tener en cuenta estas modificaciones al notificar sus asignaciones de frecuencia</w:t>
      </w:r>
      <w:r w:rsidR="008B6157">
        <w:rPr>
          <w:lang w:val="es-ES"/>
        </w:rPr>
        <w:t>s</w:t>
      </w:r>
      <w:r w:rsidRPr="00EF2348">
        <w:rPr>
          <w:lang w:val="es-ES"/>
        </w:rPr>
        <w:t>.</w:t>
      </w:r>
    </w:p>
    <w:p w14:paraId="0804CDE8" w14:textId="1B711038" w:rsidR="00EF2348" w:rsidRPr="00EF2348" w:rsidRDefault="00EF2348" w:rsidP="00EF2348">
      <w:pPr>
        <w:rPr>
          <w:lang w:val="es-ES"/>
        </w:rPr>
      </w:pPr>
      <w:r w:rsidRPr="00EF2348">
        <w:rPr>
          <w:lang w:val="es-ES"/>
        </w:rPr>
        <w:t>La CMR-19 modificó los números</w:t>
      </w:r>
      <w:r w:rsidR="00D24669">
        <w:rPr>
          <w:lang w:val="es-ES"/>
        </w:rPr>
        <w:t> </w:t>
      </w:r>
      <w:r w:rsidRPr="00EF2348">
        <w:rPr>
          <w:b/>
          <w:bCs/>
          <w:lang w:val="es-ES"/>
        </w:rPr>
        <w:t>19.36</w:t>
      </w:r>
      <w:r w:rsidRPr="00EF2348">
        <w:rPr>
          <w:lang w:val="es-ES"/>
        </w:rPr>
        <w:t xml:space="preserve">, </w:t>
      </w:r>
      <w:r w:rsidRPr="00EF2348">
        <w:rPr>
          <w:b/>
          <w:bCs/>
          <w:lang w:val="es-ES"/>
        </w:rPr>
        <w:t>19.99</w:t>
      </w:r>
      <w:r w:rsidRPr="00EF2348">
        <w:rPr>
          <w:lang w:val="es-ES"/>
        </w:rPr>
        <w:t xml:space="preserve">, </w:t>
      </w:r>
      <w:r w:rsidRPr="00EF2348">
        <w:rPr>
          <w:b/>
          <w:bCs/>
          <w:lang w:val="es-ES"/>
        </w:rPr>
        <w:t>19.102</w:t>
      </w:r>
      <w:r w:rsidRPr="00EF2348">
        <w:rPr>
          <w:lang w:val="es-ES"/>
        </w:rPr>
        <w:t xml:space="preserve">, </w:t>
      </w:r>
      <w:r w:rsidRPr="00EF2348">
        <w:rPr>
          <w:b/>
          <w:bCs/>
          <w:lang w:val="es-ES"/>
        </w:rPr>
        <w:t xml:space="preserve">19.111 </w:t>
      </w:r>
      <w:r w:rsidRPr="00EF2348">
        <w:rPr>
          <w:lang w:val="es-ES"/>
        </w:rPr>
        <w:t>y</w:t>
      </w:r>
      <w:r w:rsidRPr="00EF2348">
        <w:rPr>
          <w:b/>
          <w:bCs/>
          <w:lang w:val="es-ES"/>
        </w:rPr>
        <w:t xml:space="preserve"> 19.114</w:t>
      </w:r>
      <w:r w:rsidRPr="00EF2348">
        <w:rPr>
          <w:lang w:val="es-ES"/>
        </w:rPr>
        <w:t>. Se invita a las administraciones a tener en cuenta estos cambios al asignar cifras de identificación marítima.</w:t>
      </w:r>
    </w:p>
    <w:p w14:paraId="3B5BEE6F" w14:textId="49571C05" w:rsidR="00EF2348" w:rsidRPr="00EF2348" w:rsidRDefault="00EF2348" w:rsidP="00EF2348">
      <w:pPr>
        <w:rPr>
          <w:lang w:val="es-ES"/>
        </w:rPr>
      </w:pPr>
      <w:r w:rsidRPr="00EF2348">
        <w:rPr>
          <w:lang w:val="es-ES"/>
        </w:rPr>
        <w:t>En lo que respecta a la Resolución</w:t>
      </w:r>
      <w:r w:rsidR="00D24669">
        <w:rPr>
          <w:lang w:val="es-ES"/>
        </w:rPr>
        <w:t> </w:t>
      </w:r>
      <w:r w:rsidRPr="00EF2348">
        <w:rPr>
          <w:b/>
          <w:bCs/>
          <w:lang w:val="es-ES"/>
        </w:rPr>
        <w:t>811 (CMR-19)</w:t>
      </w:r>
      <w:r w:rsidRPr="00EF2348">
        <w:rPr>
          <w:lang w:val="es-ES"/>
        </w:rPr>
        <w:t>, relativa al orden del día de la Conferencia Mundial de Radiocomunicaciones de 2023, y a la Resolución</w:t>
      </w:r>
      <w:r w:rsidR="00D24669">
        <w:rPr>
          <w:lang w:val="es-ES"/>
        </w:rPr>
        <w:t> </w:t>
      </w:r>
      <w:r w:rsidRPr="00EF2348">
        <w:rPr>
          <w:b/>
          <w:bCs/>
          <w:lang w:val="es-ES"/>
        </w:rPr>
        <w:t>812 (CMR-19)</w:t>
      </w:r>
      <w:r w:rsidRPr="00EF2348">
        <w:rPr>
          <w:lang w:val="es-ES"/>
        </w:rPr>
        <w:t xml:space="preserve">, relativa al orden del día preliminar de la Conferencia Mundial de Radiocomunicaciones de 2027, se han iniciado, de conformidad con las prácticas habituales, las acciones preparatorias necesarias y se han enviado a los </w:t>
      </w:r>
      <w:r w:rsidR="00D24669">
        <w:rPr>
          <w:lang w:val="es-ES"/>
        </w:rPr>
        <w:t>m</w:t>
      </w:r>
      <w:r w:rsidRPr="00EF2348">
        <w:rPr>
          <w:lang w:val="es-ES"/>
        </w:rPr>
        <w:t xml:space="preserve">iembros los resultados de la primera sesión de la Reunión Preparatoria de la Conferencia de 2023 (RPC23-1), véase la </w:t>
      </w:r>
      <w:hyperlink r:id="rId12" w:history="1">
        <w:r w:rsidRPr="00EF2348">
          <w:rPr>
            <w:rStyle w:val="Hyperlink"/>
            <w:lang w:val="es-ES"/>
          </w:rPr>
          <w:t>Circular Administrativa CA/251</w:t>
        </w:r>
      </w:hyperlink>
      <w:r w:rsidRPr="00EF2348">
        <w:rPr>
          <w:lang w:val="es-ES"/>
        </w:rPr>
        <w:t xml:space="preserve">, de 19 de diciembre de 2019. </w:t>
      </w:r>
      <w:r w:rsidR="00D24669" w:rsidRPr="00EF2348">
        <w:rPr>
          <w:lang w:val="es-ES"/>
        </w:rPr>
        <w:t xml:space="preserve">El </w:t>
      </w:r>
      <w:r w:rsidRPr="00EF2348">
        <w:rPr>
          <w:lang w:val="es-ES"/>
        </w:rPr>
        <w:t xml:space="preserve">18 de septiembre de 2020 se publicó la </w:t>
      </w:r>
      <w:hyperlink r:id="rId13" w:history="1">
        <w:r w:rsidRPr="00EF2348">
          <w:rPr>
            <w:rStyle w:val="Hyperlink"/>
            <w:lang w:val="es-ES"/>
          </w:rPr>
          <w:t>Circular Administrativa CACE/955</w:t>
        </w:r>
      </w:hyperlink>
      <w:r w:rsidRPr="00EF2348">
        <w:rPr>
          <w:b/>
          <w:bCs/>
          <w:lang w:val="es-ES"/>
        </w:rPr>
        <w:t xml:space="preserve"> </w:t>
      </w:r>
      <w:r w:rsidRPr="00EF2348">
        <w:rPr>
          <w:lang w:val="es-ES"/>
        </w:rPr>
        <w:t>que trata de las características técnicas, los parámetros operativos y los criterios de protección para los estudios de compartición y compatibilidad necesarios para la CMR-23.</w:t>
      </w:r>
    </w:p>
    <w:p w14:paraId="50D6F828" w14:textId="33B32000" w:rsidR="00EF2348" w:rsidRPr="00EF2348" w:rsidRDefault="00EF2348" w:rsidP="00EF2348">
      <w:pPr>
        <w:rPr>
          <w:lang w:val="es-ES"/>
        </w:rPr>
      </w:pPr>
      <w:r w:rsidRPr="00EF2348">
        <w:rPr>
          <w:lang w:val="es-ES"/>
        </w:rPr>
        <w:t xml:space="preserve">Por </w:t>
      </w:r>
      <w:r w:rsidR="008B6157" w:rsidRPr="00EF2348">
        <w:rPr>
          <w:lang w:val="es-ES"/>
        </w:rPr>
        <w:t>último</w:t>
      </w:r>
      <w:r w:rsidRPr="00EF2348">
        <w:rPr>
          <w:lang w:val="es-ES"/>
        </w:rPr>
        <w:t xml:space="preserve">, deseo señalar a su atención las disposiciones del Artículo </w:t>
      </w:r>
      <w:r w:rsidRPr="00EF2348">
        <w:rPr>
          <w:b/>
          <w:bCs/>
          <w:lang w:val="es-ES"/>
        </w:rPr>
        <w:t>54</w:t>
      </w:r>
      <w:r w:rsidRPr="00EF2348">
        <w:rPr>
          <w:lang w:val="es-ES"/>
        </w:rPr>
        <w:t xml:space="preserve"> de la Constitución, en la que se invita a los Estados Miembros a notificar al Secretario General su consentimiento en obligarse por las revisiones del Reglamento de Radiocomunicaciones.</w:t>
      </w:r>
    </w:p>
    <w:p w14:paraId="61FAFC95" w14:textId="77777777" w:rsidR="00EF2348" w:rsidRPr="00EF2348" w:rsidRDefault="00EF2348" w:rsidP="00EF2348">
      <w:pPr>
        <w:rPr>
          <w:lang w:val="es-ES"/>
        </w:rPr>
      </w:pPr>
      <w:r w:rsidRPr="00EF2348">
        <w:rPr>
          <w:lang w:val="es-ES"/>
        </w:rPr>
        <w:t>La BR queda a la disposición de su Administración para cualquier aclaración que pudiera necesitar sobre los temas tratados en esta Carta Circular.</w:t>
      </w:r>
    </w:p>
    <w:p w14:paraId="1F69B0D0" w14:textId="77777777" w:rsidR="000A7C2F" w:rsidRDefault="000A7C2F" w:rsidP="008B6157">
      <w:pPr>
        <w:spacing w:before="720"/>
        <w:jc w:val="left"/>
        <w:rPr>
          <w:lang w:val="es-ES"/>
        </w:rPr>
      </w:pPr>
    </w:p>
    <w:p w14:paraId="70B1E67A" w14:textId="10E795C7" w:rsidR="00EF2348" w:rsidRPr="00EF2348" w:rsidRDefault="00EF2348" w:rsidP="000A7C2F">
      <w:pPr>
        <w:spacing w:before="240"/>
        <w:jc w:val="left"/>
        <w:rPr>
          <w:lang w:val="es-ES"/>
        </w:rPr>
      </w:pPr>
      <w:r w:rsidRPr="00EF2348">
        <w:rPr>
          <w:lang w:val="es-ES"/>
        </w:rPr>
        <w:t>Mario Maniewicz</w:t>
      </w:r>
      <w:r w:rsidR="008B6157">
        <w:rPr>
          <w:lang w:val="es-ES"/>
        </w:rPr>
        <w:br/>
      </w:r>
      <w:r w:rsidRPr="00EF2348">
        <w:rPr>
          <w:lang w:val="es-ES"/>
        </w:rPr>
        <w:t>Director</w:t>
      </w:r>
      <w:bookmarkStart w:id="1" w:name="ddistribution"/>
      <w:bookmarkEnd w:id="1"/>
    </w:p>
    <w:p w14:paraId="0C585A85" w14:textId="77777777" w:rsidR="00EF2348" w:rsidRPr="00EF2348" w:rsidRDefault="00EF2348" w:rsidP="000A7C2F">
      <w:pPr>
        <w:spacing w:before="960"/>
        <w:rPr>
          <w:b/>
          <w:sz w:val="18"/>
          <w:szCs w:val="18"/>
          <w:lang w:val="es-ES"/>
        </w:rPr>
      </w:pPr>
      <w:r w:rsidRPr="00EF2348">
        <w:rPr>
          <w:b/>
          <w:sz w:val="18"/>
          <w:szCs w:val="18"/>
          <w:u w:val="single"/>
          <w:lang w:val="es-ES"/>
        </w:rPr>
        <w:t>Distribución:</w:t>
      </w:r>
    </w:p>
    <w:p w14:paraId="34955CC9" w14:textId="77777777" w:rsidR="00EF2348" w:rsidRPr="00EF2348" w:rsidRDefault="00EF2348" w:rsidP="008B6157">
      <w:pPr>
        <w:spacing w:before="0"/>
        <w:rPr>
          <w:sz w:val="18"/>
          <w:szCs w:val="18"/>
          <w:lang w:val="es-ES"/>
        </w:rPr>
      </w:pPr>
      <w:r w:rsidRPr="00EF2348">
        <w:rPr>
          <w:sz w:val="18"/>
          <w:szCs w:val="18"/>
          <w:lang w:val="es-ES"/>
        </w:rPr>
        <w:t>–</w:t>
      </w:r>
      <w:r w:rsidRPr="00EF2348">
        <w:rPr>
          <w:sz w:val="18"/>
          <w:szCs w:val="18"/>
          <w:lang w:val="es-ES"/>
        </w:rPr>
        <w:tab/>
        <w:t>Administraciones de los Estados Miembros de la UIT</w:t>
      </w:r>
    </w:p>
    <w:p w14:paraId="611554E6" w14:textId="795E5BE0" w:rsidR="00EF2348" w:rsidRPr="00EF2348" w:rsidRDefault="00EF2348" w:rsidP="008B6157">
      <w:pPr>
        <w:spacing w:before="0"/>
        <w:rPr>
          <w:sz w:val="18"/>
          <w:szCs w:val="18"/>
          <w:lang w:val="es-ES"/>
        </w:rPr>
      </w:pPr>
      <w:r w:rsidRPr="00EF2348">
        <w:rPr>
          <w:sz w:val="18"/>
          <w:szCs w:val="18"/>
          <w:lang w:val="es-ES"/>
        </w:rPr>
        <w:t>–</w:t>
      </w:r>
      <w:r w:rsidRPr="00EF2348">
        <w:rPr>
          <w:sz w:val="18"/>
          <w:szCs w:val="18"/>
          <w:lang w:val="es-ES"/>
        </w:rPr>
        <w:tab/>
        <w:t>Miembros de la Junta del Reglamento de Radiocomunicaciones</w:t>
      </w:r>
    </w:p>
    <w:sectPr w:rsidR="00EF2348" w:rsidRPr="00EF2348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0D1AF" w14:textId="77777777" w:rsidR="002B7EE0" w:rsidRDefault="002B7EE0">
      <w:r>
        <w:separator/>
      </w:r>
    </w:p>
  </w:endnote>
  <w:endnote w:type="continuationSeparator" w:id="0">
    <w:p w14:paraId="3EF402DE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5040E" w14:textId="52D84B02" w:rsidR="00AF052B" w:rsidRPr="00AD3765" w:rsidRDefault="00AF052B" w:rsidP="00AF05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>Unión Internacional de Telecomunicaciones • Place des Nations •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 • Suiza</w:t>
    </w:r>
    <w:r w:rsidRPr="00AD3765">
      <w:rPr>
        <w:color w:val="4F81BD" w:themeColor="accent1"/>
        <w:sz w:val="18"/>
        <w:szCs w:val="18"/>
        <w:lang w:val="es-ES_tradnl"/>
      </w:rPr>
      <w:br/>
      <w:t>Tel</w:t>
    </w:r>
    <w:r w:rsidR="00707088">
      <w:rPr>
        <w:color w:val="4F81BD" w:themeColor="accent1"/>
        <w:sz w:val="18"/>
        <w:szCs w:val="18"/>
        <w:lang w:val="es-ES_tradnl"/>
      </w:rPr>
      <w:t>.</w:t>
    </w:r>
    <w:r w:rsidRPr="00AD3765">
      <w:rPr>
        <w:color w:val="4F81BD" w:themeColor="accent1"/>
        <w:sz w:val="18"/>
        <w:szCs w:val="18"/>
        <w:lang w:val="es-ES_tradnl"/>
      </w:rPr>
      <w:t xml:space="preserve">: +41 22 730 5111 • Correo-e: </w:t>
    </w:r>
    <w:hyperlink r:id="rId1" w:history="1">
      <w:r w:rsidRPr="00AD3765">
        <w:rPr>
          <w:color w:val="4F81BD" w:themeColor="accent1"/>
          <w:sz w:val="18"/>
          <w:szCs w:val="18"/>
          <w:u w:val="single"/>
          <w:lang w:val="es-ES_tradnl"/>
        </w:rPr>
        <w:t>itumail@itu.int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2" w:history="1">
      <w:r w:rsidRPr="00AD3765">
        <w:rPr>
          <w:color w:val="4F81BD" w:themeColor="accent1"/>
          <w:sz w:val="18"/>
          <w:szCs w:val="18"/>
          <w:lang w:val="es-ES_tradnl"/>
        </w:rPr>
        <w:t>www.itu.int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1AA53" w14:textId="77777777" w:rsidR="002B7EE0" w:rsidRDefault="002B7EE0">
      <w:r>
        <w:t>____________________</w:t>
      </w:r>
    </w:p>
  </w:footnote>
  <w:footnote w:type="continuationSeparator" w:id="0">
    <w:p w14:paraId="253584B3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DF478" w14:textId="7B73BF2D" w:rsidR="00E915AF" w:rsidRPr="00D239B4" w:rsidRDefault="00D97EF5" w:rsidP="0070708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6D5EA" w14:textId="5F1038DD" w:rsidR="00E915AF" w:rsidRPr="00707088" w:rsidRDefault="00707088" w:rsidP="0070708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1B3D4D" w14:paraId="5A7D20CF" w14:textId="77777777" w:rsidTr="002B7EE0">
      <w:tc>
        <w:tcPr>
          <w:tcW w:w="9862" w:type="dxa"/>
          <w:tcMar>
            <w:left w:w="0" w:type="dxa"/>
          </w:tcMar>
        </w:tcPr>
        <w:p w14:paraId="255312DD" w14:textId="77777777" w:rsidR="001B3D4D" w:rsidRDefault="002B7EE0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7F076A12" w14:textId="77777777" w:rsidR="001B3D4D" w:rsidRDefault="001B3D4D" w:rsidP="001B3D4D">
          <w:pPr>
            <w:pStyle w:val="Header"/>
            <w:spacing w:before="240" w:line="360" w:lineRule="auto"/>
            <w:jc w:val="right"/>
          </w:pP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222A1"/>
    <w:multiLevelType w:val="hybridMultilevel"/>
    <w:tmpl w:val="669A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A1BE7"/>
    <w:multiLevelType w:val="hybridMultilevel"/>
    <w:tmpl w:val="4846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5305B"/>
    <w:multiLevelType w:val="hybridMultilevel"/>
    <w:tmpl w:val="7B3401CC"/>
    <w:lvl w:ilvl="0" w:tplc="627CBE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C7D71"/>
    <w:multiLevelType w:val="hybridMultilevel"/>
    <w:tmpl w:val="61044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7CB3"/>
    <w:multiLevelType w:val="hybridMultilevel"/>
    <w:tmpl w:val="799E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7C604C14"/>
    <w:multiLevelType w:val="hybridMultilevel"/>
    <w:tmpl w:val="BA7A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25C4"/>
    <w:rsid w:val="00054E5D"/>
    <w:rsid w:val="00070258"/>
    <w:rsid w:val="0007323C"/>
    <w:rsid w:val="00086D03"/>
    <w:rsid w:val="000A096A"/>
    <w:rsid w:val="000A375E"/>
    <w:rsid w:val="000A7051"/>
    <w:rsid w:val="000A7C2F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6C1D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1044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5266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6AAD"/>
    <w:rsid w:val="005D3669"/>
    <w:rsid w:val="005E5EB3"/>
    <w:rsid w:val="005F3CB6"/>
    <w:rsid w:val="005F657C"/>
    <w:rsid w:val="00602D53"/>
    <w:rsid w:val="006047E5"/>
    <w:rsid w:val="00605927"/>
    <w:rsid w:val="0064371D"/>
    <w:rsid w:val="00650543"/>
    <w:rsid w:val="00650B2A"/>
    <w:rsid w:val="00651777"/>
    <w:rsid w:val="006550F8"/>
    <w:rsid w:val="006829F3"/>
    <w:rsid w:val="00693C49"/>
    <w:rsid w:val="006A518B"/>
    <w:rsid w:val="006B0590"/>
    <w:rsid w:val="006B49DA"/>
    <w:rsid w:val="006C53F8"/>
    <w:rsid w:val="006C7CDE"/>
    <w:rsid w:val="00707088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86F13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54131"/>
    <w:rsid w:val="0085652D"/>
    <w:rsid w:val="0087694B"/>
    <w:rsid w:val="00880F4D"/>
    <w:rsid w:val="008B35A3"/>
    <w:rsid w:val="008B37E1"/>
    <w:rsid w:val="008B45F8"/>
    <w:rsid w:val="008B6157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669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2348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2E82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2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B61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61/es" TargetMode="External"/><Relationship Id="rId13" Type="http://schemas.openxmlformats.org/officeDocument/2006/relationships/hyperlink" Target="https://www.itu.int/md/R00-CACE-CIR-0955/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A-CIR-0251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R-CIR-0467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00-CR-CIR-0456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64/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450B-DC4A-4D98-9BB5-D2E6D950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2045</Words>
  <Characters>11201</Characters>
  <Application>Microsoft Office Word</Application>
  <DocSecurity>0</DocSecurity>
  <Lines>414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13063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Demoulin, Na</cp:lastModifiedBy>
  <cp:revision>9</cp:revision>
  <cp:lastPrinted>2013-03-08T10:15:00Z</cp:lastPrinted>
  <dcterms:created xsi:type="dcterms:W3CDTF">2020-12-07T08:44:00Z</dcterms:created>
  <dcterms:modified xsi:type="dcterms:W3CDTF">2020-12-08T16:09:00Z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