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772DB8A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E5859C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2543B2A0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1286EC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64B1BC7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011D701" w14:textId="21F78CE7" w:rsidR="00E53DCE" w:rsidRPr="001B3D4D" w:rsidRDefault="001B3D4D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75124D">
              <w:rPr>
                <w:lang w:val="es-ES_tradnl"/>
              </w:rPr>
              <w:t>Carta Circular</w:t>
            </w:r>
          </w:p>
          <w:p w14:paraId="3772106A" w14:textId="27BD3DC6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CR</w:t>
            </w:r>
            <w:r w:rsidR="00006610">
              <w:rPr>
                <w:b/>
                <w:bCs/>
                <w:szCs w:val="24"/>
                <w:lang w:val="es-ES"/>
              </w:rPr>
              <w:t>/474</w:t>
            </w:r>
          </w:p>
        </w:tc>
        <w:tc>
          <w:tcPr>
            <w:tcW w:w="2835" w:type="dxa"/>
            <w:shd w:val="clear" w:color="auto" w:fill="auto"/>
          </w:tcPr>
          <w:p w14:paraId="2DEC7E30" w14:textId="7FD8B982" w:rsidR="00E53DCE" w:rsidRPr="002B7EE0" w:rsidRDefault="00006610" w:rsidP="006160CB">
            <w:pPr>
              <w:spacing w:before="0"/>
              <w:jc w:val="right"/>
              <w:rPr>
                <w:szCs w:val="24"/>
                <w:lang w:val="fr-FR"/>
              </w:rPr>
            </w:pPr>
            <w:r w:rsidRPr="00006610">
              <w:rPr>
                <w:bCs/>
                <w:szCs w:val="24"/>
                <w:lang w:val="fr-FR"/>
              </w:rPr>
              <w:t>17 de mayo de 2021</w:t>
            </w:r>
          </w:p>
        </w:tc>
      </w:tr>
      <w:tr w:rsidR="00E53DCE" w:rsidRPr="0033029C" w14:paraId="73754B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97466C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2269DA3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BB19D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8C2310" w14:paraId="707482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E5EF8F" w14:textId="77777777"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14:paraId="7D2430E4" w14:textId="77777777"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8C2310" w14:paraId="5640DD4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CEBD4C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C2310" w14:paraId="1A2AED8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76EB3B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C2310" w14:paraId="351BDEF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E65B1B" w14:textId="77777777" w:rsidR="00E53DCE" w:rsidRPr="00006610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006610">
              <w:rPr>
                <w:szCs w:val="24"/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F421491" w14:textId="0E41265A" w:rsidR="00E53DCE" w:rsidRPr="00006610" w:rsidRDefault="00006610" w:rsidP="0035295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006610">
              <w:rPr>
                <w:b/>
                <w:bCs/>
                <w:szCs w:val="24"/>
                <w:lang w:val="es-ES"/>
              </w:rPr>
              <w:t xml:space="preserve">Publicación de las listas de redes o sistemas de satélites con los que puede ser necesario realizar la coordinación con arreglo a los números 9.12, 9.12A y 9.13 y actualización del </w:t>
            </w:r>
            <w:r w:rsidRPr="00006610">
              <w:rPr>
                <w:b/>
                <w:bCs/>
                <w:i/>
                <w:iCs/>
                <w:szCs w:val="24"/>
                <w:lang w:val="es-ES"/>
              </w:rPr>
              <w:t>software</w:t>
            </w:r>
            <w:r w:rsidRPr="00006610">
              <w:rPr>
                <w:b/>
                <w:bCs/>
                <w:szCs w:val="24"/>
                <w:lang w:val="es-ES"/>
              </w:rPr>
              <w:t xml:space="preserve"> espacial y de las bases de datos SNS correspondientes de la BR</w:t>
            </w:r>
          </w:p>
        </w:tc>
      </w:tr>
      <w:tr w:rsidR="00E53DCE" w:rsidRPr="008C2310" w14:paraId="614E879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9454682" w14:textId="77777777" w:rsidR="00E53DCE" w:rsidRPr="00F84C0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AE931D" w14:textId="77777777" w:rsidR="00E53DCE" w:rsidRPr="00F84C0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8C2310" w14:paraId="0102FA6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CB58833" w14:textId="77777777" w:rsidR="00E53DCE" w:rsidRPr="00F84C0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6D129" w14:textId="77777777" w:rsidR="00E53DCE" w:rsidRPr="00F84C0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8C2310" w14:paraId="445961E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4DC3B2" w14:textId="77777777" w:rsidR="00E53DCE" w:rsidRPr="00F84C0F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C2310" w14:paraId="2E3867E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E935F" w14:textId="77777777" w:rsidR="00E53DCE" w:rsidRPr="00F84C0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6E792E0B" w14:textId="77777777" w:rsidR="00006610" w:rsidRPr="00006610" w:rsidRDefault="00006610" w:rsidP="00006610">
      <w:pPr>
        <w:pStyle w:val="Normalaftertitle"/>
        <w:rPr>
          <w:lang w:val="es-ES"/>
        </w:rPr>
      </w:pPr>
      <w:r w:rsidRPr="00006610">
        <w:rPr>
          <w:lang w:val="es-ES"/>
        </w:rPr>
        <w:t xml:space="preserve">La Conferencia Mundial de Radiocomunicaciones, Sharm el-Sheikh, 2019 (CMR-19), decidió modificar la disposición número </w:t>
      </w:r>
      <w:r w:rsidRPr="00006610">
        <w:rPr>
          <w:b/>
          <w:bCs/>
          <w:lang w:val="es-ES"/>
        </w:rPr>
        <w:t>9.36.1</w:t>
      </w:r>
      <w:r w:rsidRPr="00006610">
        <w:rPr>
          <w:lang w:val="es-ES"/>
        </w:rPr>
        <w:t xml:space="preserve"> para que la Oficina de Radiocomunicaciones</w:t>
      </w:r>
      <w:r w:rsidRPr="00F84C0F">
        <w:rPr>
          <w:lang w:val="es-ES"/>
        </w:rPr>
        <w:t xml:space="preserve"> </w:t>
      </w:r>
      <w:r w:rsidRPr="00006610">
        <w:rPr>
          <w:lang w:val="es-ES"/>
        </w:rPr>
        <w:t xml:space="preserve">determine las redes o sistemas de satélites con los que pueda ser necesario efectuar la coordinación con arreglo a los números </w:t>
      </w:r>
      <w:r w:rsidRPr="00006610">
        <w:rPr>
          <w:b/>
          <w:bCs/>
          <w:lang w:val="es-ES"/>
        </w:rPr>
        <w:t>9.12</w:t>
      </w:r>
      <w:r w:rsidRPr="00006610">
        <w:rPr>
          <w:lang w:val="es-ES"/>
        </w:rPr>
        <w:t xml:space="preserve">, </w:t>
      </w:r>
      <w:r w:rsidRPr="00006610">
        <w:rPr>
          <w:b/>
          <w:bCs/>
          <w:lang w:val="es-ES"/>
        </w:rPr>
        <w:t>9.12A</w:t>
      </w:r>
      <w:r w:rsidRPr="00006610">
        <w:rPr>
          <w:lang w:val="es-ES"/>
        </w:rPr>
        <w:t xml:space="preserve"> y </w:t>
      </w:r>
      <w:r w:rsidRPr="00006610">
        <w:rPr>
          <w:b/>
          <w:bCs/>
          <w:lang w:val="es-ES"/>
        </w:rPr>
        <w:t>9.13</w:t>
      </w:r>
      <w:r w:rsidRPr="00006610">
        <w:rPr>
          <w:lang w:val="es-ES"/>
        </w:rPr>
        <w:t>.</w:t>
      </w:r>
    </w:p>
    <w:p w14:paraId="39E847D2" w14:textId="77777777" w:rsidR="00006610" w:rsidRPr="00006610" w:rsidRDefault="00006610" w:rsidP="00006610">
      <w:pPr>
        <w:rPr>
          <w:lang w:val="es-ES"/>
        </w:rPr>
      </w:pPr>
      <w:r w:rsidRPr="00006610">
        <w:rPr>
          <w:b/>
          <w:bCs/>
          <w:lang w:val="es-ES"/>
        </w:rPr>
        <w:t>La CMR-19 decidió también modificar la disposición número 9.53A para que</w:t>
      </w:r>
      <w:r w:rsidRPr="00006610">
        <w:rPr>
          <w:lang w:val="es-ES"/>
        </w:rPr>
        <w:t xml:space="preserve"> la Oficina publique, </w:t>
      </w:r>
      <w:r w:rsidRPr="00006610">
        <w:rPr>
          <w:b/>
          <w:bCs/>
          <w:lang w:val="es-ES"/>
        </w:rPr>
        <w:t>además de</w:t>
      </w:r>
      <w:r w:rsidRPr="00006610">
        <w:rPr>
          <w:lang w:val="es-ES"/>
        </w:rPr>
        <w:t xml:space="preserve"> la lista de las administraciones que han manifestado su desacuerdo o han formulado otros comentarios en el plazo reglamentario, la lista de redes o sistemas de satélites en que se basa este desacuerdo.</w:t>
      </w:r>
    </w:p>
    <w:p w14:paraId="1F180574" w14:textId="77777777" w:rsidR="00006610" w:rsidRPr="00006610" w:rsidRDefault="00006610" w:rsidP="00006610">
      <w:pPr>
        <w:rPr>
          <w:lang w:val="es-ES"/>
        </w:rPr>
      </w:pPr>
      <w:r w:rsidRPr="00006610">
        <w:rPr>
          <w:lang w:val="es-ES"/>
        </w:rPr>
        <w:t xml:space="preserve">A este respecto, la Oficina se complace en anunciar que las publicaciones de las secciones especiales CR/C para las solicitudes de coordinación formuladas con arreglo a los números </w:t>
      </w:r>
      <w:r w:rsidRPr="00006610">
        <w:rPr>
          <w:b/>
          <w:bCs/>
          <w:lang w:val="es-ES"/>
        </w:rPr>
        <w:t>9.12</w:t>
      </w:r>
      <w:r w:rsidRPr="00006610">
        <w:rPr>
          <w:lang w:val="es-ES"/>
        </w:rPr>
        <w:t xml:space="preserve">, </w:t>
      </w:r>
      <w:r w:rsidRPr="00006610">
        <w:rPr>
          <w:b/>
          <w:bCs/>
          <w:lang w:val="es-ES"/>
        </w:rPr>
        <w:t>9.12A</w:t>
      </w:r>
      <w:r w:rsidRPr="00006610">
        <w:rPr>
          <w:lang w:val="es-ES"/>
        </w:rPr>
        <w:t xml:space="preserve"> y </w:t>
      </w:r>
      <w:r w:rsidRPr="00006610">
        <w:rPr>
          <w:b/>
          <w:bCs/>
          <w:lang w:val="es-ES"/>
        </w:rPr>
        <w:t>9.13</w:t>
      </w:r>
      <w:r w:rsidRPr="00006610">
        <w:rPr>
          <w:lang w:val="es-ES"/>
        </w:rPr>
        <w:t xml:space="preserve"> recibidas a partir del 1 de enero de 2021 incluirán dichas listas de redes o sistemas de satélites, tal como se exige en el número </w:t>
      </w:r>
      <w:r w:rsidRPr="00006610">
        <w:rPr>
          <w:b/>
          <w:bCs/>
          <w:lang w:val="es-ES"/>
        </w:rPr>
        <w:t>9.36.1</w:t>
      </w:r>
      <w:r w:rsidRPr="00006610">
        <w:rPr>
          <w:lang w:val="es-ES"/>
        </w:rPr>
        <w:t xml:space="preserve">. Del mismo modo, las publicaciones CR/D de los comentarios recibidos respecto de tal coordinación incluirán la lista de redes o sistemas de satélites en que se basa el desacuerdo, tal como se exige en el número </w:t>
      </w:r>
      <w:r w:rsidRPr="00006610">
        <w:rPr>
          <w:b/>
          <w:bCs/>
          <w:lang w:val="es-ES"/>
        </w:rPr>
        <w:t>9.53A</w:t>
      </w:r>
      <w:r w:rsidRPr="00006610">
        <w:rPr>
          <w:lang w:val="es-ES"/>
        </w:rPr>
        <w:t>.</w:t>
      </w:r>
    </w:p>
    <w:p w14:paraId="7795F586" w14:textId="41CC1B30" w:rsidR="00006610" w:rsidRPr="00006610" w:rsidRDefault="00403403" w:rsidP="00006610">
      <w:pPr>
        <w:rPr>
          <w:lang w:val="es-ES"/>
        </w:rPr>
      </w:pPr>
      <w:bookmarkStart w:id="0" w:name="_Hlk71619075"/>
      <w:r w:rsidRPr="00403403">
        <w:rPr>
          <w:lang w:val="es-ES"/>
        </w:rPr>
        <w:t xml:space="preserve">A fin de permitir y facilitar la labor de las administraciones y de la Oficina en la aplicación de las referidas decisiones de la CMR-19, la Oficina también se complace en anunciar que un nuevo </w:t>
      </w:r>
      <w:r w:rsidRPr="00403403">
        <w:rPr>
          <w:i/>
          <w:iCs/>
          <w:lang w:val="es-ES"/>
        </w:rPr>
        <w:t>software</w:t>
      </w:r>
      <w:r w:rsidRPr="00403403">
        <w:rPr>
          <w:lang w:val="es-ES"/>
        </w:rPr>
        <w:t xml:space="preserve"> de examen de superposición de frecuencias (GIBC/FO) y la nueva versión del </w:t>
      </w:r>
      <w:r w:rsidRPr="00403403">
        <w:rPr>
          <w:i/>
          <w:iCs/>
          <w:lang w:val="es-ES"/>
        </w:rPr>
        <w:t>software</w:t>
      </w:r>
      <w:r w:rsidRPr="00403403">
        <w:rPr>
          <w:lang w:val="es-ES"/>
        </w:rPr>
        <w:t xml:space="preserve"> SpaceCom v9.0 estarán disponibles en el sitio web de la UIT</w:t>
      </w:r>
      <w:r w:rsidR="00006610" w:rsidRPr="00006610">
        <w:rPr>
          <w:lang w:val="es-ES"/>
        </w:rPr>
        <w:t xml:space="preserve"> </w:t>
      </w:r>
      <w:hyperlink r:id="rId8" w:history="1">
        <w:r w:rsidR="00006610" w:rsidRPr="00006610">
          <w:rPr>
            <w:rStyle w:val="Hyperlink"/>
            <w:lang w:val="es-ES"/>
          </w:rPr>
          <w:t>https://www.itu.int/ITU-R/go/space-software/en</w:t>
        </w:r>
      </w:hyperlink>
      <w:r w:rsidR="00006610" w:rsidRPr="00006610">
        <w:rPr>
          <w:lang w:val="es-ES"/>
        </w:rPr>
        <w:t xml:space="preserve"> y en la BR IFIC (Servicios Espaciales) 2949/29.06.2021.</w:t>
      </w:r>
    </w:p>
    <w:bookmarkEnd w:id="0"/>
    <w:p w14:paraId="4EF91355" w14:textId="33FA235D" w:rsidR="00006610" w:rsidRPr="00006610" w:rsidRDefault="00006610" w:rsidP="00006610">
      <w:pPr>
        <w:rPr>
          <w:lang w:val="es-ES"/>
        </w:rPr>
      </w:pPr>
      <w:r w:rsidRPr="00006610">
        <w:rPr>
          <w:lang w:val="es-ES"/>
        </w:rPr>
        <w:t xml:space="preserve">La herramienta GIBC/FO se ha desarrollado específicamente para determinar los requisitos de coordinación con arreglo a los números </w:t>
      </w:r>
      <w:r w:rsidRPr="00006610">
        <w:rPr>
          <w:b/>
          <w:bCs/>
          <w:lang w:val="es-ES"/>
        </w:rPr>
        <w:t>9.12</w:t>
      </w:r>
      <w:r w:rsidRPr="00006610">
        <w:rPr>
          <w:lang w:val="es-ES"/>
        </w:rPr>
        <w:t xml:space="preserve">, </w:t>
      </w:r>
      <w:r w:rsidRPr="00006610">
        <w:rPr>
          <w:b/>
          <w:bCs/>
          <w:lang w:val="es-ES"/>
        </w:rPr>
        <w:t>9.12A</w:t>
      </w:r>
      <w:r w:rsidRPr="00006610">
        <w:rPr>
          <w:lang w:val="es-ES"/>
        </w:rPr>
        <w:t xml:space="preserve"> y </w:t>
      </w:r>
      <w:r w:rsidRPr="00006610">
        <w:rPr>
          <w:b/>
          <w:bCs/>
          <w:lang w:val="es-ES"/>
        </w:rPr>
        <w:t>9.13</w:t>
      </w:r>
      <w:r w:rsidRPr="00006610">
        <w:rPr>
          <w:lang w:val="es-ES"/>
        </w:rPr>
        <w:t>, sobre la base de la superposición de frecuencias, y para elaborar la lista de redes o sistemas de satélites afectados con arreglo al número</w:t>
      </w:r>
      <w:r>
        <w:rPr>
          <w:lang w:val="es-ES"/>
        </w:rPr>
        <w:t> </w:t>
      </w:r>
      <w:r w:rsidRPr="00006610">
        <w:rPr>
          <w:b/>
          <w:bCs/>
          <w:lang w:val="es-ES"/>
        </w:rPr>
        <w:t>9.36.1</w:t>
      </w:r>
      <w:r w:rsidRPr="00006610">
        <w:rPr>
          <w:lang w:val="es-ES"/>
        </w:rPr>
        <w:t>.</w:t>
      </w:r>
    </w:p>
    <w:p w14:paraId="4467953F" w14:textId="4A9A0D93" w:rsidR="00006610" w:rsidRPr="00006610" w:rsidRDefault="00006610" w:rsidP="00006610">
      <w:pPr>
        <w:rPr>
          <w:lang w:val="es-ES"/>
        </w:rPr>
      </w:pPr>
      <w:bookmarkStart w:id="1" w:name="_Hlk71619081"/>
      <w:r w:rsidRPr="00006610">
        <w:rPr>
          <w:lang w:val="es-ES"/>
        </w:rPr>
        <w:t>Las administraciones han de actualizarse a la nueva versión de SpaceCom v9.0 para formular comentarios sobre las listas de redes o sistemas de satélites que se publican en las solicitudes de coordinación recogidas en la BR IFIC 2949 y en posteriores BR IFIC.</w:t>
      </w:r>
    </w:p>
    <w:bookmarkEnd w:id="1"/>
    <w:p w14:paraId="54D564E8" w14:textId="77777777" w:rsidR="00006610" w:rsidRPr="00006610" w:rsidRDefault="00006610" w:rsidP="00006610">
      <w:pPr>
        <w:pStyle w:val="Headingb"/>
        <w:rPr>
          <w:lang w:val="es-ES"/>
        </w:rPr>
      </w:pPr>
      <w:r w:rsidRPr="00006610">
        <w:rPr>
          <w:lang w:val="es-ES"/>
        </w:rPr>
        <w:lastRenderedPageBreak/>
        <w:t>Apoyo y contactos</w:t>
      </w:r>
    </w:p>
    <w:p w14:paraId="198CFC03" w14:textId="77777777" w:rsidR="00006610" w:rsidRPr="00006610" w:rsidRDefault="00006610" w:rsidP="00006610">
      <w:pPr>
        <w:rPr>
          <w:lang w:val="es-ES"/>
        </w:rPr>
      </w:pPr>
      <w:r w:rsidRPr="00006610">
        <w:rPr>
          <w:lang w:val="es-ES"/>
        </w:rPr>
        <w:t xml:space="preserve">La guía del usuario del </w:t>
      </w:r>
      <w:r w:rsidRPr="00006610">
        <w:rPr>
          <w:i/>
          <w:iCs/>
          <w:lang w:val="es-ES"/>
        </w:rPr>
        <w:t>software</w:t>
      </w:r>
      <w:r w:rsidRPr="00006610">
        <w:rPr>
          <w:lang w:val="es-ES"/>
        </w:rPr>
        <w:t xml:space="preserve"> de examen de superposición de frecuencias (GIBC/FO) y de la nueva versión de SpaceCom v9.0 pueden encontrarse en:</w:t>
      </w:r>
    </w:p>
    <w:p w14:paraId="50ACCFDD" w14:textId="77777777" w:rsidR="00006610" w:rsidRPr="00006610" w:rsidRDefault="008C2310" w:rsidP="00006610">
      <w:pPr>
        <w:jc w:val="center"/>
        <w:rPr>
          <w:lang w:val="es-ES"/>
        </w:rPr>
      </w:pPr>
      <w:hyperlink r:id="rId9" w:history="1">
        <w:r w:rsidR="00006610" w:rsidRPr="00006610">
          <w:rPr>
            <w:rStyle w:val="Hyperlink"/>
            <w:lang w:val="es-ES"/>
          </w:rPr>
          <w:t>https://www.itu.int/ITU-R/go/space-software/en</w:t>
        </w:r>
      </w:hyperlink>
    </w:p>
    <w:p w14:paraId="10AF23C9" w14:textId="77777777" w:rsidR="00006610" w:rsidRPr="00006610" w:rsidRDefault="00006610" w:rsidP="00006610">
      <w:pPr>
        <w:rPr>
          <w:lang w:val="es-ES"/>
        </w:rPr>
      </w:pPr>
      <w:r w:rsidRPr="00006610">
        <w:rPr>
          <w:lang w:val="es-ES"/>
        </w:rPr>
        <w:t xml:space="preserve">La Oficina agradecerá a las administraciones cualquier comentario o sugerencia sobre la mejora del </w:t>
      </w:r>
      <w:r w:rsidRPr="00006610">
        <w:rPr>
          <w:i/>
          <w:iCs/>
          <w:lang w:val="es-ES"/>
        </w:rPr>
        <w:t>software</w:t>
      </w:r>
      <w:r w:rsidRPr="00006610">
        <w:rPr>
          <w:lang w:val="es-ES"/>
        </w:rPr>
        <w:t>, que pueden comunicarse al siguiente correo electrónico de contacto:</w:t>
      </w:r>
    </w:p>
    <w:p w14:paraId="29FC88F9" w14:textId="77777777" w:rsidR="00006610" w:rsidRPr="00006610" w:rsidRDefault="008C2310" w:rsidP="00006610">
      <w:pPr>
        <w:jc w:val="center"/>
        <w:rPr>
          <w:lang w:val="es-ES"/>
        </w:rPr>
      </w:pPr>
      <w:hyperlink r:id="rId10" w:history="1">
        <w:r w:rsidR="00006610" w:rsidRPr="00006610">
          <w:rPr>
            <w:rStyle w:val="Hyperlink"/>
            <w:lang w:val="es-ES"/>
          </w:rPr>
          <w:t>brsas@itu.int</w:t>
        </w:r>
      </w:hyperlink>
    </w:p>
    <w:p w14:paraId="581F7FB6" w14:textId="77777777" w:rsidR="00006610" w:rsidRPr="00006610" w:rsidRDefault="00006610" w:rsidP="00006610">
      <w:pPr>
        <w:rPr>
          <w:lang w:val="es-ES"/>
        </w:rPr>
      </w:pPr>
      <w:r w:rsidRPr="00006610">
        <w:rPr>
          <w:lang w:val="es-ES"/>
        </w:rPr>
        <w:t xml:space="preserve">La Oficina queda a su disposición a través de la dirección </w:t>
      </w:r>
      <w:hyperlink r:id="rId11" w:history="1">
        <w:r w:rsidRPr="00006610">
          <w:rPr>
            <w:rStyle w:val="Hyperlink"/>
            <w:lang w:val="es-ES"/>
          </w:rPr>
          <w:t>brmail@itu.int</w:t>
        </w:r>
      </w:hyperlink>
      <w:r w:rsidRPr="00006610">
        <w:rPr>
          <w:lang w:val="es-ES"/>
        </w:rPr>
        <w:t xml:space="preserve"> para cualquier aclaración o asistencia que necesite respecto de los asuntos tratados en la presente Carta Circular.</w:t>
      </w:r>
    </w:p>
    <w:p w14:paraId="6B52ADAE" w14:textId="44EFEC9E" w:rsidR="00031E64" w:rsidRDefault="001B3D4D" w:rsidP="008C2310">
      <w:pPr>
        <w:spacing w:before="1200"/>
        <w:jc w:val="left"/>
        <w:rPr>
          <w:szCs w:val="24"/>
          <w:lang w:val="es-ES"/>
        </w:rPr>
      </w:pPr>
      <w:bookmarkStart w:id="2" w:name="_GoBack"/>
      <w:r w:rsidRPr="00F84C0F">
        <w:rPr>
          <w:lang w:val="es-ES"/>
        </w:rPr>
        <w:t>Mario Maniewicz</w:t>
      </w:r>
      <w:bookmarkEnd w:id="2"/>
      <w:r w:rsidR="00E53DCE"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>Director</w:t>
      </w:r>
    </w:p>
    <w:p w14:paraId="3E89759A" w14:textId="77777777" w:rsidR="00006610" w:rsidRPr="00006610" w:rsidRDefault="00006610" w:rsidP="008C2310">
      <w:pPr>
        <w:spacing w:before="8520"/>
        <w:rPr>
          <w:b/>
          <w:sz w:val="18"/>
          <w:szCs w:val="18"/>
          <w:u w:val="single"/>
          <w:lang w:val="es-ES"/>
        </w:rPr>
      </w:pPr>
      <w:r w:rsidRPr="00006610">
        <w:rPr>
          <w:b/>
          <w:sz w:val="18"/>
          <w:szCs w:val="18"/>
          <w:u w:val="single"/>
          <w:lang w:val="es-ES"/>
        </w:rPr>
        <w:t>Distribución:</w:t>
      </w:r>
    </w:p>
    <w:p w14:paraId="3A716592" w14:textId="7A5ED5FD" w:rsidR="00006610" w:rsidRPr="00006610" w:rsidRDefault="00006610" w:rsidP="00006610">
      <w:pPr>
        <w:spacing w:before="80"/>
        <w:rPr>
          <w:sz w:val="18"/>
          <w:szCs w:val="18"/>
          <w:lang w:val="es-ES"/>
        </w:rPr>
      </w:pPr>
      <w:r w:rsidRPr="00006610">
        <w:rPr>
          <w:sz w:val="18"/>
          <w:szCs w:val="18"/>
          <w:lang w:val="es-ES"/>
        </w:rPr>
        <w:t>–</w:t>
      </w:r>
      <w:r w:rsidRPr="00006610">
        <w:rPr>
          <w:sz w:val="18"/>
          <w:szCs w:val="18"/>
          <w:lang w:val="es-ES"/>
        </w:rPr>
        <w:tab/>
        <w:t>Administraciones de los Estados Miembros de la UIT</w:t>
      </w:r>
    </w:p>
    <w:p w14:paraId="5DDDDD5A" w14:textId="7468FA7F" w:rsidR="00D239B4" w:rsidRPr="00006610" w:rsidRDefault="00006610" w:rsidP="00006610">
      <w:pPr>
        <w:spacing w:before="0"/>
        <w:rPr>
          <w:sz w:val="18"/>
          <w:szCs w:val="18"/>
          <w:lang w:val="es-ES"/>
        </w:rPr>
      </w:pPr>
      <w:r w:rsidRPr="00006610">
        <w:rPr>
          <w:sz w:val="18"/>
          <w:szCs w:val="18"/>
          <w:lang w:val="es-ES"/>
        </w:rPr>
        <w:t>–</w:t>
      </w:r>
      <w:r w:rsidRPr="00006610">
        <w:rPr>
          <w:sz w:val="18"/>
          <w:szCs w:val="18"/>
          <w:lang w:val="es-ES"/>
        </w:rPr>
        <w:tab/>
        <w:t>Miembros de la Junta del Reglamento de Radiocomunicaciones</w:t>
      </w:r>
    </w:p>
    <w:sectPr w:rsidR="00D239B4" w:rsidRPr="00006610" w:rsidSect="00031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0D1AF" w14:textId="77777777" w:rsidR="002B7EE0" w:rsidRDefault="002B7EE0">
      <w:r>
        <w:separator/>
      </w:r>
    </w:p>
  </w:endnote>
  <w:endnote w:type="continuationSeparator" w:id="0">
    <w:p w14:paraId="3EF402DE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457A1" w14:textId="0438458A" w:rsidR="00AF052B" w:rsidRPr="00F84C0F" w:rsidRDefault="00AF052B" w:rsidP="00F84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1D2CA" w14:textId="77777777" w:rsidR="00F84C0F" w:rsidRDefault="00F84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040E" w14:textId="0C372BB8" w:rsidR="00AF052B" w:rsidRPr="00AD3765" w:rsidRDefault="00AF052B" w:rsidP="00AF052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>Unión Internacional de Telecomunicaciones • Place des Nations •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 • Suiza</w:t>
    </w:r>
    <w:r w:rsidRPr="00AD3765">
      <w:rPr>
        <w:color w:val="4F81BD" w:themeColor="accent1"/>
        <w:sz w:val="18"/>
        <w:szCs w:val="18"/>
        <w:lang w:val="es-ES_tradnl"/>
      </w:rPr>
      <w:br/>
      <w:t>Tel</w:t>
    </w:r>
    <w:r w:rsidR="00006610">
      <w:rPr>
        <w:color w:val="4F81BD" w:themeColor="accent1"/>
        <w:sz w:val="18"/>
        <w:szCs w:val="18"/>
        <w:lang w:val="es-ES_tradnl"/>
      </w:rPr>
      <w:t>.</w:t>
    </w:r>
    <w:r w:rsidRPr="00AD3765">
      <w:rPr>
        <w:color w:val="4F81BD" w:themeColor="accent1"/>
        <w:sz w:val="18"/>
        <w:szCs w:val="18"/>
        <w:lang w:val="es-ES_tradnl"/>
      </w:rPr>
      <w:t xml:space="preserve">: +41 22 730 5111 • Correo-e: </w:t>
    </w:r>
    <w:hyperlink r:id="rId1" w:history="1">
      <w:r w:rsidRPr="00AD3765">
        <w:rPr>
          <w:color w:val="4F81BD" w:themeColor="accent1"/>
          <w:sz w:val="18"/>
          <w:szCs w:val="18"/>
          <w:u w:val="single"/>
          <w:lang w:val="es-ES_tradnl"/>
        </w:rPr>
        <w:t>itumail@itu.int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r w:rsidR="008C2310">
      <w:fldChar w:fldCharType="begin"/>
    </w:r>
    <w:r w:rsidR="008C2310" w:rsidRPr="008C2310">
      <w:rPr>
        <w:lang w:val="fr-CH"/>
      </w:rPr>
      <w:instrText xml:space="preserve"> HYPERLINK "http://www.itu.int/en/pages/default.aspx" </w:instrText>
    </w:r>
    <w:r w:rsidR="008C2310">
      <w:fldChar w:fldCharType="separate"/>
    </w:r>
    <w:r w:rsidRPr="00AD3765">
      <w:rPr>
        <w:color w:val="4F81BD" w:themeColor="accent1"/>
        <w:sz w:val="18"/>
        <w:szCs w:val="18"/>
        <w:lang w:val="es-ES_tradnl"/>
      </w:rPr>
      <w:t>www.itu.int</w:t>
    </w:r>
    <w:r w:rsidR="008C2310">
      <w:rPr>
        <w:color w:val="4F81BD" w:themeColor="accent1"/>
        <w:sz w:val="18"/>
        <w:szCs w:val="18"/>
        <w:lang w:val="es-ES_tradnl"/>
      </w:rPr>
      <w:fldChar w:fldCharType="end"/>
    </w:r>
    <w:r w:rsidRPr="00AD3765">
      <w:rPr>
        <w:color w:val="4F81BD" w:themeColor="accent1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AA53" w14:textId="77777777" w:rsidR="002B7EE0" w:rsidRDefault="002B7EE0">
      <w:r>
        <w:t>____________________</w:t>
      </w:r>
    </w:p>
  </w:footnote>
  <w:footnote w:type="continuationSeparator" w:id="0">
    <w:p w14:paraId="253584B3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F478" w14:textId="134B86B4" w:rsidR="00E915AF" w:rsidRPr="00D239B4" w:rsidRDefault="00D97EF5" w:rsidP="000066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6D5E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  <w:gridCol w:w="5131"/>
    </w:tblGrid>
    <w:tr w:rsidR="001B3D4D" w14:paraId="5A7D20CF" w14:textId="77777777" w:rsidTr="002B7EE0">
      <w:tc>
        <w:tcPr>
          <w:tcW w:w="9862" w:type="dxa"/>
          <w:tcMar>
            <w:left w:w="0" w:type="dxa"/>
          </w:tcMar>
        </w:tcPr>
        <w:p w14:paraId="255312DD" w14:textId="77777777" w:rsidR="001B3D4D" w:rsidRDefault="002B7EE0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4289E" wp14:editId="3347359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7F076A12" w14:textId="77777777" w:rsidR="001B3D4D" w:rsidRDefault="001B3D4D" w:rsidP="001B3D4D">
          <w:pPr>
            <w:pStyle w:val="Header"/>
            <w:spacing w:before="240" w:line="360" w:lineRule="auto"/>
            <w:jc w:val="right"/>
          </w:pPr>
        </w:p>
      </w:tc>
    </w:tr>
  </w:tbl>
  <w:p w14:paraId="0D60912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61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2E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6D72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2953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340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3C49"/>
    <w:rsid w:val="006A518B"/>
    <w:rsid w:val="006B0590"/>
    <w:rsid w:val="006B49DA"/>
    <w:rsid w:val="006C53F8"/>
    <w:rsid w:val="006C7CDE"/>
    <w:rsid w:val="006F74E2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B82"/>
    <w:rsid w:val="00854131"/>
    <w:rsid w:val="0085652D"/>
    <w:rsid w:val="0087694B"/>
    <w:rsid w:val="00880F4D"/>
    <w:rsid w:val="008B35A3"/>
    <w:rsid w:val="008B37E1"/>
    <w:rsid w:val="008B45F8"/>
    <w:rsid w:val="008C2310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D3765"/>
    <w:rsid w:val="00AE2D88"/>
    <w:rsid w:val="00AE6F6F"/>
    <w:rsid w:val="00AF052B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72C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84C0F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B3934A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66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06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oftware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sa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oftware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EDA1-5334-4A8E-A2E9-9817CB2E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518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8</cp:revision>
  <cp:lastPrinted>2013-03-08T10:15:00Z</cp:lastPrinted>
  <dcterms:created xsi:type="dcterms:W3CDTF">2021-05-11T06:47:00Z</dcterms:created>
  <dcterms:modified xsi:type="dcterms:W3CDTF">2021-05-14T08:18:00Z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