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5742D2BC" w14:textId="77777777" w:rsidTr="00153E23">
        <w:tc>
          <w:tcPr>
            <w:tcW w:w="5000" w:type="pct"/>
            <w:gridSpan w:val="3"/>
            <w:shd w:val="clear" w:color="auto" w:fill="auto"/>
          </w:tcPr>
          <w:p w14:paraId="1887B6EB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29810FAB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6A3D94" w14:paraId="65284A62" w14:textId="77777777" w:rsidTr="00153E23">
        <w:tc>
          <w:tcPr>
            <w:tcW w:w="2707" w:type="pct"/>
            <w:gridSpan w:val="2"/>
            <w:shd w:val="clear" w:color="auto" w:fill="auto"/>
          </w:tcPr>
          <w:p w14:paraId="399B584E" w14:textId="7ED3B537" w:rsidR="000F7BBE" w:rsidRPr="006A3D94" w:rsidRDefault="000F7BBE" w:rsidP="006A3D94">
            <w:pPr>
              <w:spacing w:before="80" w:line="300" w:lineRule="exact"/>
              <w:rPr>
                <w:position w:val="2"/>
                <w:lang w:bidi="ar-EG"/>
              </w:rPr>
            </w:pPr>
            <w:r w:rsidRPr="006A3D94">
              <w:rPr>
                <w:rFonts w:hint="cs"/>
                <w:position w:val="2"/>
                <w:rtl/>
                <w:lang w:bidi="ar-AE"/>
              </w:rPr>
              <w:t>الرسالة المعممة</w:t>
            </w:r>
          </w:p>
          <w:p w14:paraId="1797724B" w14:textId="09E78626" w:rsidR="000F7BBE" w:rsidRPr="006A3D94" w:rsidRDefault="00FC09E8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6A3D94">
              <w:rPr>
                <w:b/>
                <w:bCs/>
                <w:position w:val="2"/>
                <w:lang w:val="en-GB" w:bidi="ar-EG"/>
              </w:rPr>
              <w:t>CR</w:t>
            </w:r>
            <w:r w:rsidR="006A3D94" w:rsidRPr="006A3D94">
              <w:rPr>
                <w:b/>
                <w:bCs/>
                <w:position w:val="2"/>
                <w:lang w:bidi="ar-EG"/>
              </w:rPr>
              <w:t>/479</w:t>
            </w:r>
          </w:p>
        </w:tc>
        <w:tc>
          <w:tcPr>
            <w:tcW w:w="2293" w:type="pct"/>
            <w:shd w:val="clear" w:color="auto" w:fill="auto"/>
          </w:tcPr>
          <w:p w14:paraId="28086570" w14:textId="73870190" w:rsidR="000F7BBE" w:rsidRPr="006A3D94" w:rsidRDefault="006A3D94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6A3D94">
              <w:rPr>
                <w:rFonts w:hint="cs"/>
                <w:position w:val="2"/>
                <w:rtl/>
                <w:lang w:val="fr-FR" w:bidi="ar-EG"/>
              </w:rPr>
              <w:t>1 نوفمبر 2021</w:t>
            </w:r>
          </w:p>
        </w:tc>
      </w:tr>
      <w:tr w:rsidR="000F7BBE" w:rsidRPr="006A3D94" w14:paraId="6F535635" w14:textId="77777777" w:rsidTr="00153E23">
        <w:tc>
          <w:tcPr>
            <w:tcW w:w="5000" w:type="pct"/>
            <w:gridSpan w:val="3"/>
            <w:shd w:val="clear" w:color="auto" w:fill="auto"/>
          </w:tcPr>
          <w:p w14:paraId="55BA837E" w14:textId="77777777" w:rsidR="000F7BBE" w:rsidRPr="006A3D94" w:rsidRDefault="000F7BBE" w:rsidP="00CB12CE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6A3D94" w14:paraId="23952E0C" w14:textId="77777777" w:rsidTr="00153E23">
        <w:tc>
          <w:tcPr>
            <w:tcW w:w="5000" w:type="pct"/>
            <w:gridSpan w:val="3"/>
            <w:shd w:val="clear" w:color="auto" w:fill="auto"/>
          </w:tcPr>
          <w:p w14:paraId="6B1F1C7F" w14:textId="77777777" w:rsidR="000F7BBE" w:rsidRPr="006A3D94" w:rsidRDefault="000F7BBE" w:rsidP="00CB12CE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6A3D94" w14:paraId="7E70013C" w14:textId="77777777" w:rsidTr="00153E23">
        <w:tc>
          <w:tcPr>
            <w:tcW w:w="5000" w:type="pct"/>
            <w:gridSpan w:val="3"/>
            <w:shd w:val="clear" w:color="auto" w:fill="auto"/>
          </w:tcPr>
          <w:p w14:paraId="2D144A38" w14:textId="5CE1C0C2" w:rsidR="000F7BBE" w:rsidRPr="006A3D94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6A3D94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 w:rsidRPr="006A3D94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</w:p>
        </w:tc>
      </w:tr>
      <w:tr w:rsidR="000F7BBE" w:rsidRPr="006A3D94" w14:paraId="6A18B001" w14:textId="77777777" w:rsidTr="00153E23">
        <w:tc>
          <w:tcPr>
            <w:tcW w:w="5000" w:type="pct"/>
            <w:gridSpan w:val="3"/>
            <w:shd w:val="clear" w:color="auto" w:fill="auto"/>
          </w:tcPr>
          <w:p w14:paraId="29EC5229" w14:textId="77777777" w:rsidR="000F7BBE" w:rsidRPr="006A3D94" w:rsidRDefault="000F7BBE" w:rsidP="00CB12CE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6A3D94" w14:paraId="38FC7491" w14:textId="77777777" w:rsidTr="00153E23">
        <w:tc>
          <w:tcPr>
            <w:tcW w:w="5000" w:type="pct"/>
            <w:gridSpan w:val="3"/>
            <w:shd w:val="clear" w:color="auto" w:fill="auto"/>
          </w:tcPr>
          <w:p w14:paraId="502510A5" w14:textId="77777777" w:rsidR="000F7BBE" w:rsidRPr="006A3D94" w:rsidRDefault="000F7BBE" w:rsidP="00CB12CE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7156B4" w14:paraId="21AD9BEE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4810A45C" w14:textId="77777777" w:rsidR="000F7BBE" w:rsidRPr="006A3D94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6A3D94">
              <w:rPr>
                <w:position w:val="2"/>
                <w:rtl/>
              </w:rPr>
              <w:t>الموضوع</w:t>
            </w:r>
            <w:r w:rsidRPr="006A3D94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417E346A" w14:textId="7E20A7B4" w:rsidR="000F7BBE" w:rsidRPr="007156B4" w:rsidRDefault="006A3D94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val="fr-FR" w:bidi="ar-EG"/>
              </w:rPr>
            </w:pPr>
            <w:r w:rsidRPr="006A3D94">
              <w:rPr>
                <w:b/>
                <w:bCs/>
                <w:rtl/>
                <w:lang w:bidi="ar-EG"/>
              </w:rPr>
              <w:t>القواعد الإجرائية التي وافقت عليها لجنة لوائح الراديو</w:t>
            </w:r>
          </w:p>
        </w:tc>
      </w:tr>
      <w:tr w:rsidR="00FC09E8" w:rsidRPr="007156B4" w14:paraId="369B6960" w14:textId="77777777" w:rsidTr="00D306DB">
        <w:trPr>
          <w:trHeight w:val="93"/>
        </w:trPr>
        <w:tc>
          <w:tcPr>
            <w:tcW w:w="699" w:type="pct"/>
            <w:shd w:val="clear" w:color="auto" w:fill="auto"/>
          </w:tcPr>
          <w:p w14:paraId="1C43AFA3" w14:textId="77777777" w:rsidR="00FC09E8" w:rsidRPr="006A3D94" w:rsidRDefault="00FC09E8" w:rsidP="00CB12CE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6BB5C034" w14:textId="77777777" w:rsidR="00FC09E8" w:rsidRPr="00D306DB" w:rsidRDefault="00FC09E8" w:rsidP="00CB12CE">
            <w:pPr>
              <w:tabs>
                <w:tab w:val="clear" w:pos="794"/>
                <w:tab w:val="left" w:pos="385"/>
              </w:tabs>
              <w:spacing w:before="0" w:line="240" w:lineRule="exact"/>
              <w:ind w:left="385" w:hanging="385"/>
              <w:rPr>
                <w:position w:val="2"/>
                <w:rtl/>
                <w:lang w:bidi="ar-SY"/>
              </w:rPr>
            </w:pPr>
          </w:p>
        </w:tc>
      </w:tr>
    </w:tbl>
    <w:p w14:paraId="12026F33" w14:textId="14AD39E6" w:rsidR="006A3D94" w:rsidRPr="007156B4" w:rsidRDefault="006A3D94" w:rsidP="00AD597E">
      <w:pPr>
        <w:spacing w:before="240" w:line="240" w:lineRule="auto"/>
        <w:rPr>
          <w:lang w:val="fr-FR" w:bidi="ar-EG"/>
        </w:rPr>
      </w:pPr>
      <w:r w:rsidRPr="00D306DB">
        <w:rPr>
          <w:rtl/>
        </w:rPr>
        <w:t xml:space="preserve">عقب المؤتمر العالمي للاتصالات الراديوية لعام </w:t>
      </w:r>
      <w:r w:rsidRPr="007156B4">
        <w:rPr>
          <w:lang w:val="fr-FR" w:bidi="ar-EG"/>
        </w:rPr>
        <w:t>2019</w:t>
      </w:r>
      <w:r w:rsidRPr="00D306DB">
        <w:rPr>
          <w:rtl/>
          <w:lang w:bidi="ar-EG"/>
        </w:rPr>
        <w:t>، نُشرت طبعة </w:t>
      </w:r>
      <w:r w:rsidRPr="007156B4">
        <w:rPr>
          <w:lang w:val="fr-FR" w:bidi="ar-EG"/>
        </w:rPr>
        <w:t>2021</w:t>
      </w:r>
      <w:r w:rsidRPr="00D306DB">
        <w:rPr>
          <w:rtl/>
          <w:lang w:bidi="ar-EG"/>
        </w:rPr>
        <w:t xml:space="preserve"> من القواعد الإجرائية. وتضم الطبعة الجديدة جميع </w:t>
      </w:r>
      <w:proofErr w:type="spellStart"/>
      <w:r w:rsidRPr="00D306DB">
        <w:rPr>
          <w:rtl/>
          <w:lang w:bidi="ar-EG"/>
        </w:rPr>
        <w:t>التنقيحات</w:t>
      </w:r>
      <w:proofErr w:type="spellEnd"/>
      <w:r w:rsidRPr="00D306DB">
        <w:rPr>
          <w:rtl/>
          <w:lang w:bidi="ar-EG"/>
        </w:rPr>
        <w:t xml:space="preserve"> المستجدة شاملةً القواعد</w:t>
      </w:r>
      <w:r w:rsidRPr="00D306DB">
        <w:rPr>
          <w:rtl/>
        </w:rPr>
        <w:t xml:space="preserve"> الإجرائية</w:t>
      </w:r>
      <w:r w:rsidRPr="00D306DB">
        <w:rPr>
          <w:rtl/>
          <w:lang w:bidi="ar-EG"/>
        </w:rPr>
        <w:t xml:space="preserve"> التي تمت الموافقة عليها والمدرجة في ملحقات الرسالة المعممة </w:t>
      </w:r>
      <w:hyperlink r:id="rId8" w:history="1">
        <w:r w:rsidR="00D306DB" w:rsidRPr="007156B4">
          <w:rPr>
            <w:rStyle w:val="Hyperlink"/>
            <w:lang w:val="fr-FR"/>
          </w:rPr>
          <w:t>CR/471</w:t>
        </w:r>
      </w:hyperlink>
      <w:r w:rsidRPr="00D306DB">
        <w:rPr>
          <w:rtl/>
          <w:lang w:bidi="ar-EG"/>
        </w:rPr>
        <w:t xml:space="preserve"> المؤرخة 30 نوفمبر 2020.</w:t>
      </w:r>
    </w:p>
    <w:p w14:paraId="0270A8D6" w14:textId="2C09E4DF" w:rsidR="006A3D94" w:rsidRPr="006A3D94" w:rsidRDefault="006A3D94" w:rsidP="00AD597E">
      <w:pPr>
        <w:spacing w:line="240" w:lineRule="auto"/>
        <w:rPr>
          <w:spacing w:val="2"/>
          <w:rtl/>
          <w:lang w:bidi="ar-EG"/>
        </w:rPr>
      </w:pPr>
      <w:r w:rsidRPr="006A3D94">
        <w:rPr>
          <w:spacing w:val="2"/>
          <w:rtl/>
          <w:lang w:bidi="ar-EG"/>
        </w:rPr>
        <w:t xml:space="preserve">وعملاً بأحكام الرقمين </w:t>
      </w:r>
      <w:r w:rsidRPr="007156B4">
        <w:rPr>
          <w:b/>
          <w:bCs/>
          <w:spacing w:val="2"/>
          <w:lang w:val="fr-FR" w:bidi="ar-EG"/>
        </w:rPr>
        <w:t>12.13</w:t>
      </w:r>
      <w:r w:rsidRPr="006A3D94">
        <w:rPr>
          <w:spacing w:val="2"/>
          <w:rtl/>
          <w:lang w:bidi="ar-SY"/>
        </w:rPr>
        <w:t xml:space="preserve"> و</w:t>
      </w:r>
      <w:r w:rsidRPr="007156B4">
        <w:rPr>
          <w:b/>
          <w:bCs/>
          <w:spacing w:val="2"/>
          <w:lang w:val="fr-FR" w:bidi="ar-EG"/>
        </w:rPr>
        <w:t>14.13</w:t>
      </w:r>
      <w:r w:rsidRPr="006A3D94">
        <w:rPr>
          <w:spacing w:val="2"/>
          <w:rtl/>
          <w:lang w:bidi="ar-SY"/>
        </w:rPr>
        <w:t xml:space="preserve"> من لوائح الراديو، وافقت لجنة لوائح الراديو </w:t>
      </w:r>
      <w:r w:rsidR="00D306DB" w:rsidRPr="007156B4">
        <w:rPr>
          <w:spacing w:val="2"/>
          <w:lang w:val="fr-FR" w:bidi="ar-EG"/>
        </w:rPr>
        <w:t>(</w:t>
      </w:r>
      <w:r w:rsidRPr="007156B4">
        <w:rPr>
          <w:spacing w:val="2"/>
          <w:lang w:val="fr-FR" w:bidi="ar-EG"/>
        </w:rPr>
        <w:t>RRB</w:t>
      </w:r>
      <w:r w:rsidR="00D306DB" w:rsidRPr="007156B4">
        <w:rPr>
          <w:spacing w:val="2"/>
          <w:lang w:val="fr-FR" w:bidi="ar-EG"/>
        </w:rPr>
        <w:t>)</w:t>
      </w:r>
      <w:r w:rsidRPr="006A3D94">
        <w:rPr>
          <w:spacing w:val="2"/>
          <w:rtl/>
          <w:lang w:bidi="ar-SY"/>
        </w:rPr>
        <w:t xml:space="preserve"> في اجتماعها </w:t>
      </w:r>
      <w:r w:rsidRPr="006A3D94">
        <w:rPr>
          <w:rFonts w:hint="cs"/>
          <w:spacing w:val="2"/>
          <w:rtl/>
          <w:lang w:bidi="ar-SY"/>
        </w:rPr>
        <w:t xml:space="preserve">الثامن </w:t>
      </w:r>
      <w:r w:rsidRPr="006A3D94">
        <w:rPr>
          <w:spacing w:val="2"/>
          <w:rtl/>
          <w:lang w:bidi="ar-SY"/>
        </w:rPr>
        <w:t>والثمانين (</w:t>
      </w:r>
      <w:r w:rsidRPr="006A3D94">
        <w:rPr>
          <w:rFonts w:hint="cs"/>
          <w:spacing w:val="2"/>
          <w:rtl/>
          <w:lang w:bidi="ar-EG"/>
        </w:rPr>
        <w:t>11</w:t>
      </w:r>
      <w:r w:rsidRPr="006A3D94">
        <w:rPr>
          <w:spacing w:val="2"/>
          <w:rtl/>
          <w:lang w:bidi="ar-EG"/>
        </w:rPr>
        <w:noBreakHyphen/>
      </w:r>
      <w:r w:rsidRPr="006A3D94">
        <w:rPr>
          <w:rFonts w:hint="cs"/>
          <w:spacing w:val="2"/>
          <w:rtl/>
          <w:lang w:bidi="ar-EG"/>
        </w:rPr>
        <w:t>15 أكتوبر 2021</w:t>
      </w:r>
      <w:r w:rsidRPr="006A3D94">
        <w:rPr>
          <w:spacing w:val="2"/>
          <w:rtl/>
          <w:lang w:bidi="ar-SY"/>
        </w:rPr>
        <w:t xml:space="preserve">) على إدخال تعديلات على القواعد الإجرائية (طبعة عام </w:t>
      </w:r>
      <w:r w:rsidRPr="006A3D94">
        <w:rPr>
          <w:rFonts w:hint="cs"/>
          <w:spacing w:val="2"/>
          <w:rtl/>
          <w:lang w:bidi="ar-EG"/>
        </w:rPr>
        <w:t>2021</w:t>
      </w:r>
      <w:r w:rsidRPr="006A3D94">
        <w:rPr>
          <w:spacing w:val="2"/>
          <w:rtl/>
          <w:lang w:bidi="ar-SY"/>
        </w:rPr>
        <w:t>، التحديث </w:t>
      </w:r>
      <w:r w:rsidRPr="006A3D94">
        <w:rPr>
          <w:rFonts w:hint="cs"/>
          <w:spacing w:val="2"/>
          <w:rtl/>
          <w:lang w:bidi="ar-EG"/>
        </w:rPr>
        <w:t>1</w:t>
      </w:r>
      <w:r w:rsidRPr="006A3D94">
        <w:rPr>
          <w:spacing w:val="2"/>
          <w:rtl/>
          <w:lang w:bidi="ar-SY"/>
        </w:rPr>
        <w:t>).</w:t>
      </w:r>
    </w:p>
    <w:p w14:paraId="3709BAC9" w14:textId="1126B13D" w:rsidR="006A3D94" w:rsidRPr="006A3D94" w:rsidRDefault="006A3D94" w:rsidP="00AD597E">
      <w:pPr>
        <w:spacing w:line="240" w:lineRule="auto"/>
        <w:rPr>
          <w:rtl/>
          <w:lang w:bidi="ar-EG"/>
        </w:rPr>
      </w:pPr>
      <w:r w:rsidRPr="006A3D94">
        <w:rPr>
          <w:rtl/>
          <w:lang w:bidi="ar-SY"/>
        </w:rPr>
        <w:t>وتشمل</w:t>
      </w:r>
      <w:r w:rsidRPr="006A3D94">
        <w:rPr>
          <w:rtl/>
          <w:lang w:bidi="ar-EG"/>
        </w:rPr>
        <w:t xml:space="preserve"> هذه</w:t>
      </w:r>
      <w:r w:rsidRPr="006A3D94">
        <w:rPr>
          <w:rtl/>
          <w:lang w:bidi="ar-SY"/>
        </w:rPr>
        <w:t xml:space="preserve"> التعديلات قواعد إجرائية معدَّلة </w:t>
      </w:r>
      <w:r w:rsidR="00EE4AF8">
        <w:rPr>
          <w:rFonts w:hint="cs"/>
          <w:rtl/>
          <w:lang w:bidi="ar-SY"/>
        </w:rPr>
        <w:t xml:space="preserve">وجديدة </w:t>
      </w:r>
      <w:r w:rsidRPr="006A3D94">
        <w:rPr>
          <w:rtl/>
          <w:lang w:bidi="ar-SY"/>
        </w:rPr>
        <w:t xml:space="preserve">ترد في الملحق </w:t>
      </w:r>
      <w:r w:rsidR="00DE527D">
        <w:rPr>
          <w:rFonts w:hint="cs"/>
          <w:rtl/>
          <w:lang w:bidi="ar-SY"/>
        </w:rPr>
        <w:t>أدناه</w:t>
      </w:r>
      <w:r w:rsidRPr="006A3D94">
        <w:rPr>
          <w:rtl/>
          <w:lang w:bidi="ar-SY"/>
        </w:rPr>
        <w:t>، وتتعلق بطبعة عام </w:t>
      </w:r>
      <w:r w:rsidR="00EE4AF8">
        <w:rPr>
          <w:lang w:bidi="ar-EG"/>
        </w:rPr>
        <w:t>2021</w:t>
      </w:r>
      <w:r w:rsidRPr="006A3D94">
        <w:rPr>
          <w:rtl/>
          <w:lang w:bidi="ar-SY"/>
        </w:rPr>
        <w:t xml:space="preserve"> من القواعد الإجرائية. </w:t>
      </w:r>
      <w:r w:rsidR="00126654">
        <w:rPr>
          <w:rFonts w:hint="cs"/>
          <w:rtl/>
          <w:lang w:bidi="ar-EG"/>
        </w:rPr>
        <w:t>و</w:t>
      </w:r>
      <w:r w:rsidR="00EE4AF8">
        <w:rPr>
          <w:rFonts w:hint="cs"/>
          <w:rtl/>
          <w:lang w:bidi="ar-EG"/>
        </w:rPr>
        <w:t xml:space="preserve">القواعد الإجرائية </w:t>
      </w:r>
      <w:r w:rsidR="00DE527D">
        <w:rPr>
          <w:rFonts w:hint="cs"/>
          <w:rtl/>
          <w:lang w:bidi="ar-EG"/>
        </w:rPr>
        <w:t>المتعلقة</w:t>
      </w:r>
      <w:r w:rsidR="00EE4AF8">
        <w:rPr>
          <w:rFonts w:hint="cs"/>
          <w:rtl/>
          <w:lang w:bidi="ar-EG"/>
        </w:rPr>
        <w:t xml:space="preserve"> </w:t>
      </w:r>
      <w:r w:rsidR="00DE527D">
        <w:rPr>
          <w:rFonts w:hint="cs"/>
          <w:rtl/>
          <w:lang w:bidi="ar-EG"/>
        </w:rPr>
        <w:t>ب</w:t>
      </w:r>
      <w:r w:rsidR="00EE4AF8">
        <w:rPr>
          <w:rFonts w:hint="cs"/>
          <w:rtl/>
          <w:lang w:bidi="ar-EG"/>
        </w:rPr>
        <w:t xml:space="preserve">الأرقام </w:t>
      </w:r>
      <w:r w:rsidR="00EE4AF8" w:rsidRPr="00EE4AF8">
        <w:rPr>
          <w:b/>
          <w:bCs/>
          <w:lang w:bidi="ar-EG"/>
        </w:rPr>
        <w:t>418C.5</w:t>
      </w:r>
      <w:r w:rsidR="00EE4AF8">
        <w:rPr>
          <w:rFonts w:hint="cs"/>
          <w:rtl/>
          <w:lang w:bidi="ar-EG"/>
        </w:rPr>
        <w:t xml:space="preserve"> و</w:t>
      </w:r>
      <w:r w:rsidR="00EE4AF8" w:rsidRPr="00EE4AF8">
        <w:rPr>
          <w:b/>
          <w:bCs/>
          <w:lang w:bidi="ar-EG"/>
        </w:rPr>
        <w:t>485.5</w:t>
      </w:r>
      <w:r w:rsidR="00EE4AF8">
        <w:rPr>
          <w:rFonts w:hint="cs"/>
          <w:rtl/>
          <w:lang w:bidi="ar-EG"/>
        </w:rPr>
        <w:t xml:space="preserve"> و</w:t>
      </w:r>
      <w:r w:rsidR="00EE4AF8" w:rsidRPr="00EE4AF8">
        <w:rPr>
          <w:b/>
          <w:bCs/>
          <w:lang w:bidi="ar-EG"/>
        </w:rPr>
        <w:t>31.11</w:t>
      </w:r>
      <w:r w:rsidR="00EE4AF8">
        <w:rPr>
          <w:rFonts w:hint="cs"/>
          <w:rtl/>
          <w:lang w:bidi="ar-EG"/>
        </w:rPr>
        <w:t xml:space="preserve"> و</w:t>
      </w:r>
      <w:r w:rsidR="00EE4AF8" w:rsidRPr="00EE4AF8">
        <w:rPr>
          <w:b/>
          <w:bCs/>
          <w:lang w:bidi="ar-EG"/>
        </w:rPr>
        <w:t>11A.9</w:t>
      </w:r>
      <w:r w:rsidR="00EE4AF8">
        <w:rPr>
          <w:rFonts w:hint="cs"/>
          <w:rtl/>
          <w:lang w:bidi="ar-EG"/>
        </w:rPr>
        <w:t xml:space="preserve"> والملحق </w:t>
      </w:r>
      <w:r w:rsidR="00EE4AF8">
        <w:rPr>
          <w:lang w:bidi="ar-EG"/>
        </w:rPr>
        <w:t>2</w:t>
      </w:r>
      <w:r w:rsidR="00EE4AF8">
        <w:rPr>
          <w:rFonts w:hint="cs"/>
          <w:rtl/>
          <w:lang w:bidi="ar-EG"/>
        </w:rPr>
        <w:t xml:space="preserve"> بالتذييل </w:t>
      </w:r>
      <w:r w:rsidR="00EE4AF8" w:rsidRPr="00EE4AF8">
        <w:rPr>
          <w:b/>
          <w:bCs/>
          <w:lang w:bidi="ar-EG"/>
        </w:rPr>
        <w:t>4</w:t>
      </w:r>
      <w:r w:rsidR="00EE4AF8">
        <w:rPr>
          <w:rFonts w:hint="cs"/>
          <w:rtl/>
          <w:lang w:bidi="ar-EG"/>
        </w:rPr>
        <w:t xml:space="preserve"> و</w:t>
      </w:r>
      <w:r w:rsidR="00EE4AF8">
        <w:rPr>
          <w:color w:val="000000"/>
          <w:rtl/>
        </w:rPr>
        <w:t>قبول بطاقات التبليغ المطبقة عموماً على جميع التخصيصات المبلغ عنها والمقدمة إلى مكتب الاتصالات الراديوية عملاً بالإجراءات التنظيمية للاتصالات الراديوية</w:t>
      </w:r>
      <w:r w:rsidR="00EE4AF8">
        <w:rPr>
          <w:rFonts w:hint="cs"/>
          <w:rtl/>
          <w:lang w:bidi="ar-EG"/>
        </w:rPr>
        <w:t xml:space="preserve"> والقرار </w:t>
      </w:r>
      <w:r w:rsidR="00EE4AF8" w:rsidRPr="00126654">
        <w:rPr>
          <w:b/>
          <w:bCs/>
          <w:lang w:bidi="ar-EG"/>
        </w:rPr>
        <w:t>49 (Rev.WRC-15)</w:t>
      </w:r>
      <w:r w:rsidR="00EE4AF8">
        <w:rPr>
          <w:rFonts w:hint="cs"/>
          <w:rtl/>
          <w:lang w:bidi="ar-EG"/>
        </w:rPr>
        <w:t xml:space="preserve"> و</w:t>
      </w:r>
      <w:r w:rsidR="00EE4AF8">
        <w:rPr>
          <w:rFonts w:hint="cs"/>
          <w:color w:val="000000"/>
          <w:rtl/>
          <w:lang w:bidi="ar-EG"/>
        </w:rPr>
        <w:t xml:space="preserve">القواعد </w:t>
      </w:r>
      <w:r w:rsidR="00857299">
        <w:rPr>
          <w:rFonts w:hint="cs"/>
          <w:color w:val="000000"/>
          <w:rtl/>
          <w:lang w:bidi="ar-EG"/>
        </w:rPr>
        <w:t>الإجرائية</w:t>
      </w:r>
      <w:r w:rsidR="00EE4AF8">
        <w:rPr>
          <w:color w:val="000000"/>
          <w:rtl/>
        </w:rPr>
        <w:t xml:space="preserve"> </w:t>
      </w:r>
      <w:r w:rsidR="00DE527D">
        <w:rPr>
          <w:rFonts w:hint="cs"/>
          <w:color w:val="000000"/>
          <w:rtl/>
        </w:rPr>
        <w:t>الناتجة عن</w:t>
      </w:r>
      <w:r w:rsidR="00EE4AF8">
        <w:rPr>
          <w:color w:val="000000"/>
          <w:rtl/>
        </w:rPr>
        <w:t xml:space="preserve"> قرارات مؤتمرات عالمية سابقة للاتصالات الراديوية </w:t>
      </w:r>
      <w:r w:rsidR="00DE527D">
        <w:rPr>
          <w:rFonts w:hint="cs"/>
          <w:color w:val="000000"/>
          <w:rtl/>
        </w:rPr>
        <w:t xml:space="preserve">والتي </w:t>
      </w:r>
      <w:r w:rsidR="00EE4AF8">
        <w:rPr>
          <w:color w:val="000000"/>
          <w:rtl/>
        </w:rPr>
        <w:t>تتضمن نظر اللجنة في طلبات مقدمة من الإدارات المبلغة لتمديد المهل التنظيمية</w:t>
      </w:r>
      <w:r w:rsidR="005F3798">
        <w:rPr>
          <w:rFonts w:hint="cs"/>
          <w:color w:val="000000"/>
          <w:rtl/>
        </w:rPr>
        <w:t xml:space="preserve"> وال</w:t>
      </w:r>
      <w:r w:rsidR="005F3798">
        <w:rPr>
          <w:rFonts w:hint="cs"/>
          <w:rtl/>
          <w:lang w:bidi="ar-EG"/>
        </w:rPr>
        <w:t xml:space="preserve">قواعد التي تتعلق بتمديد المهلة التنظيمية لوضع </w:t>
      </w:r>
      <w:r w:rsidR="005F3798">
        <w:rPr>
          <w:color w:val="000000"/>
          <w:rtl/>
        </w:rPr>
        <w:t>تخصيصات تردد</w:t>
      </w:r>
      <w:r w:rsidR="00DE527D">
        <w:rPr>
          <w:rFonts w:hint="cs"/>
          <w:color w:val="000000"/>
          <w:rtl/>
        </w:rPr>
        <w:t>ات</w:t>
      </w:r>
      <w:r w:rsidR="005F3798">
        <w:rPr>
          <w:color w:val="000000"/>
          <w:rtl/>
        </w:rPr>
        <w:t xml:space="preserve"> </w:t>
      </w:r>
      <w:proofErr w:type="spellStart"/>
      <w:r w:rsidR="005F3798">
        <w:rPr>
          <w:color w:val="000000"/>
          <w:rtl/>
        </w:rPr>
        <w:t>ساتلية</w:t>
      </w:r>
      <w:proofErr w:type="spellEnd"/>
      <w:r w:rsidR="005F3798">
        <w:rPr>
          <w:color w:val="000000"/>
          <w:rtl/>
        </w:rPr>
        <w:t xml:space="preserve"> في الخدمة</w:t>
      </w:r>
      <w:r w:rsidR="005F3798">
        <w:rPr>
          <w:rFonts w:hint="cs"/>
          <w:rtl/>
          <w:lang w:bidi="ar-EG"/>
        </w:rPr>
        <w:t xml:space="preserve"> والترتيبات الداخلية وأساليب عمل لجنة لوائح الراديو</w:t>
      </w:r>
      <w:r w:rsidR="00DE527D">
        <w:rPr>
          <w:rFonts w:hint="cs"/>
          <w:rtl/>
          <w:lang w:bidi="ar-EG"/>
        </w:rPr>
        <w:t>،</w:t>
      </w:r>
      <w:r w:rsidR="00126654">
        <w:rPr>
          <w:rFonts w:hint="cs"/>
          <w:rtl/>
          <w:lang w:bidi="ar-EG"/>
        </w:rPr>
        <w:t xml:space="preserve"> </w:t>
      </w:r>
      <w:r w:rsidRPr="006A3D94">
        <w:rPr>
          <w:rtl/>
        </w:rPr>
        <w:t xml:space="preserve">تدخل </w:t>
      </w:r>
      <w:r w:rsidR="00DE527D">
        <w:rPr>
          <w:rFonts w:hint="cs"/>
          <w:rtl/>
        </w:rPr>
        <w:t xml:space="preserve">جميعها </w:t>
      </w:r>
      <w:r w:rsidRPr="006A3D94">
        <w:rPr>
          <w:rtl/>
        </w:rPr>
        <w:t xml:space="preserve">حيز النفاذ في </w:t>
      </w:r>
      <w:r w:rsidRPr="006A3D94">
        <w:rPr>
          <w:rFonts w:hint="cs"/>
          <w:rtl/>
        </w:rPr>
        <w:t>15</w:t>
      </w:r>
      <w:r w:rsidRPr="006A3D94">
        <w:rPr>
          <w:rtl/>
        </w:rPr>
        <w:t xml:space="preserve"> </w:t>
      </w:r>
      <w:r w:rsidR="00EE4AF8">
        <w:rPr>
          <w:rFonts w:hint="cs"/>
          <w:rtl/>
        </w:rPr>
        <w:t>أكتوبر</w:t>
      </w:r>
      <w:r w:rsidRPr="006A3D94">
        <w:rPr>
          <w:rtl/>
        </w:rPr>
        <w:t xml:space="preserve"> </w:t>
      </w:r>
      <w:r w:rsidR="00EE4AF8">
        <w:t>2021</w:t>
      </w:r>
      <w:r w:rsidR="00DE527D">
        <w:rPr>
          <w:rFonts w:hint="cs"/>
          <w:rtl/>
        </w:rPr>
        <w:t>،</w:t>
      </w:r>
      <w:r w:rsidR="00EE4AF8">
        <w:rPr>
          <w:rFonts w:hint="cs"/>
          <w:rtl/>
          <w:lang w:bidi="ar-EG"/>
        </w:rPr>
        <w:t xml:space="preserve"> </w:t>
      </w:r>
      <w:r w:rsidR="00DE527D">
        <w:rPr>
          <w:rFonts w:hint="cs"/>
          <w:rtl/>
          <w:lang w:bidi="ar-EG"/>
        </w:rPr>
        <w:t xml:space="preserve">بينما </w:t>
      </w:r>
      <w:r w:rsidR="00EE4AF8">
        <w:rPr>
          <w:rFonts w:hint="cs"/>
          <w:rtl/>
          <w:lang w:bidi="ar-EG"/>
        </w:rPr>
        <w:t xml:space="preserve">تدخل القواعد الإجرائية </w:t>
      </w:r>
      <w:r w:rsidR="00DE527D">
        <w:rPr>
          <w:rFonts w:hint="cs"/>
          <w:rtl/>
          <w:lang w:bidi="ar-EG"/>
        </w:rPr>
        <w:t>المتعلقة</w:t>
      </w:r>
      <w:r w:rsidR="00EE4AF8">
        <w:rPr>
          <w:rFonts w:hint="cs"/>
          <w:rtl/>
          <w:lang w:bidi="ar-EG"/>
        </w:rPr>
        <w:t xml:space="preserve"> </w:t>
      </w:r>
      <w:r w:rsidR="00DE527D">
        <w:rPr>
          <w:rFonts w:hint="cs"/>
          <w:rtl/>
          <w:lang w:bidi="ar-EG"/>
        </w:rPr>
        <w:t>ب</w:t>
      </w:r>
      <w:r w:rsidR="00EE4AF8">
        <w:rPr>
          <w:rFonts w:hint="cs"/>
          <w:rtl/>
          <w:lang w:bidi="ar-EG"/>
        </w:rPr>
        <w:t xml:space="preserve">القرار </w:t>
      </w:r>
      <w:r w:rsidR="00EE4AF8" w:rsidRPr="00056E02">
        <w:rPr>
          <w:b/>
          <w:bCs/>
          <w:lang w:bidi="ar-EG"/>
        </w:rPr>
        <w:t>32 (WRC-19)</w:t>
      </w:r>
      <w:r w:rsidR="00EE4AF8">
        <w:rPr>
          <w:rFonts w:hint="cs"/>
          <w:rtl/>
          <w:lang w:bidi="ar-EG"/>
        </w:rPr>
        <w:t xml:space="preserve"> حيز النفاذ في </w:t>
      </w:r>
      <w:r w:rsidR="00EE4AF8">
        <w:rPr>
          <w:lang w:bidi="ar-EG"/>
        </w:rPr>
        <w:t>23</w:t>
      </w:r>
      <w:r w:rsidR="00EE4AF8">
        <w:rPr>
          <w:rFonts w:hint="cs"/>
          <w:rtl/>
          <w:lang w:bidi="ar-EG"/>
        </w:rPr>
        <w:t xml:space="preserve"> نوفمبر </w:t>
      </w:r>
      <w:r w:rsidR="00EE4AF8">
        <w:rPr>
          <w:lang w:bidi="ar-EG"/>
        </w:rPr>
        <w:t>2019</w:t>
      </w:r>
      <w:r w:rsidRPr="006A3D94">
        <w:rPr>
          <w:rtl/>
        </w:rPr>
        <w:t>.</w:t>
      </w:r>
    </w:p>
    <w:p w14:paraId="0B4F8ED6" w14:textId="77777777" w:rsidR="006A3D94" w:rsidRPr="006A3D94" w:rsidRDefault="006A3D94" w:rsidP="003F221E">
      <w:pPr>
        <w:spacing w:before="960"/>
        <w:jc w:val="left"/>
        <w:rPr>
          <w:rtl/>
        </w:rPr>
      </w:pPr>
      <w:r w:rsidRPr="006A3D94">
        <w:rPr>
          <w:rtl/>
        </w:rPr>
        <w:t xml:space="preserve">ماريو </w:t>
      </w:r>
      <w:proofErr w:type="spellStart"/>
      <w:r w:rsidRPr="006A3D94">
        <w:rPr>
          <w:rtl/>
        </w:rPr>
        <w:t>مانيفيتش</w:t>
      </w:r>
      <w:proofErr w:type="spellEnd"/>
      <w:r w:rsidRPr="006A3D94">
        <w:rPr>
          <w:rtl/>
        </w:rPr>
        <w:br/>
        <w:t>المدير</w:t>
      </w:r>
    </w:p>
    <w:p w14:paraId="06275BBF" w14:textId="7BC31D49" w:rsidR="006A3D94" w:rsidRPr="006A3D94" w:rsidRDefault="006A3D94" w:rsidP="007156B4">
      <w:pPr>
        <w:spacing w:before="840"/>
        <w:rPr>
          <w:rtl/>
          <w:lang w:bidi="ar-EG"/>
        </w:rPr>
      </w:pPr>
      <w:bookmarkStart w:id="0" w:name="_GoBack"/>
      <w:r w:rsidRPr="006A3D94">
        <w:rPr>
          <w:b/>
          <w:bCs/>
          <w:rtl/>
          <w:lang w:bidi="ar-EG"/>
        </w:rPr>
        <w:t>الملحقات</w:t>
      </w:r>
      <w:r w:rsidRPr="006A3D94">
        <w:rPr>
          <w:rtl/>
          <w:lang w:bidi="ar-EG"/>
        </w:rPr>
        <w:t>:</w:t>
      </w:r>
      <w:r w:rsidRPr="006A3D94">
        <w:rPr>
          <w:rFonts w:hint="cs"/>
          <w:rtl/>
          <w:lang w:bidi="ar-EG"/>
        </w:rPr>
        <w:t xml:space="preserve"> </w:t>
      </w:r>
      <w:hyperlink r:id="rId9" w:history="1">
        <w:r w:rsidRPr="006A3D94">
          <w:rPr>
            <w:rStyle w:val="Hyperlink"/>
            <w:rFonts w:hint="cs"/>
            <w:rtl/>
            <w:lang w:bidi="ar-EG"/>
          </w:rPr>
          <w:t xml:space="preserve">القواعد الإجرائية </w:t>
        </w:r>
        <w:r w:rsidRPr="006A3D94">
          <w:rPr>
            <w:rStyle w:val="Hyperlink"/>
            <w:rtl/>
            <w:lang w:bidi="ar-EG"/>
          </w:rPr>
          <w:t>–</w:t>
        </w:r>
        <w:r w:rsidRPr="006A3D94">
          <w:rPr>
            <w:rStyle w:val="Hyperlink"/>
            <w:rFonts w:hint="cs"/>
            <w:rtl/>
            <w:lang w:bidi="ar-EG"/>
          </w:rPr>
          <w:t xml:space="preserve"> طبعة </w:t>
        </w:r>
        <w:r w:rsidRPr="006A3D94">
          <w:rPr>
            <w:rStyle w:val="Hyperlink"/>
            <w:lang w:bidi="ar-EG"/>
          </w:rPr>
          <w:t>2021</w:t>
        </w:r>
        <w:r w:rsidRPr="006A3D94">
          <w:rPr>
            <w:rStyle w:val="Hyperlink"/>
            <w:rFonts w:hint="cs"/>
            <w:rtl/>
            <w:lang w:bidi="ar-EG"/>
          </w:rPr>
          <w:t xml:space="preserve"> </w:t>
        </w:r>
        <w:r w:rsidRPr="006A3D94">
          <w:rPr>
            <w:rStyle w:val="Hyperlink"/>
            <w:rtl/>
            <w:lang w:bidi="ar-EG"/>
          </w:rPr>
          <w:t>–</w:t>
        </w:r>
        <w:r w:rsidRPr="006A3D94">
          <w:rPr>
            <w:rStyle w:val="Hyperlink"/>
            <w:rFonts w:hint="cs"/>
            <w:rtl/>
            <w:lang w:bidi="ar-EG"/>
          </w:rPr>
          <w:t xml:space="preserve"> التحديث </w:t>
        </w:r>
        <w:r w:rsidRPr="006A3D94">
          <w:rPr>
            <w:rStyle w:val="Hyperlink"/>
            <w:lang w:bidi="ar-EG"/>
          </w:rPr>
          <w:t>1</w:t>
        </w:r>
        <w:r w:rsidRPr="006A3D94">
          <w:rPr>
            <w:rStyle w:val="Hyperlink"/>
            <w:rFonts w:ascii="Calibri" w:hAnsi="Calibri" w:cs="Calibri"/>
            <w:position w:val="6"/>
            <w:sz w:val="18"/>
            <w:szCs w:val="18"/>
            <w:rtl/>
            <w:lang w:bidi="ar-EG"/>
          </w:rPr>
          <w:footnoteReference w:id="1"/>
        </w:r>
      </w:hyperlink>
    </w:p>
    <w:bookmarkEnd w:id="0"/>
    <w:p w14:paraId="2EF7641D" w14:textId="77777777" w:rsidR="006A3D94" w:rsidRPr="006A3D94" w:rsidRDefault="006A3D94" w:rsidP="003F221E">
      <w:pPr>
        <w:spacing w:before="360"/>
        <w:rPr>
          <w:sz w:val="16"/>
          <w:szCs w:val="16"/>
          <w:lang w:bidi="ar-EG"/>
        </w:rPr>
      </w:pPr>
      <w:r w:rsidRPr="006A3D94">
        <w:rPr>
          <w:b/>
          <w:bCs/>
          <w:sz w:val="16"/>
          <w:szCs w:val="16"/>
          <w:u w:val="single"/>
          <w:rtl/>
          <w:lang w:bidi="ar-EG"/>
        </w:rPr>
        <w:t>التوزيع</w:t>
      </w:r>
      <w:r w:rsidRPr="006A3D94">
        <w:rPr>
          <w:b/>
          <w:bCs/>
          <w:sz w:val="16"/>
          <w:szCs w:val="16"/>
          <w:rtl/>
          <w:lang w:bidi="ar-EG"/>
        </w:rPr>
        <w:t>:</w:t>
      </w:r>
    </w:p>
    <w:p w14:paraId="63C86913" w14:textId="77777777" w:rsidR="006A3D94" w:rsidRPr="006A3D94" w:rsidRDefault="006A3D94" w:rsidP="006A3D94">
      <w:pPr>
        <w:tabs>
          <w:tab w:val="left" w:pos="374"/>
        </w:tabs>
        <w:spacing w:line="180" w:lineRule="auto"/>
        <w:jc w:val="left"/>
        <w:rPr>
          <w:sz w:val="16"/>
          <w:szCs w:val="16"/>
          <w:rtl/>
          <w:lang w:bidi="ar-EG"/>
        </w:rPr>
      </w:pPr>
      <w:r w:rsidRPr="006A3D94">
        <w:rPr>
          <w:sz w:val="16"/>
          <w:szCs w:val="16"/>
          <w:rtl/>
          <w:lang w:bidi="ar-EG"/>
        </w:rPr>
        <w:t>-</w:t>
      </w:r>
      <w:r w:rsidRPr="006A3D94">
        <w:rPr>
          <w:sz w:val="16"/>
          <w:szCs w:val="16"/>
          <w:rtl/>
          <w:lang w:bidi="ar-EG"/>
        </w:rPr>
        <w:tab/>
        <w:t>إدارات الدول الأعضاء في الاتحاد</w:t>
      </w:r>
    </w:p>
    <w:p w14:paraId="1A73F51E" w14:textId="77777777" w:rsidR="006A3D94" w:rsidRPr="00AF47AB" w:rsidRDefault="006A3D94" w:rsidP="006A3D94">
      <w:pPr>
        <w:tabs>
          <w:tab w:val="left" w:pos="374"/>
        </w:tabs>
        <w:spacing w:before="60" w:line="180" w:lineRule="auto"/>
        <w:jc w:val="left"/>
        <w:rPr>
          <w:sz w:val="16"/>
          <w:szCs w:val="16"/>
          <w:rtl/>
          <w:lang w:bidi="ar-EG"/>
        </w:rPr>
      </w:pPr>
      <w:r w:rsidRPr="006A3D94">
        <w:rPr>
          <w:sz w:val="16"/>
          <w:szCs w:val="16"/>
          <w:rtl/>
          <w:lang w:bidi="ar-EG"/>
        </w:rPr>
        <w:t>-</w:t>
      </w:r>
      <w:r w:rsidRPr="006A3D94">
        <w:rPr>
          <w:sz w:val="16"/>
          <w:szCs w:val="16"/>
          <w:rtl/>
          <w:lang w:bidi="ar-EG"/>
        </w:rPr>
        <w:tab/>
        <w:t>أعضاء لجنة لوائح الراد</w:t>
      </w:r>
      <w:r w:rsidRPr="006A3D94">
        <w:rPr>
          <w:rFonts w:hint="cs"/>
          <w:sz w:val="16"/>
          <w:szCs w:val="16"/>
          <w:rtl/>
          <w:lang w:bidi="ar-EG"/>
        </w:rPr>
        <w:t>يو</w:t>
      </w:r>
    </w:p>
    <w:sectPr w:rsidR="006A3D94" w:rsidRPr="00AF47AB" w:rsidSect="006C3242">
      <w:headerReference w:type="default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41CB8" w14:textId="77777777" w:rsidR="006A3D94" w:rsidRDefault="006A3D94" w:rsidP="006C3242">
      <w:pPr>
        <w:spacing w:before="0" w:line="240" w:lineRule="auto"/>
      </w:pPr>
      <w:r>
        <w:separator/>
      </w:r>
    </w:p>
  </w:endnote>
  <w:endnote w:type="continuationSeparator" w:id="0">
    <w:p w14:paraId="09132976" w14:textId="77777777" w:rsidR="006A3D94" w:rsidRDefault="006A3D9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6EFAC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6A3D94">
      <w:rPr>
        <w:noProof/>
        <w:sz w:val="16"/>
        <w:szCs w:val="16"/>
        <w:lang w:val="fr-FR"/>
      </w:rPr>
      <w:t>Document3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9C805" w14:textId="77777777" w:rsidR="006A3D94" w:rsidRPr="005C4582" w:rsidRDefault="006A3D94" w:rsidP="006A3D94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C4582">
      <w:rPr>
        <w:sz w:val="18"/>
        <w:szCs w:val="18"/>
      </w:rPr>
      <w:t>International Telecommunication Union • Place des Nations • CH</w:t>
    </w:r>
    <w:r w:rsidRPr="005C4582">
      <w:rPr>
        <w:sz w:val="18"/>
        <w:szCs w:val="18"/>
      </w:rPr>
      <w:noBreakHyphen/>
      <w:t xml:space="preserve">1211 Geneva 20 • Switzerland </w:t>
    </w:r>
    <w:r w:rsidRPr="005C4582">
      <w:rPr>
        <w:sz w:val="18"/>
        <w:szCs w:val="18"/>
      </w:rPr>
      <w:br/>
      <w:t xml:space="preserve">Tel: +41 22 730 5111 • Fax: +41 22 733 7256 • E-mail: </w:t>
    </w:r>
    <w:hyperlink r:id="rId1" w:history="1">
      <w:r w:rsidRPr="005C4582">
        <w:rPr>
          <w:rStyle w:val="Hyperlink"/>
          <w:sz w:val="18"/>
          <w:szCs w:val="18"/>
        </w:rPr>
        <w:t>itumail@itu.int</w:t>
      </w:r>
    </w:hyperlink>
    <w:r w:rsidRPr="005C4582">
      <w:rPr>
        <w:sz w:val="18"/>
        <w:szCs w:val="18"/>
      </w:rPr>
      <w:t xml:space="preserve"> • </w:t>
    </w:r>
    <w:hyperlink r:id="rId2" w:history="1">
      <w:r w:rsidRPr="005C4582">
        <w:rPr>
          <w:rStyle w:val="Hyperlink"/>
          <w:sz w:val="18"/>
          <w:szCs w:val="18"/>
        </w:rPr>
        <w:t>www.itu.int</w:t>
      </w:r>
    </w:hyperlink>
    <w:r w:rsidRPr="005C4582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780DA" w14:textId="77777777" w:rsidR="006A3D94" w:rsidRDefault="006A3D94" w:rsidP="006C3242">
      <w:pPr>
        <w:spacing w:before="0" w:line="240" w:lineRule="auto"/>
      </w:pPr>
      <w:r>
        <w:separator/>
      </w:r>
    </w:p>
  </w:footnote>
  <w:footnote w:type="continuationSeparator" w:id="0">
    <w:p w14:paraId="57BFBA97" w14:textId="77777777" w:rsidR="006A3D94" w:rsidRDefault="006A3D94" w:rsidP="006C3242">
      <w:pPr>
        <w:spacing w:before="0" w:line="240" w:lineRule="auto"/>
      </w:pPr>
      <w:r>
        <w:continuationSeparator/>
      </w:r>
    </w:p>
  </w:footnote>
  <w:footnote w:id="1">
    <w:p w14:paraId="6D8F32FF" w14:textId="299DE1F3" w:rsidR="006A3D94" w:rsidRPr="00F26EE0" w:rsidRDefault="006A3D94" w:rsidP="006A3D94">
      <w:pPr>
        <w:pStyle w:val="FootnoteText"/>
        <w:spacing w:before="0" w:after="120"/>
        <w:rPr>
          <w:sz w:val="18"/>
          <w:szCs w:val="18"/>
        </w:rPr>
      </w:pPr>
      <w:r w:rsidRPr="00F26EE0">
        <w:rPr>
          <w:rStyle w:val="FootnoteReference"/>
        </w:rPr>
        <w:footnoteRef/>
      </w:r>
      <w:r w:rsidRPr="00F26EE0">
        <w:rPr>
          <w:sz w:val="18"/>
          <w:szCs w:val="18"/>
          <w:rtl/>
        </w:rPr>
        <w:t xml:space="preserve"> </w:t>
      </w:r>
      <w:hyperlink r:id="rId1" w:history="1">
        <w:r w:rsidR="00D306DB" w:rsidRPr="00D306DB">
          <w:rPr>
            <w:rStyle w:val="Hyperlink"/>
            <w:sz w:val="18"/>
            <w:szCs w:val="18"/>
          </w:rPr>
          <w:t>http://www.itu.int/pub/R-REG-ROP/en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10176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48DB0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02BB1A09" wp14:editId="5EE27EA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94"/>
    <w:rsid w:val="00056E02"/>
    <w:rsid w:val="0006468A"/>
    <w:rsid w:val="00090574"/>
    <w:rsid w:val="000C1C0E"/>
    <w:rsid w:val="000C548A"/>
    <w:rsid w:val="000F7BBE"/>
    <w:rsid w:val="00126654"/>
    <w:rsid w:val="00150DB9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B5733"/>
    <w:rsid w:val="003F221E"/>
    <w:rsid w:val="003F4B29"/>
    <w:rsid w:val="004111FB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A3170"/>
    <w:rsid w:val="005F3798"/>
    <w:rsid w:val="00677396"/>
    <w:rsid w:val="0069200F"/>
    <w:rsid w:val="006A3D94"/>
    <w:rsid w:val="006A65CB"/>
    <w:rsid w:val="006C3242"/>
    <w:rsid w:val="006C7CC0"/>
    <w:rsid w:val="006E5F73"/>
    <w:rsid w:val="006F63F7"/>
    <w:rsid w:val="007025C7"/>
    <w:rsid w:val="00706D7A"/>
    <w:rsid w:val="007156B4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323AC"/>
    <w:rsid w:val="00840B10"/>
    <w:rsid w:val="008513CB"/>
    <w:rsid w:val="00857299"/>
    <w:rsid w:val="008A7F84"/>
    <w:rsid w:val="0091702E"/>
    <w:rsid w:val="00923B0C"/>
    <w:rsid w:val="0094021C"/>
    <w:rsid w:val="00952F86"/>
    <w:rsid w:val="00962B3C"/>
    <w:rsid w:val="00982B28"/>
    <w:rsid w:val="009D313F"/>
    <w:rsid w:val="00A47A5A"/>
    <w:rsid w:val="00A6683B"/>
    <w:rsid w:val="00A97F94"/>
    <w:rsid w:val="00AA7EA2"/>
    <w:rsid w:val="00AD597E"/>
    <w:rsid w:val="00B03099"/>
    <w:rsid w:val="00B05BC8"/>
    <w:rsid w:val="00B1143A"/>
    <w:rsid w:val="00B64B47"/>
    <w:rsid w:val="00C002DE"/>
    <w:rsid w:val="00C502CD"/>
    <w:rsid w:val="00C53BF8"/>
    <w:rsid w:val="00C66157"/>
    <w:rsid w:val="00C674FE"/>
    <w:rsid w:val="00C67501"/>
    <w:rsid w:val="00C75633"/>
    <w:rsid w:val="00CB12CE"/>
    <w:rsid w:val="00CE2EE1"/>
    <w:rsid w:val="00CE3349"/>
    <w:rsid w:val="00CE36E5"/>
    <w:rsid w:val="00CF27F5"/>
    <w:rsid w:val="00CF3FFD"/>
    <w:rsid w:val="00D10CCF"/>
    <w:rsid w:val="00D306DB"/>
    <w:rsid w:val="00D77D0F"/>
    <w:rsid w:val="00DA1CF0"/>
    <w:rsid w:val="00DC1E02"/>
    <w:rsid w:val="00DC24B4"/>
    <w:rsid w:val="00DC5FB0"/>
    <w:rsid w:val="00DE527D"/>
    <w:rsid w:val="00DF16DC"/>
    <w:rsid w:val="00E45211"/>
    <w:rsid w:val="00E473C5"/>
    <w:rsid w:val="00E92863"/>
    <w:rsid w:val="00EB796D"/>
    <w:rsid w:val="00EE4AF8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7C0F3"/>
  <w15:chartTrackingRefBased/>
  <w15:docId w15:val="{48BACCA9-F15F-4458-842D-92A88970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FirstFooter">
    <w:name w:val="FirstFooter"/>
    <w:basedOn w:val="Normal"/>
    <w:rsid w:val="006A3D94"/>
    <w:pPr>
      <w:tabs>
        <w:tab w:val="clear" w:pos="794"/>
      </w:tabs>
      <w:bidi w:val="0"/>
      <w:spacing w:before="40" w:line="280" w:lineRule="exact"/>
      <w:jc w:val="left"/>
    </w:pPr>
    <w:rPr>
      <w:rFonts w:ascii="Calibri" w:hAnsi="Calibri" w:cs="Calibri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71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/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A7749-FD5F-4D5B-8D05-8174BEF2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Panoussopoulos, Sonia</cp:lastModifiedBy>
  <cp:revision>2</cp:revision>
  <dcterms:created xsi:type="dcterms:W3CDTF">2021-11-01T09:19:00Z</dcterms:created>
  <dcterms:modified xsi:type="dcterms:W3CDTF">2021-11-01T09:19:00Z</dcterms:modified>
</cp:coreProperties>
</file>