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47138" w14:textId="6FA29502" w:rsidR="009E6EBB" w:rsidRPr="008C3ECA" w:rsidRDefault="009E6EBB" w:rsidP="003469E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left"/>
        <w:rPr>
          <w:rFonts w:cstheme="minorHAnsi"/>
          <w:b/>
          <w:bCs/>
          <w:color w:val="808080"/>
          <w:sz w:val="28"/>
          <w:szCs w:val="28"/>
          <w:lang w:val="en-GB"/>
        </w:rPr>
      </w:pPr>
      <w:r w:rsidRPr="008C3ECA">
        <w:rPr>
          <w:rFonts w:cstheme="minorHAnsi"/>
          <w:b/>
          <w:bCs/>
          <w:color w:val="808080"/>
          <w:sz w:val="28"/>
          <w:szCs w:val="28"/>
          <w:lang w:val="en-GB"/>
        </w:rPr>
        <w:t>Radiocommunication Bureau (BR)</w:t>
      </w:r>
    </w:p>
    <w:p w14:paraId="2EE83C93" w14:textId="321EEC51" w:rsidR="009E6EBB" w:rsidRDefault="009E6EBB"/>
    <w:tbl>
      <w:tblPr>
        <w:tblW w:w="988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526"/>
        <w:gridCol w:w="5386"/>
        <w:gridCol w:w="2977"/>
      </w:tblGrid>
      <w:tr w:rsidR="000C5E37" w:rsidRPr="00430A5F" w14:paraId="19132F07" w14:textId="77777777" w:rsidTr="004C1049">
        <w:tc>
          <w:tcPr>
            <w:tcW w:w="6912" w:type="dxa"/>
            <w:gridSpan w:val="2"/>
            <w:shd w:val="clear" w:color="auto" w:fill="auto"/>
          </w:tcPr>
          <w:p w14:paraId="40046118" w14:textId="77777777" w:rsidR="000C5E37" w:rsidRPr="00430A5F" w:rsidRDefault="000C5E37" w:rsidP="004C1049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 w:rsidRPr="00430A5F">
              <w:rPr>
                <w:sz w:val="24"/>
                <w:szCs w:val="24"/>
                <w:lang w:val="en-GB"/>
              </w:rPr>
              <w:t>Circular Letter</w:t>
            </w:r>
          </w:p>
          <w:p w14:paraId="030DAA2B" w14:textId="77777777" w:rsidR="000C5E37" w:rsidRPr="00430A5F" w:rsidRDefault="000C5E37" w:rsidP="004C1049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  <w:r w:rsidRPr="00430A5F">
              <w:rPr>
                <w:b/>
                <w:bCs/>
                <w:sz w:val="24"/>
                <w:szCs w:val="24"/>
                <w:lang w:val="en-GB"/>
              </w:rPr>
              <w:t>CR/479</w:t>
            </w:r>
          </w:p>
        </w:tc>
        <w:tc>
          <w:tcPr>
            <w:tcW w:w="2977" w:type="dxa"/>
            <w:shd w:val="clear" w:color="auto" w:fill="auto"/>
          </w:tcPr>
          <w:p w14:paraId="3E45DBEF" w14:textId="77777777" w:rsidR="000C5E37" w:rsidRPr="00430A5F" w:rsidRDefault="000C5E37" w:rsidP="004C1049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 w:rsidRPr="00430A5F">
              <w:rPr>
                <w:sz w:val="24"/>
                <w:szCs w:val="24"/>
                <w:lang w:val="en-GB"/>
              </w:rPr>
              <w:t>1</w:t>
            </w:r>
            <w:r w:rsidRPr="00430A5F">
              <w:rPr>
                <w:sz w:val="24"/>
                <w:szCs w:val="24"/>
                <w:vertAlign w:val="superscript"/>
                <w:lang w:val="en-GB"/>
              </w:rPr>
              <w:t>st</w:t>
            </w:r>
            <w:r w:rsidRPr="00430A5F">
              <w:rPr>
                <w:sz w:val="24"/>
                <w:szCs w:val="24"/>
                <w:lang w:val="en-GB"/>
              </w:rPr>
              <w:t xml:space="preserve"> November 2021</w:t>
            </w:r>
          </w:p>
        </w:tc>
      </w:tr>
      <w:tr w:rsidR="000C5E37" w:rsidRPr="00430A5F" w14:paraId="67B9112C" w14:textId="77777777" w:rsidTr="004C1049">
        <w:tc>
          <w:tcPr>
            <w:tcW w:w="9889" w:type="dxa"/>
            <w:gridSpan w:val="3"/>
            <w:shd w:val="clear" w:color="auto" w:fill="auto"/>
          </w:tcPr>
          <w:p w14:paraId="0FFFE9CD" w14:textId="77777777" w:rsidR="000C5E37" w:rsidRPr="00430A5F" w:rsidRDefault="000C5E37" w:rsidP="004C1049">
            <w:pPr>
              <w:tabs>
                <w:tab w:val="left" w:pos="4428"/>
              </w:tabs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0C5E37" w:rsidRPr="00430A5F" w14:paraId="583658F4" w14:textId="77777777" w:rsidTr="004C1049">
        <w:tc>
          <w:tcPr>
            <w:tcW w:w="9889" w:type="dxa"/>
            <w:gridSpan w:val="3"/>
            <w:shd w:val="clear" w:color="auto" w:fill="auto"/>
          </w:tcPr>
          <w:p w14:paraId="41D4AB90" w14:textId="77777777" w:rsidR="000C5E37" w:rsidRPr="00430A5F" w:rsidRDefault="000C5E37" w:rsidP="004C1049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  <w:r w:rsidRPr="00430A5F">
              <w:rPr>
                <w:b/>
                <w:bCs/>
                <w:sz w:val="24"/>
                <w:szCs w:val="24"/>
                <w:lang w:val="en-GB"/>
              </w:rPr>
              <w:t>To Administrations of Member States of the ITU</w:t>
            </w:r>
          </w:p>
          <w:p w14:paraId="16C68057" w14:textId="77777777" w:rsidR="000C5E37" w:rsidRPr="00430A5F" w:rsidRDefault="000C5E37" w:rsidP="004C1049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0C5E37" w:rsidRPr="00430A5F" w14:paraId="5D7FE2B0" w14:textId="77777777" w:rsidTr="004C1049">
        <w:tc>
          <w:tcPr>
            <w:tcW w:w="9889" w:type="dxa"/>
            <w:gridSpan w:val="3"/>
            <w:shd w:val="clear" w:color="auto" w:fill="auto"/>
          </w:tcPr>
          <w:p w14:paraId="37FF7031" w14:textId="77777777" w:rsidR="000C5E37" w:rsidRPr="00430A5F" w:rsidRDefault="000C5E37" w:rsidP="004C1049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</w:p>
        </w:tc>
      </w:tr>
      <w:tr w:rsidR="000C5E37" w:rsidRPr="00430A5F" w14:paraId="3E08951C" w14:textId="77777777" w:rsidTr="004C1049">
        <w:tc>
          <w:tcPr>
            <w:tcW w:w="9889" w:type="dxa"/>
            <w:gridSpan w:val="3"/>
            <w:shd w:val="clear" w:color="auto" w:fill="auto"/>
          </w:tcPr>
          <w:p w14:paraId="0E286071" w14:textId="77777777" w:rsidR="000C5E37" w:rsidRPr="00430A5F" w:rsidRDefault="000C5E37" w:rsidP="004C1049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</w:p>
        </w:tc>
      </w:tr>
      <w:tr w:rsidR="000C5E37" w:rsidRPr="00430A5F" w14:paraId="4D83F286" w14:textId="77777777" w:rsidTr="004C1049">
        <w:tc>
          <w:tcPr>
            <w:tcW w:w="1526" w:type="dxa"/>
            <w:shd w:val="clear" w:color="auto" w:fill="auto"/>
          </w:tcPr>
          <w:p w14:paraId="6A4D26A4" w14:textId="77777777" w:rsidR="000C5E37" w:rsidRPr="00430A5F" w:rsidRDefault="000C5E37" w:rsidP="004C1049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 w:rsidRPr="00430A5F">
              <w:rPr>
                <w:sz w:val="24"/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2CD048C2" w14:textId="77777777" w:rsidR="000C5E37" w:rsidRPr="00430A5F" w:rsidRDefault="000C5E37" w:rsidP="004C1049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  <w:r w:rsidRPr="00430A5F">
              <w:rPr>
                <w:b/>
                <w:bCs/>
                <w:sz w:val="24"/>
                <w:szCs w:val="24"/>
                <w:lang w:val="en-GB"/>
              </w:rPr>
              <w:t>Rules of Procedure approved by the Radio Regulations Board</w:t>
            </w:r>
          </w:p>
        </w:tc>
      </w:tr>
      <w:tr w:rsidR="000C5E37" w:rsidRPr="000D79FA" w14:paraId="44F29DBC" w14:textId="77777777" w:rsidTr="004C1049">
        <w:tc>
          <w:tcPr>
            <w:tcW w:w="1526" w:type="dxa"/>
            <w:shd w:val="clear" w:color="auto" w:fill="auto"/>
          </w:tcPr>
          <w:p w14:paraId="59FBD36C" w14:textId="77777777" w:rsidR="000C5E37" w:rsidRPr="000D79FA" w:rsidRDefault="000C5E37" w:rsidP="004C1049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CEAC0C9" w14:textId="77777777" w:rsidR="000C5E37" w:rsidRPr="000D79FA" w:rsidRDefault="000C5E37" w:rsidP="004C1049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71536792" w14:textId="77777777" w:rsidR="006B613D" w:rsidRDefault="006B613D" w:rsidP="00187FAD">
      <w:pPr>
        <w:spacing w:line="240" w:lineRule="auto"/>
        <w:rPr>
          <w:sz w:val="24"/>
          <w:szCs w:val="24"/>
        </w:rPr>
      </w:pPr>
    </w:p>
    <w:p w14:paraId="2A9A1069" w14:textId="199B2E7E" w:rsidR="000C5E37" w:rsidRPr="00AF5C29" w:rsidRDefault="000C5E37" w:rsidP="00187FAD">
      <w:pPr>
        <w:spacing w:line="240" w:lineRule="auto"/>
        <w:rPr>
          <w:sz w:val="24"/>
          <w:szCs w:val="24"/>
        </w:rPr>
      </w:pPr>
      <w:bookmarkStart w:id="0" w:name="_GoBack"/>
      <w:bookmarkEnd w:id="0"/>
      <w:r w:rsidRPr="00AF5C29">
        <w:rPr>
          <w:sz w:val="24"/>
          <w:szCs w:val="24"/>
        </w:rPr>
        <w:t>Following the 201</w:t>
      </w:r>
      <w:r w:rsidR="00935C47" w:rsidRPr="00AF5C29">
        <w:rPr>
          <w:sz w:val="24"/>
          <w:szCs w:val="24"/>
        </w:rPr>
        <w:t>9</w:t>
      </w:r>
      <w:r w:rsidRPr="00AF5C29">
        <w:rPr>
          <w:sz w:val="24"/>
          <w:szCs w:val="24"/>
        </w:rPr>
        <w:t xml:space="preserve"> World Radiocommunication Conference, a 2021 edition of the Rules of Procedure has been published. </w:t>
      </w:r>
      <w:r w:rsidR="007E498A" w:rsidRPr="00AF5C29">
        <w:rPr>
          <w:sz w:val="24"/>
          <w:szCs w:val="24"/>
        </w:rPr>
        <w:t xml:space="preserve">The new edition incorporates all revisions up to an including the approved rules of procedure listed in the annexes to Circular Letter </w:t>
      </w:r>
      <w:hyperlink r:id="rId8" w:history="1">
        <w:r w:rsidR="007E498A" w:rsidRPr="00AF5C29">
          <w:rPr>
            <w:rStyle w:val="Hyperlink"/>
            <w:sz w:val="24"/>
            <w:szCs w:val="24"/>
          </w:rPr>
          <w:t>CR/471</w:t>
        </w:r>
      </w:hyperlink>
      <w:r w:rsidR="007E498A" w:rsidRPr="00AF5C29">
        <w:rPr>
          <w:sz w:val="24"/>
          <w:szCs w:val="24"/>
        </w:rPr>
        <w:t xml:space="preserve"> of 30 November 2020.</w:t>
      </w:r>
    </w:p>
    <w:p w14:paraId="7374612F" w14:textId="77777777" w:rsidR="000C5E37" w:rsidRPr="00AF5C29" w:rsidRDefault="000C5E37" w:rsidP="00187FAD">
      <w:pPr>
        <w:spacing w:line="240" w:lineRule="auto"/>
        <w:rPr>
          <w:sz w:val="24"/>
          <w:szCs w:val="24"/>
        </w:rPr>
      </w:pPr>
      <w:r w:rsidRPr="00AF5C29">
        <w:rPr>
          <w:sz w:val="24"/>
          <w:szCs w:val="24"/>
        </w:rPr>
        <w:t xml:space="preserve">Pursuant to the provisions of Nos. </w:t>
      </w:r>
      <w:r w:rsidRPr="00AF5C29">
        <w:rPr>
          <w:b/>
          <w:bCs/>
          <w:sz w:val="24"/>
          <w:szCs w:val="24"/>
        </w:rPr>
        <w:t>13.12</w:t>
      </w:r>
      <w:r w:rsidRPr="00AF5C29">
        <w:rPr>
          <w:sz w:val="24"/>
          <w:szCs w:val="24"/>
        </w:rPr>
        <w:t xml:space="preserve"> and </w:t>
      </w:r>
      <w:r w:rsidRPr="00AF5C29">
        <w:rPr>
          <w:b/>
          <w:bCs/>
          <w:sz w:val="24"/>
          <w:szCs w:val="24"/>
        </w:rPr>
        <w:t>13.14</w:t>
      </w:r>
      <w:r w:rsidRPr="00AF5C29">
        <w:rPr>
          <w:sz w:val="24"/>
          <w:szCs w:val="24"/>
        </w:rPr>
        <w:t xml:space="preserve"> of the Radio Regulations, the Radio Regulations Board (RRB) at its 88</w:t>
      </w:r>
      <w:r w:rsidRPr="00AF5C29">
        <w:rPr>
          <w:sz w:val="24"/>
          <w:szCs w:val="24"/>
          <w:vertAlign w:val="superscript"/>
        </w:rPr>
        <w:t>th</w:t>
      </w:r>
      <w:r w:rsidRPr="00AF5C29">
        <w:rPr>
          <w:sz w:val="24"/>
          <w:szCs w:val="24"/>
        </w:rPr>
        <w:t xml:space="preserve"> meeting (11 – 15 October 2021) approved changes to the Rules of Procedure (2021 Edition, Update 1).</w:t>
      </w:r>
    </w:p>
    <w:p w14:paraId="5CED32E1" w14:textId="610928CD" w:rsidR="000C5E37" w:rsidRPr="00A61656" w:rsidRDefault="000C5E37" w:rsidP="00187FAD">
      <w:pPr>
        <w:pStyle w:val="ListParagraph"/>
        <w:tabs>
          <w:tab w:val="clear" w:pos="794"/>
          <w:tab w:val="clear" w:pos="1191"/>
          <w:tab w:val="clear" w:pos="1588"/>
          <w:tab w:val="clear" w:pos="1985"/>
          <w:tab w:val="left" w:pos="3828"/>
        </w:tabs>
        <w:spacing w:line="240" w:lineRule="auto"/>
        <w:ind w:left="0"/>
        <w:textAlignment w:val="auto"/>
        <w:rPr>
          <w:sz w:val="24"/>
          <w:szCs w:val="24"/>
          <w:lang w:val="en-GB"/>
        </w:rPr>
      </w:pPr>
      <w:r w:rsidRPr="00A61656">
        <w:rPr>
          <w:sz w:val="24"/>
          <w:szCs w:val="24"/>
        </w:rPr>
        <w:t>These changes comprise modified and new rules of procedure included in the Annex below, for the 20</w:t>
      </w:r>
      <w:r w:rsidR="00187B58" w:rsidRPr="00A61656">
        <w:rPr>
          <w:sz w:val="24"/>
          <w:szCs w:val="24"/>
        </w:rPr>
        <w:t>2</w:t>
      </w:r>
      <w:r w:rsidRPr="00A61656">
        <w:rPr>
          <w:sz w:val="24"/>
          <w:szCs w:val="24"/>
        </w:rPr>
        <w:t xml:space="preserve">1 edition of the Rules of Procedure. </w:t>
      </w:r>
      <w:r w:rsidRPr="00A61656">
        <w:rPr>
          <w:sz w:val="24"/>
          <w:szCs w:val="24"/>
          <w:lang w:val="en-GB"/>
        </w:rPr>
        <w:t xml:space="preserve">Rules of procedure on Nos. </w:t>
      </w:r>
      <w:r w:rsidR="00CF566B" w:rsidRPr="00A61656">
        <w:rPr>
          <w:b/>
          <w:bCs/>
          <w:sz w:val="24"/>
          <w:szCs w:val="24"/>
          <w:lang w:val="en-GB"/>
        </w:rPr>
        <w:t>5.418C</w:t>
      </w:r>
      <w:r w:rsidRPr="00A61656">
        <w:rPr>
          <w:sz w:val="24"/>
          <w:szCs w:val="24"/>
          <w:lang w:val="en-GB"/>
        </w:rPr>
        <w:t xml:space="preserve">, </w:t>
      </w:r>
      <w:r w:rsidR="00CF566B" w:rsidRPr="00A61656">
        <w:rPr>
          <w:b/>
          <w:bCs/>
          <w:sz w:val="24"/>
          <w:szCs w:val="24"/>
          <w:lang w:val="en-GB"/>
        </w:rPr>
        <w:t>5.485</w:t>
      </w:r>
      <w:r w:rsidRPr="00A61656">
        <w:rPr>
          <w:sz w:val="24"/>
          <w:szCs w:val="24"/>
          <w:lang w:val="en-GB"/>
        </w:rPr>
        <w:t xml:space="preserve">, </w:t>
      </w:r>
      <w:r w:rsidRPr="00A61656">
        <w:rPr>
          <w:b/>
          <w:bCs/>
          <w:sz w:val="24"/>
          <w:szCs w:val="24"/>
          <w:lang w:val="en-GB"/>
        </w:rPr>
        <w:t>11.</w:t>
      </w:r>
      <w:r w:rsidR="00CF566B" w:rsidRPr="00A61656">
        <w:rPr>
          <w:b/>
          <w:bCs/>
          <w:sz w:val="24"/>
          <w:szCs w:val="24"/>
          <w:lang w:val="en-GB"/>
        </w:rPr>
        <w:t>31</w:t>
      </w:r>
      <w:r w:rsidRPr="00A61656">
        <w:rPr>
          <w:sz w:val="24"/>
          <w:szCs w:val="24"/>
          <w:lang w:val="en-GB"/>
        </w:rPr>
        <w:t xml:space="preserve">, </w:t>
      </w:r>
      <w:r w:rsidR="008F3FF2" w:rsidRPr="00A61656">
        <w:rPr>
          <w:b/>
          <w:bCs/>
          <w:sz w:val="24"/>
          <w:szCs w:val="24"/>
          <w:lang w:val="en-GB"/>
        </w:rPr>
        <w:t>9.11A</w:t>
      </w:r>
      <w:r w:rsidR="008F3FF2" w:rsidRPr="00A61656">
        <w:rPr>
          <w:sz w:val="24"/>
          <w:szCs w:val="24"/>
          <w:lang w:val="en-GB"/>
        </w:rPr>
        <w:t xml:space="preserve">, </w:t>
      </w:r>
      <w:r w:rsidR="008F3FF2" w:rsidRPr="00430A5F">
        <w:rPr>
          <w:sz w:val="24"/>
          <w:szCs w:val="24"/>
          <w:lang w:val="en-GB"/>
        </w:rPr>
        <w:t xml:space="preserve">Annex 2 to Appendix </w:t>
      </w:r>
      <w:r w:rsidR="008F3FF2" w:rsidRPr="00430A5F">
        <w:rPr>
          <w:b/>
          <w:bCs/>
          <w:sz w:val="24"/>
          <w:szCs w:val="24"/>
          <w:lang w:val="en-GB"/>
        </w:rPr>
        <w:t>4</w:t>
      </w:r>
      <w:r w:rsidR="008F3FF2" w:rsidRPr="00430A5F">
        <w:rPr>
          <w:sz w:val="24"/>
          <w:szCs w:val="24"/>
          <w:lang w:val="en-GB"/>
        </w:rPr>
        <w:t xml:space="preserve">, </w:t>
      </w:r>
      <w:r w:rsidR="00CF566B" w:rsidRPr="00430A5F">
        <w:rPr>
          <w:sz w:val="24"/>
          <w:szCs w:val="24"/>
          <w:lang w:val="en-GB"/>
        </w:rPr>
        <w:t xml:space="preserve">the </w:t>
      </w:r>
      <w:r w:rsidR="00CF566B" w:rsidRPr="00430A5F">
        <w:rPr>
          <w:rFonts w:eastAsia="Times New Roman"/>
          <w:bCs/>
          <w:sz w:val="24"/>
          <w:szCs w:val="24"/>
        </w:rPr>
        <w:t>Receivability of forms of notice generally applicable to all notified assignments submitted to the Radiocommunication Bureau in application of the Radio Regulatory Procedures</w:t>
      </w:r>
      <w:r w:rsidR="008F3FF2" w:rsidRPr="00430A5F">
        <w:rPr>
          <w:rFonts w:eastAsia="Times New Roman"/>
          <w:bCs/>
          <w:sz w:val="24"/>
          <w:szCs w:val="24"/>
        </w:rPr>
        <w:t xml:space="preserve">, Resolution </w:t>
      </w:r>
      <w:r w:rsidR="008F3FF2" w:rsidRPr="00430A5F">
        <w:rPr>
          <w:rFonts w:eastAsia="Times New Roman"/>
          <w:b/>
          <w:sz w:val="24"/>
          <w:szCs w:val="24"/>
        </w:rPr>
        <w:t>49 (Rev.WRC-15)</w:t>
      </w:r>
      <w:r w:rsidR="008F3FF2" w:rsidRPr="00430A5F">
        <w:rPr>
          <w:rFonts w:eastAsia="Times New Roman"/>
          <w:bCs/>
          <w:sz w:val="24"/>
          <w:szCs w:val="24"/>
        </w:rPr>
        <w:t>,</w:t>
      </w:r>
      <w:r w:rsidR="000453F3" w:rsidRPr="00430A5F">
        <w:rPr>
          <w:sz w:val="24"/>
          <w:szCs w:val="24"/>
        </w:rPr>
        <w:t xml:space="preserve"> </w:t>
      </w:r>
      <w:r w:rsidR="00A61656" w:rsidRPr="00430A5F">
        <w:rPr>
          <w:sz w:val="24"/>
          <w:szCs w:val="24"/>
          <w:lang w:eastAsia="zh-CN"/>
        </w:rPr>
        <w:t xml:space="preserve">Rules of procedure due to </w:t>
      </w:r>
      <w:r w:rsidR="00A61656" w:rsidRPr="00430A5F">
        <w:rPr>
          <w:sz w:val="24"/>
          <w:szCs w:val="24"/>
        </w:rPr>
        <w:t>past WRC decisions involving considerations of the Board on requests from notifying administrations for extensions of regulatory deadlines</w:t>
      </w:r>
      <w:r w:rsidR="00A61656" w:rsidRPr="00430A5F">
        <w:rPr>
          <w:rFonts w:eastAsia="Times New Roman"/>
          <w:bCs/>
          <w:sz w:val="24"/>
          <w:szCs w:val="24"/>
        </w:rPr>
        <w:t xml:space="preserve">, </w:t>
      </w:r>
      <w:r w:rsidR="000453F3" w:rsidRPr="00430A5F">
        <w:rPr>
          <w:rFonts w:eastAsia="Times New Roman"/>
          <w:bCs/>
          <w:sz w:val="24"/>
          <w:szCs w:val="24"/>
        </w:rPr>
        <w:t>Rules concerning the extension of the regulatory time-limit for bringing into use satellite</w:t>
      </w:r>
      <w:r w:rsidR="000453F3" w:rsidRPr="00A61656">
        <w:rPr>
          <w:rFonts w:eastAsia="Times New Roman"/>
          <w:bCs/>
          <w:sz w:val="24"/>
          <w:szCs w:val="24"/>
        </w:rPr>
        <w:t xml:space="preserve"> assignments, and Internal arrangements and working methods of the Radio Regulations Board</w:t>
      </w:r>
      <w:r w:rsidR="008F3FF2" w:rsidRPr="00A61656">
        <w:rPr>
          <w:rFonts w:eastAsia="Times New Roman"/>
          <w:bCs/>
          <w:sz w:val="24"/>
          <w:szCs w:val="24"/>
        </w:rPr>
        <w:t xml:space="preserve"> </w:t>
      </w:r>
      <w:r w:rsidRPr="00A61656">
        <w:rPr>
          <w:sz w:val="24"/>
          <w:szCs w:val="24"/>
          <w:lang w:val="en-GB"/>
        </w:rPr>
        <w:t>take effect on 1</w:t>
      </w:r>
      <w:r w:rsidR="000453F3" w:rsidRPr="00A61656">
        <w:rPr>
          <w:sz w:val="24"/>
          <w:szCs w:val="24"/>
          <w:lang w:val="en-GB"/>
        </w:rPr>
        <w:t>5</w:t>
      </w:r>
      <w:r w:rsidRPr="00A61656">
        <w:rPr>
          <w:sz w:val="24"/>
          <w:szCs w:val="24"/>
          <w:lang w:val="en-GB"/>
        </w:rPr>
        <w:t xml:space="preserve"> </w:t>
      </w:r>
      <w:r w:rsidR="000453F3" w:rsidRPr="00A61656">
        <w:rPr>
          <w:sz w:val="24"/>
          <w:szCs w:val="24"/>
          <w:lang w:val="en-GB"/>
        </w:rPr>
        <w:t xml:space="preserve">October </w:t>
      </w:r>
      <w:r w:rsidRPr="00A61656">
        <w:rPr>
          <w:sz w:val="24"/>
          <w:szCs w:val="24"/>
          <w:lang w:val="en-GB"/>
        </w:rPr>
        <w:t>2021</w:t>
      </w:r>
      <w:r w:rsidR="008F3FF2" w:rsidRPr="00A61656">
        <w:rPr>
          <w:sz w:val="24"/>
          <w:szCs w:val="24"/>
          <w:lang w:val="en-GB"/>
        </w:rPr>
        <w:t xml:space="preserve"> </w:t>
      </w:r>
      <w:r w:rsidR="000453F3" w:rsidRPr="00A61656">
        <w:rPr>
          <w:sz w:val="24"/>
          <w:szCs w:val="24"/>
          <w:lang w:val="en-GB"/>
        </w:rPr>
        <w:t xml:space="preserve">and the rules of procedure on </w:t>
      </w:r>
      <w:r w:rsidR="008F3FF2" w:rsidRPr="00A61656">
        <w:rPr>
          <w:rFonts w:eastAsia="Times New Roman"/>
          <w:bCs/>
          <w:sz w:val="24"/>
          <w:szCs w:val="24"/>
        </w:rPr>
        <w:t xml:space="preserve">Resolution </w:t>
      </w:r>
      <w:r w:rsidR="008F3FF2" w:rsidRPr="00A61656">
        <w:rPr>
          <w:rFonts w:eastAsia="Times New Roman"/>
          <w:b/>
          <w:sz w:val="24"/>
          <w:szCs w:val="24"/>
        </w:rPr>
        <w:t>32 (WRC-19)</w:t>
      </w:r>
      <w:r w:rsidR="008F3FF2" w:rsidRPr="00A61656">
        <w:rPr>
          <w:rFonts w:eastAsia="Times New Roman"/>
          <w:bCs/>
          <w:sz w:val="24"/>
          <w:szCs w:val="24"/>
        </w:rPr>
        <w:t>,</w:t>
      </w:r>
      <w:r w:rsidR="000453F3" w:rsidRPr="00A61656">
        <w:rPr>
          <w:rFonts w:eastAsia="Times New Roman"/>
          <w:bCs/>
          <w:sz w:val="24"/>
          <w:szCs w:val="24"/>
        </w:rPr>
        <w:t xml:space="preserve"> take effect on 23 November 2019</w:t>
      </w:r>
      <w:r w:rsidRPr="00A61656">
        <w:rPr>
          <w:sz w:val="24"/>
          <w:szCs w:val="24"/>
          <w:lang w:val="en-GB"/>
        </w:rPr>
        <w:t>.</w:t>
      </w:r>
    </w:p>
    <w:p w14:paraId="493AF199" w14:textId="77777777" w:rsidR="000C5E37" w:rsidRPr="003E6F09" w:rsidRDefault="000C5E37" w:rsidP="000C5E37">
      <w:pPr>
        <w:spacing w:before="96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Mario Maniewicz</w:t>
      </w:r>
    </w:p>
    <w:p w14:paraId="755355B1" w14:textId="77777777" w:rsidR="000C5E37" w:rsidRPr="003E6F09" w:rsidRDefault="000C5E37" w:rsidP="000C5E37">
      <w:pPr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3E6F09">
        <w:rPr>
          <w:rFonts w:asciiTheme="minorHAnsi" w:hAnsiTheme="minorHAnsi" w:cstheme="minorHAnsi"/>
          <w:sz w:val="24"/>
          <w:szCs w:val="24"/>
        </w:rPr>
        <w:t>Director</w:t>
      </w:r>
    </w:p>
    <w:p w14:paraId="190B62B6" w14:textId="77777777" w:rsidR="000C5E37" w:rsidRDefault="000C5E37" w:rsidP="00A058F0">
      <w:pPr>
        <w:spacing w:before="840"/>
        <w:rPr>
          <w:color w:val="0000FF"/>
          <w:sz w:val="24"/>
          <w:szCs w:val="24"/>
          <w:u w:val="single"/>
        </w:rPr>
      </w:pPr>
      <w:r w:rsidRPr="00AB4694">
        <w:rPr>
          <w:b/>
          <w:bCs/>
          <w:sz w:val="24"/>
          <w:szCs w:val="24"/>
        </w:rPr>
        <w:t>Annex:</w:t>
      </w:r>
      <w:r w:rsidRPr="00AB4694">
        <w:rPr>
          <w:sz w:val="24"/>
          <w:szCs w:val="24"/>
        </w:rPr>
        <w:t xml:space="preserve"> </w:t>
      </w:r>
      <w:hyperlink r:id="rId9" w:history="1">
        <w:r>
          <w:rPr>
            <w:rStyle w:val="Hyperlink"/>
            <w:sz w:val="24"/>
            <w:szCs w:val="24"/>
          </w:rPr>
          <w:t>Rules of Procedure – Edition 2021 – Update 1</w:t>
        </w:r>
      </w:hyperlink>
      <w:r>
        <w:rPr>
          <w:rStyle w:val="EndnoteReference"/>
          <w:color w:val="0000FF"/>
          <w:sz w:val="24"/>
          <w:szCs w:val="24"/>
          <w:u w:val="single"/>
        </w:rPr>
        <w:t>1</w:t>
      </w:r>
    </w:p>
    <w:p w14:paraId="64D699E3" w14:textId="77777777" w:rsidR="000C5E37" w:rsidRPr="00AB4694" w:rsidRDefault="000C5E37" w:rsidP="000C5E37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240"/>
        <w:jc w:val="both"/>
        <w:rPr>
          <w:bCs/>
          <w:sz w:val="18"/>
          <w:szCs w:val="18"/>
          <w:u w:val="single"/>
        </w:rPr>
      </w:pPr>
      <w:bookmarkStart w:id="1" w:name="ddistribution"/>
      <w:bookmarkEnd w:id="1"/>
      <w:r w:rsidRPr="00AB4694">
        <w:rPr>
          <w:bCs/>
          <w:sz w:val="18"/>
          <w:szCs w:val="18"/>
          <w:u w:val="single"/>
        </w:rPr>
        <w:t>Distribution:</w:t>
      </w:r>
    </w:p>
    <w:p w14:paraId="17DA7508" w14:textId="77777777" w:rsidR="000C5E37" w:rsidRPr="00AB4694" w:rsidRDefault="000C5E37" w:rsidP="000C5E37">
      <w:pPr>
        <w:pStyle w:val="enumlev1"/>
        <w:tabs>
          <w:tab w:val="clear" w:pos="794"/>
          <w:tab w:val="left" w:pos="284"/>
        </w:tabs>
        <w:spacing w:before="0" w:line="240" w:lineRule="auto"/>
        <w:rPr>
          <w:sz w:val="16"/>
          <w:szCs w:val="16"/>
        </w:rPr>
      </w:pPr>
      <w:r w:rsidRPr="00AB4694">
        <w:rPr>
          <w:sz w:val="16"/>
          <w:szCs w:val="16"/>
        </w:rPr>
        <w:t>–</w:t>
      </w:r>
      <w:r w:rsidRPr="00AB4694">
        <w:rPr>
          <w:sz w:val="16"/>
          <w:szCs w:val="16"/>
        </w:rPr>
        <w:tab/>
        <w:t>Administrations of Member States of ITU</w:t>
      </w:r>
    </w:p>
    <w:p w14:paraId="32C86609" w14:textId="77777777" w:rsidR="000C5E37" w:rsidRPr="00AB4694" w:rsidRDefault="000C5E37" w:rsidP="000C5E37">
      <w:pPr>
        <w:pStyle w:val="enumlev1"/>
        <w:tabs>
          <w:tab w:val="clear" w:pos="794"/>
          <w:tab w:val="left" w:pos="284"/>
        </w:tabs>
        <w:spacing w:before="0" w:line="240" w:lineRule="auto"/>
        <w:rPr>
          <w:sz w:val="16"/>
          <w:szCs w:val="16"/>
        </w:rPr>
      </w:pPr>
      <w:r w:rsidRPr="00AB4694">
        <w:rPr>
          <w:sz w:val="16"/>
          <w:szCs w:val="16"/>
        </w:rPr>
        <w:t>–</w:t>
      </w:r>
      <w:r w:rsidRPr="00AB4694">
        <w:rPr>
          <w:sz w:val="16"/>
          <w:szCs w:val="16"/>
        </w:rPr>
        <w:tab/>
        <w:t>Members of the Radio Regulations Board</w:t>
      </w:r>
    </w:p>
    <w:p w14:paraId="38B1101A" w14:textId="7C63F65A" w:rsidR="00F15659" w:rsidRDefault="00F15659" w:rsidP="00CF07C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Times New Roman"/>
          <w:b/>
          <w:bCs/>
          <w:lang w:val="en-GB"/>
        </w:rPr>
      </w:pPr>
    </w:p>
    <w:p w14:paraId="21EECF70" w14:textId="6198AF29" w:rsidR="000C5E37" w:rsidRDefault="000C5E37" w:rsidP="00CF07C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Times New Roman"/>
          <w:b/>
          <w:bCs/>
          <w:lang w:val="en-GB"/>
        </w:rPr>
      </w:pPr>
    </w:p>
    <w:p w14:paraId="3984AFEE" w14:textId="6C0A91AD" w:rsidR="000C5E37" w:rsidRPr="00AF5C29" w:rsidRDefault="000C5E37" w:rsidP="00AF5C29">
      <w:pPr>
        <w:tabs>
          <w:tab w:val="left" w:pos="6584"/>
        </w:tabs>
        <w:spacing w:before="120" w:line="240" w:lineRule="auto"/>
        <w:jc w:val="left"/>
        <w:rPr>
          <w:rFonts w:ascii="Times New Roman" w:hAnsi="Times New Roman" w:cs="Times New Roman"/>
        </w:rPr>
      </w:pPr>
      <w:r w:rsidRPr="00390E0A">
        <w:rPr>
          <w:rFonts w:asciiTheme="minorHAnsi" w:hAnsiTheme="minorHAnsi" w:cstheme="minorHAnsi"/>
          <w:sz w:val="16"/>
          <w:szCs w:val="16"/>
          <w:vertAlign w:val="superscript"/>
        </w:rPr>
        <w:t>1</w:t>
      </w:r>
      <w:r>
        <w:rPr>
          <w:rFonts w:asciiTheme="minorHAnsi" w:hAnsiTheme="minorHAnsi" w:cstheme="minorHAnsi"/>
          <w:sz w:val="12"/>
          <w:szCs w:val="12"/>
        </w:rPr>
        <w:t xml:space="preserve"> </w:t>
      </w:r>
      <w:hyperlink r:id="rId10" w:history="1">
        <w:r>
          <w:rPr>
            <w:rStyle w:val="Hyperlink"/>
            <w:rFonts w:asciiTheme="minorHAnsi" w:hAnsiTheme="minorHAnsi" w:cstheme="minorHAnsi"/>
            <w:sz w:val="16"/>
            <w:szCs w:val="16"/>
          </w:rPr>
          <w:t>http://www.itu.int/pub/R-REG-ROP/en</w:t>
        </w:r>
      </w:hyperlink>
    </w:p>
    <w:sectPr w:rsidR="000C5E37" w:rsidRPr="00AF5C29" w:rsidSect="00F15659">
      <w:headerReference w:type="even" r:id="rId11"/>
      <w:headerReference w:type="first" r:id="rId12"/>
      <w:footerReference w:type="first" r:id="rId13"/>
      <w:type w:val="continuous"/>
      <w:pgSz w:w="11907" w:h="16834" w:code="9"/>
      <w:pgMar w:top="1134" w:right="1134" w:bottom="992" w:left="1134" w:header="567" w:footer="2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35252" w14:textId="77777777" w:rsidR="000E7504" w:rsidRDefault="000E7504">
      <w:r>
        <w:separator/>
      </w:r>
    </w:p>
  </w:endnote>
  <w:endnote w:type="continuationSeparator" w:id="0">
    <w:p w14:paraId="21FC53E3" w14:textId="77777777" w:rsidR="000E7504" w:rsidRDefault="000E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7C413" w14:textId="77777777" w:rsidR="00CF07CA" w:rsidRPr="005C4582" w:rsidRDefault="00CF07CA" w:rsidP="00CF07CA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C4582">
      <w:rPr>
        <w:sz w:val="18"/>
        <w:szCs w:val="18"/>
      </w:rPr>
      <w:t>International Telecommunication Union • Place des Nations • CH</w:t>
    </w:r>
    <w:r w:rsidRPr="005C4582">
      <w:rPr>
        <w:sz w:val="18"/>
        <w:szCs w:val="18"/>
      </w:rPr>
      <w:noBreakHyphen/>
      <w:t xml:space="preserve">1211 Geneva 20 • Switzerland </w:t>
    </w:r>
    <w:r w:rsidRPr="005C4582">
      <w:rPr>
        <w:sz w:val="18"/>
        <w:szCs w:val="18"/>
      </w:rPr>
      <w:br/>
      <w:t xml:space="preserve">Tel: +41 22 730 5111 • Fax: +41 22 733 7256 • E-mail: </w:t>
    </w:r>
    <w:hyperlink r:id="rId1" w:history="1">
      <w:r w:rsidRPr="005C4582">
        <w:rPr>
          <w:rStyle w:val="Hyperlink"/>
          <w:sz w:val="18"/>
          <w:szCs w:val="18"/>
        </w:rPr>
        <w:t>itumail@itu.int</w:t>
      </w:r>
    </w:hyperlink>
    <w:r w:rsidRPr="005C4582">
      <w:rPr>
        <w:sz w:val="18"/>
        <w:szCs w:val="18"/>
      </w:rPr>
      <w:t xml:space="preserve"> • </w:t>
    </w:r>
    <w:hyperlink r:id="rId2" w:history="1">
      <w:r w:rsidRPr="005C4582">
        <w:rPr>
          <w:rStyle w:val="Hyperlink"/>
          <w:sz w:val="18"/>
          <w:szCs w:val="18"/>
        </w:rPr>
        <w:t>www.itu.int</w:t>
      </w:r>
    </w:hyperlink>
    <w:r w:rsidRPr="005C4582">
      <w:rPr>
        <w:sz w:val="18"/>
        <w:szCs w:val="18"/>
      </w:rPr>
      <w:t xml:space="preserve"> •</w:t>
    </w:r>
  </w:p>
  <w:p w14:paraId="3B6F7D54" w14:textId="77777777" w:rsidR="00CF07CA" w:rsidRDefault="00CF07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87924" w14:textId="77777777" w:rsidR="000E7504" w:rsidRDefault="000E7504">
      <w:r>
        <w:t>____________________</w:t>
      </w:r>
    </w:p>
  </w:footnote>
  <w:footnote w:type="continuationSeparator" w:id="0">
    <w:p w14:paraId="19FB9326" w14:textId="77777777" w:rsidR="000E7504" w:rsidRDefault="000E7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8172118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76A0EBEB" w14:textId="77777777" w:rsidR="00193A88" w:rsidRPr="00C358EF" w:rsidRDefault="00193A88">
        <w:pPr>
          <w:pStyle w:val="Header"/>
          <w:jc w:val="center"/>
          <w:rPr>
            <w:sz w:val="18"/>
            <w:szCs w:val="18"/>
          </w:rPr>
        </w:pPr>
        <w:r w:rsidRPr="00C358EF">
          <w:rPr>
            <w:sz w:val="18"/>
            <w:szCs w:val="18"/>
          </w:rPr>
          <w:fldChar w:fldCharType="begin"/>
        </w:r>
        <w:r w:rsidRPr="00C358EF">
          <w:rPr>
            <w:sz w:val="18"/>
            <w:szCs w:val="18"/>
          </w:rPr>
          <w:instrText xml:space="preserve"> PAGE   \* MERGEFORMAT </w:instrText>
        </w:r>
        <w:r w:rsidRPr="00C358EF">
          <w:rPr>
            <w:sz w:val="18"/>
            <w:szCs w:val="18"/>
          </w:rPr>
          <w:fldChar w:fldCharType="separate"/>
        </w:r>
        <w:r w:rsidR="00E665E4">
          <w:rPr>
            <w:noProof/>
            <w:sz w:val="18"/>
            <w:szCs w:val="18"/>
          </w:rPr>
          <w:t>2</w:t>
        </w:r>
        <w:r w:rsidRPr="00C358EF">
          <w:rPr>
            <w:noProof/>
            <w:sz w:val="18"/>
            <w:szCs w:val="18"/>
          </w:rPr>
          <w:fldChar w:fldCharType="end"/>
        </w:r>
      </w:p>
    </w:sdtContent>
  </w:sdt>
  <w:p w14:paraId="16879A79" w14:textId="77777777" w:rsidR="00F15659" w:rsidRDefault="00F15659">
    <w:pPr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CEABA" w14:textId="6E89E160" w:rsidR="00CF07CA" w:rsidRPr="00CF07CA" w:rsidRDefault="00CF07CA" w:rsidP="00CF07CA">
    <w:pPr>
      <w:pStyle w:val="Header"/>
      <w:spacing w:before="1440"/>
      <w:jc w:val="center"/>
    </w:pPr>
    <w:r w:rsidRPr="008E52B1">
      <w:rPr>
        <w:noProof/>
        <w:color w:val="3399FF"/>
        <w:lang w:val="en-GB" w:eastAsia="en-GB"/>
      </w:rPr>
      <w:drawing>
        <wp:inline distT="0" distB="0" distL="0" distR="0" wp14:anchorId="3A981237" wp14:editId="76FFA902">
          <wp:extent cx="838200" cy="838200"/>
          <wp:effectExtent l="0" t="0" r="0" b="0"/>
          <wp:docPr id="8" name="Picture 8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2AA6122"/>
    <w:multiLevelType w:val="hybridMultilevel"/>
    <w:tmpl w:val="9176C87A"/>
    <w:lvl w:ilvl="0" w:tplc="88C2E8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E2B4B"/>
    <w:multiLevelType w:val="hybridMultilevel"/>
    <w:tmpl w:val="CAA0E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13D01"/>
    <w:multiLevelType w:val="hybridMultilevel"/>
    <w:tmpl w:val="E95ADFB0"/>
    <w:lvl w:ilvl="0" w:tplc="EB8AA4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50BB2"/>
    <w:multiLevelType w:val="hybridMultilevel"/>
    <w:tmpl w:val="B53C3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03CE1"/>
    <w:multiLevelType w:val="hybridMultilevel"/>
    <w:tmpl w:val="1B54D8BE"/>
    <w:lvl w:ilvl="0" w:tplc="321810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5106E"/>
    <w:multiLevelType w:val="hybridMultilevel"/>
    <w:tmpl w:val="9D16FCA8"/>
    <w:lvl w:ilvl="0" w:tplc="7A3E20D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1" w15:restartNumberingAfterBreak="0">
    <w:nsid w:val="57D0217F"/>
    <w:multiLevelType w:val="multilevel"/>
    <w:tmpl w:val="828C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D93989"/>
    <w:multiLevelType w:val="hybridMultilevel"/>
    <w:tmpl w:val="B90EE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11"/>
  </w:num>
  <w:num w:numId="5">
    <w:abstractNumId w:val="6"/>
  </w:num>
  <w:num w:numId="6">
    <w:abstractNumId w:val="4"/>
  </w:num>
  <w:num w:numId="7">
    <w:abstractNumId w:val="1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37559"/>
    <w:rsid w:val="00006A31"/>
    <w:rsid w:val="00006C82"/>
    <w:rsid w:val="00010E30"/>
    <w:rsid w:val="0001167E"/>
    <w:rsid w:val="00015C76"/>
    <w:rsid w:val="0001764B"/>
    <w:rsid w:val="00026CF8"/>
    <w:rsid w:val="00031E64"/>
    <w:rsid w:val="000333D2"/>
    <w:rsid w:val="00034BB5"/>
    <w:rsid w:val="000370C7"/>
    <w:rsid w:val="000453F3"/>
    <w:rsid w:val="000468B6"/>
    <w:rsid w:val="00047C98"/>
    <w:rsid w:val="00051709"/>
    <w:rsid w:val="00054E5D"/>
    <w:rsid w:val="00062550"/>
    <w:rsid w:val="00070258"/>
    <w:rsid w:val="0007323C"/>
    <w:rsid w:val="000734AE"/>
    <w:rsid w:val="00081F8A"/>
    <w:rsid w:val="00082814"/>
    <w:rsid w:val="00085769"/>
    <w:rsid w:val="00086D03"/>
    <w:rsid w:val="00087864"/>
    <w:rsid w:val="000A445E"/>
    <w:rsid w:val="000A7051"/>
    <w:rsid w:val="000B0032"/>
    <w:rsid w:val="000B0AF6"/>
    <w:rsid w:val="000B0E9B"/>
    <w:rsid w:val="000B1525"/>
    <w:rsid w:val="000B23BC"/>
    <w:rsid w:val="000B6635"/>
    <w:rsid w:val="000C03C7"/>
    <w:rsid w:val="000C0E2D"/>
    <w:rsid w:val="000C10EF"/>
    <w:rsid w:val="000C5E37"/>
    <w:rsid w:val="000D288A"/>
    <w:rsid w:val="000D5019"/>
    <w:rsid w:val="000D79FA"/>
    <w:rsid w:val="000E3DEE"/>
    <w:rsid w:val="000E4DD4"/>
    <w:rsid w:val="000E7114"/>
    <w:rsid w:val="000E7166"/>
    <w:rsid w:val="000E7504"/>
    <w:rsid w:val="00100B72"/>
    <w:rsid w:val="00101F7D"/>
    <w:rsid w:val="00103C76"/>
    <w:rsid w:val="0010703D"/>
    <w:rsid w:val="0011265F"/>
    <w:rsid w:val="0011553E"/>
    <w:rsid w:val="00117282"/>
    <w:rsid w:val="0012375C"/>
    <w:rsid w:val="00126AE4"/>
    <w:rsid w:val="00134404"/>
    <w:rsid w:val="0014149E"/>
    <w:rsid w:val="00142E6E"/>
    <w:rsid w:val="00144DFB"/>
    <w:rsid w:val="00146F88"/>
    <w:rsid w:val="00151DDC"/>
    <w:rsid w:val="001528E5"/>
    <w:rsid w:val="00154BF4"/>
    <w:rsid w:val="00165B3D"/>
    <w:rsid w:val="00183A60"/>
    <w:rsid w:val="00184F53"/>
    <w:rsid w:val="00187B58"/>
    <w:rsid w:val="00187CA3"/>
    <w:rsid w:val="00187FAD"/>
    <w:rsid w:val="00193A88"/>
    <w:rsid w:val="00195837"/>
    <w:rsid w:val="00196710"/>
    <w:rsid w:val="00197324"/>
    <w:rsid w:val="001B351B"/>
    <w:rsid w:val="001B734E"/>
    <w:rsid w:val="001C06DB"/>
    <w:rsid w:val="001C39B7"/>
    <w:rsid w:val="001D4E1D"/>
    <w:rsid w:val="001D7070"/>
    <w:rsid w:val="001E07B8"/>
    <w:rsid w:val="001F3F48"/>
    <w:rsid w:val="001F403F"/>
    <w:rsid w:val="001F5966"/>
    <w:rsid w:val="001F5A49"/>
    <w:rsid w:val="002004E7"/>
    <w:rsid w:val="00201097"/>
    <w:rsid w:val="00201B6E"/>
    <w:rsid w:val="002302B3"/>
    <w:rsid w:val="00230C66"/>
    <w:rsid w:val="00235A29"/>
    <w:rsid w:val="002443A2"/>
    <w:rsid w:val="00257A19"/>
    <w:rsid w:val="0026097F"/>
    <w:rsid w:val="00261422"/>
    <w:rsid w:val="00261D5F"/>
    <w:rsid w:val="00274AEA"/>
    <w:rsid w:val="0027627D"/>
    <w:rsid w:val="002861E6"/>
    <w:rsid w:val="00287D18"/>
    <w:rsid w:val="00290DE9"/>
    <w:rsid w:val="002928FE"/>
    <w:rsid w:val="00295CF8"/>
    <w:rsid w:val="002A17C1"/>
    <w:rsid w:val="002A2618"/>
    <w:rsid w:val="002C0FFC"/>
    <w:rsid w:val="002D01C2"/>
    <w:rsid w:val="002D585E"/>
    <w:rsid w:val="002D5A15"/>
    <w:rsid w:val="002D5ADC"/>
    <w:rsid w:val="002D5BDD"/>
    <w:rsid w:val="002E3D27"/>
    <w:rsid w:val="002E5BED"/>
    <w:rsid w:val="002F0127"/>
    <w:rsid w:val="002F0890"/>
    <w:rsid w:val="002F0A0D"/>
    <w:rsid w:val="002F2531"/>
    <w:rsid w:val="002F4967"/>
    <w:rsid w:val="002F6491"/>
    <w:rsid w:val="002F6B1B"/>
    <w:rsid w:val="00300DB9"/>
    <w:rsid w:val="00316935"/>
    <w:rsid w:val="00327A42"/>
    <w:rsid w:val="003370B8"/>
    <w:rsid w:val="00337C74"/>
    <w:rsid w:val="00345D38"/>
    <w:rsid w:val="003469E8"/>
    <w:rsid w:val="00350B86"/>
    <w:rsid w:val="003606E8"/>
    <w:rsid w:val="00362140"/>
    <w:rsid w:val="003666FF"/>
    <w:rsid w:val="00370639"/>
    <w:rsid w:val="00382E7F"/>
    <w:rsid w:val="003A1F49"/>
    <w:rsid w:val="003A226A"/>
    <w:rsid w:val="003B02DF"/>
    <w:rsid w:val="003B2BDA"/>
    <w:rsid w:val="003B4354"/>
    <w:rsid w:val="003B49DA"/>
    <w:rsid w:val="003B55EC"/>
    <w:rsid w:val="003C4471"/>
    <w:rsid w:val="003D7D32"/>
    <w:rsid w:val="003E41DB"/>
    <w:rsid w:val="003E504F"/>
    <w:rsid w:val="003E6F09"/>
    <w:rsid w:val="003E78D6"/>
    <w:rsid w:val="003F38A5"/>
    <w:rsid w:val="003F3A0C"/>
    <w:rsid w:val="003F5D64"/>
    <w:rsid w:val="003F6A1B"/>
    <w:rsid w:val="003F73D8"/>
    <w:rsid w:val="00402667"/>
    <w:rsid w:val="00406C4A"/>
    <w:rsid w:val="00406D71"/>
    <w:rsid w:val="00407B33"/>
    <w:rsid w:val="0041509E"/>
    <w:rsid w:val="00417564"/>
    <w:rsid w:val="00430A5F"/>
    <w:rsid w:val="004326DB"/>
    <w:rsid w:val="00434DBF"/>
    <w:rsid w:val="0043682E"/>
    <w:rsid w:val="00447ECB"/>
    <w:rsid w:val="00457403"/>
    <w:rsid w:val="004575EB"/>
    <w:rsid w:val="004623F7"/>
    <w:rsid w:val="00463512"/>
    <w:rsid w:val="00463CE7"/>
    <w:rsid w:val="0047245B"/>
    <w:rsid w:val="00480F51"/>
    <w:rsid w:val="00480FE5"/>
    <w:rsid w:val="00481124"/>
    <w:rsid w:val="004815EB"/>
    <w:rsid w:val="00482C80"/>
    <w:rsid w:val="004853AD"/>
    <w:rsid w:val="00486571"/>
    <w:rsid w:val="00487569"/>
    <w:rsid w:val="00496864"/>
    <w:rsid w:val="00496920"/>
    <w:rsid w:val="004969F2"/>
    <w:rsid w:val="004A1F3A"/>
    <w:rsid w:val="004A3BD5"/>
    <w:rsid w:val="004A4496"/>
    <w:rsid w:val="004B11AB"/>
    <w:rsid w:val="004B7C9A"/>
    <w:rsid w:val="004C13E7"/>
    <w:rsid w:val="004C5EC0"/>
    <w:rsid w:val="004C6779"/>
    <w:rsid w:val="004D020F"/>
    <w:rsid w:val="004D4ED0"/>
    <w:rsid w:val="004E0DC4"/>
    <w:rsid w:val="004E0FB5"/>
    <w:rsid w:val="004E43BB"/>
    <w:rsid w:val="004F1016"/>
    <w:rsid w:val="004F178E"/>
    <w:rsid w:val="00505309"/>
    <w:rsid w:val="0050789B"/>
    <w:rsid w:val="00512C49"/>
    <w:rsid w:val="00520189"/>
    <w:rsid w:val="005224A1"/>
    <w:rsid w:val="00534372"/>
    <w:rsid w:val="0053796C"/>
    <w:rsid w:val="00541C5B"/>
    <w:rsid w:val="00543DF8"/>
    <w:rsid w:val="0054475A"/>
    <w:rsid w:val="00546101"/>
    <w:rsid w:val="00547137"/>
    <w:rsid w:val="005530B1"/>
    <w:rsid w:val="00553DD7"/>
    <w:rsid w:val="00560569"/>
    <w:rsid w:val="005613AE"/>
    <w:rsid w:val="005628BA"/>
    <w:rsid w:val="005638CF"/>
    <w:rsid w:val="0056741E"/>
    <w:rsid w:val="0057325A"/>
    <w:rsid w:val="0057469A"/>
    <w:rsid w:val="00580814"/>
    <w:rsid w:val="00580BB2"/>
    <w:rsid w:val="00586DD6"/>
    <w:rsid w:val="005923F3"/>
    <w:rsid w:val="00594DD0"/>
    <w:rsid w:val="00597E71"/>
    <w:rsid w:val="005A03A3"/>
    <w:rsid w:val="005A2AAA"/>
    <w:rsid w:val="005A2B92"/>
    <w:rsid w:val="005A6F41"/>
    <w:rsid w:val="005A79E9"/>
    <w:rsid w:val="005B214C"/>
    <w:rsid w:val="005C3112"/>
    <w:rsid w:val="005D3669"/>
    <w:rsid w:val="005E5EB3"/>
    <w:rsid w:val="005F3CB6"/>
    <w:rsid w:val="005F657C"/>
    <w:rsid w:val="00602D53"/>
    <w:rsid w:val="00603855"/>
    <w:rsid w:val="0060417B"/>
    <w:rsid w:val="006047E5"/>
    <w:rsid w:val="00610387"/>
    <w:rsid w:val="006128C9"/>
    <w:rsid w:val="00637CAB"/>
    <w:rsid w:val="006402E9"/>
    <w:rsid w:val="00642556"/>
    <w:rsid w:val="0064371D"/>
    <w:rsid w:val="00650B2A"/>
    <w:rsid w:val="00651777"/>
    <w:rsid w:val="006550F8"/>
    <w:rsid w:val="00655A02"/>
    <w:rsid w:val="00655C3A"/>
    <w:rsid w:val="00657F12"/>
    <w:rsid w:val="00666C5A"/>
    <w:rsid w:val="00667AD2"/>
    <w:rsid w:val="00683247"/>
    <w:rsid w:val="0068376B"/>
    <w:rsid w:val="00684EE0"/>
    <w:rsid w:val="00690A1B"/>
    <w:rsid w:val="0069302C"/>
    <w:rsid w:val="006961E4"/>
    <w:rsid w:val="00697B4F"/>
    <w:rsid w:val="006A115B"/>
    <w:rsid w:val="006A49DC"/>
    <w:rsid w:val="006A518B"/>
    <w:rsid w:val="006A5B9A"/>
    <w:rsid w:val="006A6A97"/>
    <w:rsid w:val="006B04B7"/>
    <w:rsid w:val="006B0590"/>
    <w:rsid w:val="006B2593"/>
    <w:rsid w:val="006B44E9"/>
    <w:rsid w:val="006B49DA"/>
    <w:rsid w:val="006B613D"/>
    <w:rsid w:val="006C3ACE"/>
    <w:rsid w:val="006C792A"/>
    <w:rsid w:val="006C7CDE"/>
    <w:rsid w:val="006D4BE4"/>
    <w:rsid w:val="006F0377"/>
    <w:rsid w:val="006F1A35"/>
    <w:rsid w:val="006F72B3"/>
    <w:rsid w:val="007038CC"/>
    <w:rsid w:val="007234B1"/>
    <w:rsid w:val="00727816"/>
    <w:rsid w:val="00730B9A"/>
    <w:rsid w:val="007402F3"/>
    <w:rsid w:val="0074244F"/>
    <w:rsid w:val="00742E77"/>
    <w:rsid w:val="00750CFA"/>
    <w:rsid w:val="00754007"/>
    <w:rsid w:val="007553DA"/>
    <w:rsid w:val="007620D4"/>
    <w:rsid w:val="007661B7"/>
    <w:rsid w:val="0077544F"/>
    <w:rsid w:val="00777482"/>
    <w:rsid w:val="00782354"/>
    <w:rsid w:val="00784A5A"/>
    <w:rsid w:val="007912D3"/>
    <w:rsid w:val="007921A7"/>
    <w:rsid w:val="007A3ABE"/>
    <w:rsid w:val="007A4119"/>
    <w:rsid w:val="007A7AB6"/>
    <w:rsid w:val="007B26FA"/>
    <w:rsid w:val="007B3DB1"/>
    <w:rsid w:val="007B7498"/>
    <w:rsid w:val="007D183E"/>
    <w:rsid w:val="007D55ED"/>
    <w:rsid w:val="007D57BE"/>
    <w:rsid w:val="007D6846"/>
    <w:rsid w:val="007E1833"/>
    <w:rsid w:val="007E1F1D"/>
    <w:rsid w:val="007E3F13"/>
    <w:rsid w:val="007E498A"/>
    <w:rsid w:val="007E70DD"/>
    <w:rsid w:val="007F4C50"/>
    <w:rsid w:val="007F751A"/>
    <w:rsid w:val="00800012"/>
    <w:rsid w:val="00803594"/>
    <w:rsid w:val="00803AED"/>
    <w:rsid w:val="008143A4"/>
    <w:rsid w:val="00814544"/>
    <w:rsid w:val="0081513E"/>
    <w:rsid w:val="00827FDD"/>
    <w:rsid w:val="008366B5"/>
    <w:rsid w:val="00843494"/>
    <w:rsid w:val="00852EC3"/>
    <w:rsid w:val="00853EF9"/>
    <w:rsid w:val="00854131"/>
    <w:rsid w:val="0085652D"/>
    <w:rsid w:val="00861A14"/>
    <w:rsid w:val="00866FEB"/>
    <w:rsid w:val="00872B00"/>
    <w:rsid w:val="0087694B"/>
    <w:rsid w:val="00876C41"/>
    <w:rsid w:val="00884461"/>
    <w:rsid w:val="008871A4"/>
    <w:rsid w:val="00887EE8"/>
    <w:rsid w:val="008928A7"/>
    <w:rsid w:val="008948AA"/>
    <w:rsid w:val="0089578B"/>
    <w:rsid w:val="008B7BE5"/>
    <w:rsid w:val="008C0966"/>
    <w:rsid w:val="008C2E74"/>
    <w:rsid w:val="008C38AA"/>
    <w:rsid w:val="008D5409"/>
    <w:rsid w:val="008E006D"/>
    <w:rsid w:val="008E77DA"/>
    <w:rsid w:val="008F3A1F"/>
    <w:rsid w:val="008F3FF2"/>
    <w:rsid w:val="008F4F21"/>
    <w:rsid w:val="008F6426"/>
    <w:rsid w:val="00900410"/>
    <w:rsid w:val="00904D4A"/>
    <w:rsid w:val="00913693"/>
    <w:rsid w:val="009151BA"/>
    <w:rsid w:val="00925023"/>
    <w:rsid w:val="009277BC"/>
    <w:rsid w:val="00927D57"/>
    <w:rsid w:val="00931A51"/>
    <w:rsid w:val="009323DA"/>
    <w:rsid w:val="0093323C"/>
    <w:rsid w:val="00934636"/>
    <w:rsid w:val="00935C47"/>
    <w:rsid w:val="00947185"/>
    <w:rsid w:val="00957A98"/>
    <w:rsid w:val="00963D9D"/>
    <w:rsid w:val="00975D6F"/>
    <w:rsid w:val="0098013E"/>
    <w:rsid w:val="00981B54"/>
    <w:rsid w:val="00982041"/>
    <w:rsid w:val="009842C3"/>
    <w:rsid w:val="009973BC"/>
    <w:rsid w:val="009A009A"/>
    <w:rsid w:val="009A2B0B"/>
    <w:rsid w:val="009A6BB6"/>
    <w:rsid w:val="009B1BF4"/>
    <w:rsid w:val="009B3F43"/>
    <w:rsid w:val="009B5CFA"/>
    <w:rsid w:val="009C161F"/>
    <w:rsid w:val="009C3038"/>
    <w:rsid w:val="009C56B4"/>
    <w:rsid w:val="009C6769"/>
    <w:rsid w:val="009D15A0"/>
    <w:rsid w:val="009D51A2"/>
    <w:rsid w:val="009D7BDE"/>
    <w:rsid w:val="009E04A8"/>
    <w:rsid w:val="009E4AEC"/>
    <w:rsid w:val="009E5BD8"/>
    <w:rsid w:val="009E681E"/>
    <w:rsid w:val="009E6EBB"/>
    <w:rsid w:val="009F1E33"/>
    <w:rsid w:val="009F2FCD"/>
    <w:rsid w:val="009F70E5"/>
    <w:rsid w:val="00A02280"/>
    <w:rsid w:val="00A03CF9"/>
    <w:rsid w:val="00A058F0"/>
    <w:rsid w:val="00A10269"/>
    <w:rsid w:val="00A119E6"/>
    <w:rsid w:val="00A24A6F"/>
    <w:rsid w:val="00A2671E"/>
    <w:rsid w:val="00A30388"/>
    <w:rsid w:val="00A31370"/>
    <w:rsid w:val="00A3147D"/>
    <w:rsid w:val="00A32150"/>
    <w:rsid w:val="00A340D6"/>
    <w:rsid w:val="00A34963"/>
    <w:rsid w:val="00A34D6F"/>
    <w:rsid w:val="00A35635"/>
    <w:rsid w:val="00A41F91"/>
    <w:rsid w:val="00A442A8"/>
    <w:rsid w:val="00A508B1"/>
    <w:rsid w:val="00A56F2F"/>
    <w:rsid w:val="00A600CA"/>
    <w:rsid w:val="00A61656"/>
    <w:rsid w:val="00A638EC"/>
    <w:rsid w:val="00A700B7"/>
    <w:rsid w:val="00A75CA2"/>
    <w:rsid w:val="00A761B1"/>
    <w:rsid w:val="00A82972"/>
    <w:rsid w:val="00A87760"/>
    <w:rsid w:val="00A963DF"/>
    <w:rsid w:val="00AA0BA2"/>
    <w:rsid w:val="00AA6924"/>
    <w:rsid w:val="00AB10BE"/>
    <w:rsid w:val="00AC05B1"/>
    <w:rsid w:val="00AC3896"/>
    <w:rsid w:val="00AD0123"/>
    <w:rsid w:val="00AD4DF6"/>
    <w:rsid w:val="00AD7647"/>
    <w:rsid w:val="00AD7D10"/>
    <w:rsid w:val="00AE2D88"/>
    <w:rsid w:val="00AE6F6F"/>
    <w:rsid w:val="00AF3325"/>
    <w:rsid w:val="00AF34D9"/>
    <w:rsid w:val="00AF5C29"/>
    <w:rsid w:val="00AF70DA"/>
    <w:rsid w:val="00B019D3"/>
    <w:rsid w:val="00B30B48"/>
    <w:rsid w:val="00B34CF9"/>
    <w:rsid w:val="00B3546C"/>
    <w:rsid w:val="00B37559"/>
    <w:rsid w:val="00B50A49"/>
    <w:rsid w:val="00B564F0"/>
    <w:rsid w:val="00B579B0"/>
    <w:rsid w:val="00B675F4"/>
    <w:rsid w:val="00B75EA5"/>
    <w:rsid w:val="00B7724A"/>
    <w:rsid w:val="00B82BAA"/>
    <w:rsid w:val="00B84295"/>
    <w:rsid w:val="00B84B68"/>
    <w:rsid w:val="00B87728"/>
    <w:rsid w:val="00B90C45"/>
    <w:rsid w:val="00B933BE"/>
    <w:rsid w:val="00B95129"/>
    <w:rsid w:val="00BA5BB2"/>
    <w:rsid w:val="00BA741B"/>
    <w:rsid w:val="00BB1179"/>
    <w:rsid w:val="00BB1751"/>
    <w:rsid w:val="00BB6557"/>
    <w:rsid w:val="00BC72A7"/>
    <w:rsid w:val="00BD41F6"/>
    <w:rsid w:val="00BD5ED3"/>
    <w:rsid w:val="00BD64F8"/>
    <w:rsid w:val="00BD6738"/>
    <w:rsid w:val="00BD7E5E"/>
    <w:rsid w:val="00BE197D"/>
    <w:rsid w:val="00BE6574"/>
    <w:rsid w:val="00C06566"/>
    <w:rsid w:val="00C101DF"/>
    <w:rsid w:val="00C13597"/>
    <w:rsid w:val="00C16FD2"/>
    <w:rsid w:val="00C20AF7"/>
    <w:rsid w:val="00C22F0D"/>
    <w:rsid w:val="00C24730"/>
    <w:rsid w:val="00C358EF"/>
    <w:rsid w:val="00C45B3F"/>
    <w:rsid w:val="00C47CF9"/>
    <w:rsid w:val="00C47FFD"/>
    <w:rsid w:val="00C57E2C"/>
    <w:rsid w:val="00C608B7"/>
    <w:rsid w:val="00C66F24"/>
    <w:rsid w:val="00C70C64"/>
    <w:rsid w:val="00C73281"/>
    <w:rsid w:val="00C75578"/>
    <w:rsid w:val="00C76E83"/>
    <w:rsid w:val="00C77C1F"/>
    <w:rsid w:val="00C80B37"/>
    <w:rsid w:val="00C813AA"/>
    <w:rsid w:val="00C826DF"/>
    <w:rsid w:val="00C9291E"/>
    <w:rsid w:val="00CA3F44"/>
    <w:rsid w:val="00CA4E58"/>
    <w:rsid w:val="00CA7074"/>
    <w:rsid w:val="00CB3771"/>
    <w:rsid w:val="00CB44BF"/>
    <w:rsid w:val="00CB5153"/>
    <w:rsid w:val="00CB6925"/>
    <w:rsid w:val="00CE076A"/>
    <w:rsid w:val="00CE463D"/>
    <w:rsid w:val="00CF07CA"/>
    <w:rsid w:val="00CF2A15"/>
    <w:rsid w:val="00CF566B"/>
    <w:rsid w:val="00D05B3E"/>
    <w:rsid w:val="00D06CD0"/>
    <w:rsid w:val="00D10BA0"/>
    <w:rsid w:val="00D14B16"/>
    <w:rsid w:val="00D21132"/>
    <w:rsid w:val="00D21952"/>
    <w:rsid w:val="00D21B81"/>
    <w:rsid w:val="00D22162"/>
    <w:rsid w:val="00D22426"/>
    <w:rsid w:val="00D242CC"/>
    <w:rsid w:val="00D24782"/>
    <w:rsid w:val="00D24EB5"/>
    <w:rsid w:val="00D30D33"/>
    <w:rsid w:val="00D32670"/>
    <w:rsid w:val="00D35AB9"/>
    <w:rsid w:val="00D372E7"/>
    <w:rsid w:val="00D41571"/>
    <w:rsid w:val="00D416A0"/>
    <w:rsid w:val="00D47672"/>
    <w:rsid w:val="00D5123C"/>
    <w:rsid w:val="00D55560"/>
    <w:rsid w:val="00D61C5A"/>
    <w:rsid w:val="00D6252A"/>
    <w:rsid w:val="00D627AD"/>
    <w:rsid w:val="00D6377D"/>
    <w:rsid w:val="00D72B7B"/>
    <w:rsid w:val="00D733F5"/>
    <w:rsid w:val="00D758F8"/>
    <w:rsid w:val="00D7741D"/>
    <w:rsid w:val="00D843D3"/>
    <w:rsid w:val="00D85887"/>
    <w:rsid w:val="00D86C63"/>
    <w:rsid w:val="00D87E20"/>
    <w:rsid w:val="00D95304"/>
    <w:rsid w:val="00D97139"/>
    <w:rsid w:val="00DA31C1"/>
    <w:rsid w:val="00DB0F69"/>
    <w:rsid w:val="00DC18BB"/>
    <w:rsid w:val="00DC284D"/>
    <w:rsid w:val="00DD0EF9"/>
    <w:rsid w:val="00DD1275"/>
    <w:rsid w:val="00DE31F9"/>
    <w:rsid w:val="00DE66A5"/>
    <w:rsid w:val="00DE6E1E"/>
    <w:rsid w:val="00DF2B50"/>
    <w:rsid w:val="00DF3692"/>
    <w:rsid w:val="00DF4325"/>
    <w:rsid w:val="00DF4B44"/>
    <w:rsid w:val="00DF56B8"/>
    <w:rsid w:val="00E01280"/>
    <w:rsid w:val="00E03D73"/>
    <w:rsid w:val="00E04C86"/>
    <w:rsid w:val="00E20F30"/>
    <w:rsid w:val="00E2189C"/>
    <w:rsid w:val="00E2337D"/>
    <w:rsid w:val="00E25BB1"/>
    <w:rsid w:val="00E27BBA"/>
    <w:rsid w:val="00E35279"/>
    <w:rsid w:val="00E35E8F"/>
    <w:rsid w:val="00E41CDA"/>
    <w:rsid w:val="00E428AB"/>
    <w:rsid w:val="00E4296A"/>
    <w:rsid w:val="00E42EE3"/>
    <w:rsid w:val="00E438E8"/>
    <w:rsid w:val="00E448F0"/>
    <w:rsid w:val="00E453A3"/>
    <w:rsid w:val="00E46E06"/>
    <w:rsid w:val="00E520E2"/>
    <w:rsid w:val="00E536D9"/>
    <w:rsid w:val="00E60D8B"/>
    <w:rsid w:val="00E61969"/>
    <w:rsid w:val="00E62738"/>
    <w:rsid w:val="00E6417C"/>
    <w:rsid w:val="00E64254"/>
    <w:rsid w:val="00E665E4"/>
    <w:rsid w:val="00E71242"/>
    <w:rsid w:val="00E77BED"/>
    <w:rsid w:val="00E817BF"/>
    <w:rsid w:val="00E862A4"/>
    <w:rsid w:val="00E915AF"/>
    <w:rsid w:val="00E9622B"/>
    <w:rsid w:val="00E96415"/>
    <w:rsid w:val="00EA15B3"/>
    <w:rsid w:val="00EA2C03"/>
    <w:rsid w:val="00EA2DF7"/>
    <w:rsid w:val="00EA3A93"/>
    <w:rsid w:val="00EA5078"/>
    <w:rsid w:val="00EB2358"/>
    <w:rsid w:val="00EB3EB8"/>
    <w:rsid w:val="00EC02FE"/>
    <w:rsid w:val="00EC0880"/>
    <w:rsid w:val="00EC3C84"/>
    <w:rsid w:val="00ED1745"/>
    <w:rsid w:val="00ED2F62"/>
    <w:rsid w:val="00EE1264"/>
    <w:rsid w:val="00EE2D15"/>
    <w:rsid w:val="00EE3CDE"/>
    <w:rsid w:val="00EE60B2"/>
    <w:rsid w:val="00EF5D0B"/>
    <w:rsid w:val="00EF751E"/>
    <w:rsid w:val="00F07E51"/>
    <w:rsid w:val="00F117BE"/>
    <w:rsid w:val="00F15659"/>
    <w:rsid w:val="00F37853"/>
    <w:rsid w:val="00F424BF"/>
    <w:rsid w:val="00F44D96"/>
    <w:rsid w:val="00F46107"/>
    <w:rsid w:val="00F468C5"/>
    <w:rsid w:val="00F52F39"/>
    <w:rsid w:val="00F53F25"/>
    <w:rsid w:val="00F655DE"/>
    <w:rsid w:val="00F73A39"/>
    <w:rsid w:val="00F810C9"/>
    <w:rsid w:val="00F914DD"/>
    <w:rsid w:val="00F93E4F"/>
    <w:rsid w:val="00FA17AF"/>
    <w:rsid w:val="00FA2358"/>
    <w:rsid w:val="00FA2B72"/>
    <w:rsid w:val="00FA7867"/>
    <w:rsid w:val="00FB2592"/>
    <w:rsid w:val="00FB2810"/>
    <w:rsid w:val="00FC2947"/>
    <w:rsid w:val="00FC3BFE"/>
    <w:rsid w:val="00FE0818"/>
    <w:rsid w:val="00FE0D53"/>
    <w:rsid w:val="00FE593A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5325F18"/>
  <w15:docId w15:val="{B8490D0D-5B53-40B1-A9FE-18ED5825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7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qFormat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Default">
    <w:name w:val="Default"/>
    <w:rsid w:val="0053796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character" w:customStyle="1" w:styleId="h21">
    <w:name w:val="h21"/>
    <w:basedOn w:val="DefaultParagraphFont"/>
    <w:rsid w:val="00FA7867"/>
    <w:rPr>
      <w:b/>
      <w:bCs/>
      <w:color w:val="3366CC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B7BE5"/>
    <w:rPr>
      <w:color w:val="808080"/>
    </w:rPr>
  </w:style>
  <w:style w:type="table" w:styleId="TableGrid">
    <w:name w:val="Table Grid"/>
    <w:basedOn w:val="TableNormal"/>
    <w:rsid w:val="00B82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89578B"/>
  </w:style>
  <w:style w:type="paragraph" w:customStyle="1" w:styleId="Message">
    <w:name w:val="Message"/>
    <w:rsid w:val="0089578B"/>
    <w:pPr>
      <w:spacing w:before="240" w:line="300" w:lineRule="exact"/>
      <w:ind w:left="794" w:right="794"/>
    </w:pPr>
    <w:rPr>
      <w:rFonts w:ascii="Arial" w:hAnsi="Arial" w:cs="Times New Roman"/>
      <w:sz w:val="22"/>
      <w:lang w:val="en-US" w:eastAsia="en-US" w:bidi="he-IL"/>
    </w:rPr>
  </w:style>
  <w:style w:type="paragraph" w:styleId="Date">
    <w:name w:val="Date"/>
    <w:basedOn w:val="Normal"/>
    <w:next w:val="Normal"/>
    <w:link w:val="DateChar"/>
    <w:rsid w:val="00463CE7"/>
  </w:style>
  <w:style w:type="character" w:customStyle="1" w:styleId="DateChar">
    <w:name w:val="Date Char"/>
    <w:basedOn w:val="DefaultParagraphFont"/>
    <w:link w:val="Date"/>
    <w:rsid w:val="00463CE7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A02280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DD0EF9"/>
    <w:rPr>
      <w:sz w:val="22"/>
      <w:szCs w:val="22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C05B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50B86"/>
    <w:rPr>
      <w:b/>
      <w:bCs/>
    </w:rPr>
  </w:style>
  <w:style w:type="character" w:styleId="EndnoteReference">
    <w:name w:val="endnote reference"/>
    <w:rsid w:val="00EE3CDE"/>
    <w:rPr>
      <w:vertAlign w:val="superscript"/>
    </w:rPr>
  </w:style>
  <w:style w:type="paragraph" w:customStyle="1" w:styleId="Headingb0">
    <w:name w:val="Heading b"/>
    <w:basedOn w:val="Heading3"/>
    <w:rsid w:val="00597E7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400" w:line="240" w:lineRule="auto"/>
      <w:ind w:left="0" w:firstLine="0"/>
      <w:outlineLvl w:val="9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href2">
    <w:name w:val="href2"/>
    <w:basedOn w:val="href"/>
    <w:rsid w:val="00597E71"/>
  </w:style>
  <w:style w:type="character" w:customStyle="1" w:styleId="Artref">
    <w:name w:val="Art_ref"/>
    <w:rsid w:val="00597E71"/>
    <w:rPr>
      <w:color w:val="3366FF"/>
    </w:rPr>
  </w:style>
  <w:style w:type="character" w:customStyle="1" w:styleId="FootnoteTextChar">
    <w:name w:val="Footnote Text Char"/>
    <w:aliases w:val="footnote text Char1,ALTS FOOTNOTE Char,Footnote Text Char Char1 Char,Footnote Text Char4 Char Char Char,Footnote Text Char1 Char1 Char1 Char Char,Footnote Text Char Char1 Char1 Char Char Char,DNV-FT Char"/>
    <w:link w:val="FootnoteText"/>
    <w:uiPriority w:val="99"/>
    <w:rsid w:val="00597E71"/>
    <w:rPr>
      <w:szCs w:val="22"/>
      <w:lang w:val="en-US" w:eastAsia="en-US"/>
    </w:rPr>
  </w:style>
  <w:style w:type="character" w:customStyle="1" w:styleId="TabletextChar">
    <w:name w:val="Table_text Char"/>
    <w:link w:val="Tabletext"/>
    <w:rsid w:val="00597E71"/>
    <w:rPr>
      <w:szCs w:val="22"/>
      <w:lang w:val="en-US" w:eastAsia="en-US"/>
    </w:rPr>
  </w:style>
  <w:style w:type="character" w:customStyle="1" w:styleId="ms-rtethemefontface-1">
    <w:name w:val="ms-rtethemefontface-1"/>
    <w:basedOn w:val="DefaultParagraphFont"/>
    <w:rsid w:val="00482C80"/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"/>
    <w:locked/>
    <w:rsid w:val="000E7114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E7114"/>
    <w:rPr>
      <w:sz w:val="22"/>
      <w:szCs w:val="22"/>
      <w:lang w:val="en-US" w:eastAsia="en-US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uiPriority w:val="99"/>
    <w:locked/>
    <w:rsid w:val="009973BC"/>
    <w:rPr>
      <w:sz w:val="22"/>
      <w:szCs w:val="22"/>
      <w:lang w:val="en-US" w:eastAsia="en-US"/>
    </w:rPr>
  </w:style>
  <w:style w:type="character" w:customStyle="1" w:styleId="enumlev1Char">
    <w:name w:val="enumlev1 Char"/>
    <w:basedOn w:val="DefaultParagraphFont"/>
    <w:link w:val="enumlev1"/>
    <w:rsid w:val="00F15659"/>
    <w:rPr>
      <w:sz w:val="22"/>
      <w:szCs w:val="22"/>
      <w:lang w:val="en-US" w:eastAsia="en-US"/>
    </w:rPr>
  </w:style>
  <w:style w:type="paragraph" w:customStyle="1" w:styleId="HeaderRegProc">
    <w:name w:val="Header_RegProc"/>
    <w:basedOn w:val="Normal"/>
    <w:rsid w:val="00F15659"/>
    <w:pPr>
      <w:tabs>
        <w:tab w:val="clear" w:pos="794"/>
        <w:tab w:val="clear" w:pos="1191"/>
        <w:tab w:val="clear" w:pos="1588"/>
        <w:tab w:val="clear" w:pos="1985"/>
        <w:tab w:val="center" w:pos="4678"/>
        <w:tab w:val="right" w:pos="9356"/>
      </w:tabs>
      <w:spacing w:before="4" w:line="240" w:lineRule="auto"/>
      <w:ind w:left="142"/>
    </w:pPr>
    <w:rPr>
      <w:rFonts w:ascii="Arial" w:eastAsia="Times New Roman" w:hAnsi="Arial" w:cs="Arial"/>
      <w:bCs/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69E8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469E8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3469E8"/>
    <w:rPr>
      <w:b/>
      <w:bCs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20AF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35C47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3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R-CIR-0471/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pub/R-REG-ROP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R-REG-ROP/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2CE0D-C01B-48CE-A9E3-417EF9277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0</TotalTime>
  <Pages>1</Pages>
  <Words>267</Words>
  <Characters>1704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1968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Panoussopoulos, Sonia</cp:lastModifiedBy>
  <cp:revision>2</cp:revision>
  <cp:lastPrinted>2019-12-09T10:18:00Z</cp:lastPrinted>
  <dcterms:created xsi:type="dcterms:W3CDTF">2021-11-01T09:17:00Z</dcterms:created>
  <dcterms:modified xsi:type="dcterms:W3CDTF">2021-11-01T09:17:00Z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_NewReviewCycle">
    <vt:lpwstr/>
  </property>
</Properties>
</file>